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793" w:rsidRDefault="00461793" w:rsidP="00461793">
      <w:pPr>
        <w:spacing w:line="170" w:lineRule="atLeast"/>
        <w:ind w:firstLine="0"/>
        <w:jc w:val="center"/>
        <w:rPr>
          <w:rFonts w:asciiTheme="majorBidi" w:hAnsiTheme="majorBidi" w:cstheme="majorBidi"/>
          <w:color w:val="222222"/>
          <w:lang w:val="en"/>
        </w:rPr>
      </w:pPr>
      <w:r w:rsidRPr="00FE71A4">
        <w:rPr>
          <w:rFonts w:asciiTheme="majorBidi" w:hAnsiTheme="majorBidi" w:cstheme="majorBidi"/>
          <w:color w:val="222222"/>
          <w:lang w:val="en"/>
        </w:rPr>
        <w:t xml:space="preserve">Effects of acupuncture and </w:t>
      </w:r>
      <w:proofErr w:type="spellStart"/>
      <w:r w:rsidRPr="00FE71A4">
        <w:rPr>
          <w:rFonts w:asciiTheme="majorBidi" w:hAnsiTheme="majorBidi" w:cstheme="majorBidi"/>
          <w:color w:val="222222"/>
          <w:lang w:val="en"/>
        </w:rPr>
        <w:t>Mefenamic</w:t>
      </w:r>
      <w:proofErr w:type="spellEnd"/>
      <w:r w:rsidRPr="00FE71A4">
        <w:rPr>
          <w:rFonts w:asciiTheme="majorBidi" w:hAnsiTheme="majorBidi" w:cstheme="majorBidi"/>
          <w:color w:val="222222"/>
          <w:lang w:val="en"/>
        </w:rPr>
        <w:t xml:space="preserve"> acid on primary dysmenorrhea</w:t>
      </w:r>
    </w:p>
    <w:p w:rsidR="00461793" w:rsidRDefault="00461793" w:rsidP="00461793">
      <w:pPr>
        <w:spacing w:line="170" w:lineRule="atLeast"/>
        <w:ind w:firstLine="0"/>
        <w:jc w:val="center"/>
        <w:rPr>
          <w:rFonts w:asciiTheme="majorBidi" w:hAnsiTheme="majorBidi" w:cstheme="majorBidi"/>
          <w:color w:val="222222"/>
          <w:lang w:val="en"/>
        </w:rPr>
      </w:pPr>
    </w:p>
    <w:p w:rsidR="00461793" w:rsidRDefault="00461793" w:rsidP="00461793">
      <w:pPr>
        <w:spacing w:line="170" w:lineRule="atLeast"/>
        <w:ind w:firstLine="0"/>
        <w:jc w:val="center"/>
        <w:rPr>
          <w:rFonts w:asciiTheme="majorBidi" w:hAnsiTheme="majorBidi" w:cstheme="majorBidi"/>
          <w:color w:val="222222"/>
          <w:lang w:val="en"/>
        </w:rPr>
      </w:pPr>
    </w:p>
    <w:p w:rsidR="00461793" w:rsidRPr="00461793" w:rsidRDefault="00461793" w:rsidP="002609BE">
      <w:pPr>
        <w:autoSpaceDE w:val="0"/>
        <w:autoSpaceDN w:val="0"/>
        <w:bidi w:val="0"/>
        <w:adjustRightInd w:val="0"/>
        <w:spacing w:line="240" w:lineRule="auto"/>
        <w:ind w:firstLine="0"/>
        <w:jc w:val="left"/>
        <w:rPr>
          <w:rFonts w:eastAsiaTheme="minorHAnsi" w:cs="Times New Roman"/>
          <w:sz w:val="24"/>
          <w:szCs w:val="24"/>
        </w:rPr>
      </w:pPr>
      <w:r w:rsidRPr="00461793">
        <w:rPr>
          <w:rFonts w:eastAsiaTheme="minorHAnsi" w:cs="Times New Roman"/>
          <w:color w:val="000000"/>
          <w:sz w:val="24"/>
          <w:szCs w:val="24"/>
        </w:rPr>
        <w:t>Hamid Reza Bahrami</w:t>
      </w:r>
      <w:r w:rsidRPr="00461793">
        <w:rPr>
          <w:rFonts w:eastAsiaTheme="minorHAnsi" w:cs="Times New Roman"/>
          <w:color w:val="000000"/>
          <w:sz w:val="24"/>
          <w:szCs w:val="24"/>
          <w:vertAlign w:val="superscript"/>
        </w:rPr>
        <w:t>1</w:t>
      </w:r>
      <w:r w:rsidR="002609BE" w:rsidRPr="00461793">
        <w:rPr>
          <w:rFonts w:eastAsiaTheme="minorHAnsi" w:cs="Times New Roman"/>
          <w:color w:val="000000"/>
          <w:sz w:val="24"/>
          <w:szCs w:val="24"/>
        </w:rPr>
        <w:t>,</w:t>
      </w:r>
      <w:r w:rsidR="002609BE">
        <w:rPr>
          <w:rFonts w:eastAsiaTheme="minorHAnsi" w:cs="Times New Roman"/>
          <w:color w:val="000000"/>
          <w:sz w:val="24"/>
          <w:szCs w:val="24"/>
        </w:rPr>
        <w:t xml:space="preserve"> Hoda Azizi</w:t>
      </w:r>
      <w:r w:rsidR="002609BE" w:rsidRPr="002609BE">
        <w:rPr>
          <w:rFonts w:eastAsiaTheme="minorHAnsi" w:cs="Times New Roman"/>
          <w:color w:val="000000"/>
          <w:sz w:val="24"/>
          <w:szCs w:val="24"/>
          <w:vertAlign w:val="superscript"/>
        </w:rPr>
        <w:t>1</w:t>
      </w:r>
      <w:r w:rsidR="002609BE">
        <w:rPr>
          <w:rFonts w:eastAsiaTheme="minorHAnsi" w:cs="Times New Roman"/>
          <w:color w:val="000000"/>
          <w:sz w:val="24"/>
          <w:szCs w:val="24"/>
        </w:rPr>
        <w:t>,</w:t>
      </w:r>
      <w:r w:rsidRPr="00461793">
        <w:rPr>
          <w:rFonts w:eastAsiaTheme="minorHAnsi" w:cs="Times New Roman"/>
          <w:color w:val="000000"/>
          <w:sz w:val="24"/>
          <w:szCs w:val="24"/>
        </w:rPr>
        <w:t xml:space="preserve"> Mohammadreza Noras</w:t>
      </w:r>
      <w:r>
        <w:rPr>
          <w:rFonts w:eastAsiaTheme="minorHAnsi" w:cs="Times New Roman"/>
          <w:color w:val="000000"/>
          <w:sz w:val="24"/>
          <w:szCs w:val="24"/>
          <w:vertAlign w:val="superscript"/>
        </w:rPr>
        <w:t>2</w:t>
      </w:r>
      <w:r w:rsidRPr="00461793">
        <w:rPr>
          <w:rFonts w:eastAsiaTheme="minorHAnsi" w:cs="Times New Roman"/>
          <w:color w:val="000000"/>
          <w:sz w:val="24"/>
          <w:szCs w:val="24"/>
        </w:rPr>
        <w:t>*</w:t>
      </w:r>
    </w:p>
    <w:p w:rsidR="00461793" w:rsidRPr="00461793" w:rsidRDefault="00461793" w:rsidP="00461793">
      <w:pPr>
        <w:autoSpaceDE w:val="0"/>
        <w:autoSpaceDN w:val="0"/>
        <w:bidi w:val="0"/>
        <w:adjustRightInd w:val="0"/>
        <w:spacing w:line="240" w:lineRule="auto"/>
        <w:ind w:firstLine="0"/>
        <w:jc w:val="left"/>
        <w:rPr>
          <w:rFonts w:eastAsiaTheme="minorHAnsi" w:cs="Times New Roman"/>
          <w:sz w:val="24"/>
          <w:szCs w:val="24"/>
        </w:rPr>
      </w:pPr>
    </w:p>
    <w:p w:rsidR="00461793" w:rsidRPr="00461793" w:rsidRDefault="00461793" w:rsidP="00461793">
      <w:pPr>
        <w:autoSpaceDE w:val="0"/>
        <w:autoSpaceDN w:val="0"/>
        <w:bidi w:val="0"/>
        <w:adjustRightInd w:val="0"/>
        <w:spacing w:line="240" w:lineRule="auto"/>
        <w:ind w:firstLine="0"/>
        <w:jc w:val="left"/>
        <w:rPr>
          <w:rFonts w:eastAsiaTheme="minorHAnsi" w:cs="Times New Roman"/>
          <w:sz w:val="24"/>
          <w:szCs w:val="24"/>
        </w:rPr>
      </w:pPr>
      <w:r w:rsidRPr="00461793">
        <w:rPr>
          <w:rFonts w:eastAsiaTheme="minorHAnsi" w:cs="Times New Roman"/>
          <w:color w:val="000000"/>
          <w:sz w:val="24"/>
          <w:szCs w:val="24"/>
        </w:rPr>
        <w:t xml:space="preserve">   </w:t>
      </w:r>
    </w:p>
    <w:p w:rsidR="00461793" w:rsidRPr="00461793" w:rsidRDefault="00461793" w:rsidP="00461793">
      <w:pPr>
        <w:autoSpaceDE w:val="0"/>
        <w:autoSpaceDN w:val="0"/>
        <w:bidi w:val="0"/>
        <w:adjustRightInd w:val="0"/>
        <w:spacing w:line="240" w:lineRule="auto"/>
        <w:ind w:firstLine="0"/>
        <w:jc w:val="left"/>
        <w:rPr>
          <w:rFonts w:eastAsiaTheme="minorHAnsi" w:cs="Times New Roman"/>
          <w:color w:val="000000"/>
          <w:sz w:val="20"/>
          <w:szCs w:val="20"/>
        </w:rPr>
      </w:pPr>
      <w:r w:rsidRPr="00461793">
        <w:rPr>
          <w:rFonts w:eastAsiaTheme="minorHAnsi" w:cs="Times New Roman"/>
          <w:color w:val="000000"/>
          <w:sz w:val="20"/>
          <w:szCs w:val="20"/>
          <w:vertAlign w:val="superscript"/>
        </w:rPr>
        <w:t>1</w:t>
      </w:r>
      <w:r w:rsidRPr="00461793">
        <w:rPr>
          <w:rFonts w:eastAsiaTheme="minorHAnsi" w:cs="Times New Roman"/>
          <w:color w:val="000000"/>
          <w:sz w:val="20"/>
          <w:szCs w:val="20"/>
        </w:rPr>
        <w:t xml:space="preserve">MD, PhD, Assistant Professor, Department of Chinese traditional medicine, School of complementary and Persian traditional medicine, Mashhad University of Medical Sciences, Mashhad, Iran.  </w:t>
      </w:r>
    </w:p>
    <w:p w:rsidR="00461793" w:rsidRPr="00461793" w:rsidRDefault="00461793" w:rsidP="00461793">
      <w:pPr>
        <w:autoSpaceDE w:val="0"/>
        <w:autoSpaceDN w:val="0"/>
        <w:bidi w:val="0"/>
        <w:adjustRightInd w:val="0"/>
        <w:spacing w:line="240" w:lineRule="auto"/>
        <w:ind w:firstLine="0"/>
        <w:jc w:val="left"/>
        <w:rPr>
          <w:rFonts w:eastAsiaTheme="minorHAnsi" w:cs="Times New Roman"/>
          <w:color w:val="000000"/>
          <w:sz w:val="20"/>
          <w:szCs w:val="20"/>
        </w:rPr>
      </w:pPr>
      <w:r>
        <w:rPr>
          <w:rFonts w:eastAsiaTheme="minorHAnsi" w:cs="Times New Roman"/>
          <w:color w:val="000000"/>
          <w:sz w:val="20"/>
          <w:szCs w:val="20"/>
          <w:vertAlign w:val="superscript"/>
        </w:rPr>
        <w:t>2</w:t>
      </w:r>
      <w:r w:rsidRPr="00461793">
        <w:rPr>
          <w:rFonts w:eastAsiaTheme="minorHAnsi" w:cs="Times New Roman"/>
          <w:color w:val="000000"/>
          <w:sz w:val="20"/>
          <w:szCs w:val="20"/>
        </w:rPr>
        <w:t xml:space="preserve">MD, PhD, Department of Traditional medicine, School of complementary and Persian traditional medicine, Mashhad University of Medical Sciences, Mashhad, Iran.  </w:t>
      </w:r>
    </w:p>
    <w:p w:rsidR="00461793" w:rsidRPr="00461793" w:rsidRDefault="00461793" w:rsidP="00461793">
      <w:pPr>
        <w:autoSpaceDE w:val="0"/>
        <w:autoSpaceDN w:val="0"/>
        <w:bidi w:val="0"/>
        <w:adjustRightInd w:val="0"/>
        <w:spacing w:line="240" w:lineRule="auto"/>
        <w:ind w:firstLine="0"/>
        <w:jc w:val="left"/>
        <w:rPr>
          <w:rFonts w:eastAsiaTheme="minorHAnsi" w:cs="Times New Roman"/>
          <w:sz w:val="24"/>
          <w:szCs w:val="24"/>
        </w:rPr>
      </w:pPr>
    </w:p>
    <w:p w:rsidR="00461793" w:rsidRPr="00461793" w:rsidRDefault="00461793" w:rsidP="002609BE">
      <w:pPr>
        <w:bidi w:val="0"/>
        <w:spacing w:after="200"/>
        <w:ind w:firstLine="0"/>
        <w:jc w:val="both"/>
        <w:rPr>
          <w:rFonts w:asciiTheme="majorBidi" w:eastAsiaTheme="minorHAnsi" w:hAnsiTheme="majorBidi" w:cstheme="majorBidi"/>
          <w:color w:val="000000"/>
          <w:sz w:val="20"/>
          <w:szCs w:val="20"/>
        </w:rPr>
      </w:pPr>
      <w:r w:rsidRPr="00461793">
        <w:rPr>
          <w:rFonts w:eastAsiaTheme="minorHAnsi" w:cs="Times New Roman"/>
          <w:b/>
          <w:bCs/>
          <w:color w:val="000000"/>
          <w:sz w:val="24"/>
          <w:szCs w:val="24"/>
        </w:rPr>
        <w:t xml:space="preserve">*Corresponding Author: </w:t>
      </w:r>
      <w:proofErr w:type="spellStart"/>
      <w:r w:rsidRPr="00461793">
        <w:rPr>
          <w:rFonts w:eastAsiaTheme="minorHAnsi" w:cs="Times New Roman"/>
          <w:color w:val="000000"/>
          <w:sz w:val="20"/>
          <w:szCs w:val="20"/>
        </w:rPr>
        <w:t>Mohammadreza</w:t>
      </w:r>
      <w:proofErr w:type="spellEnd"/>
      <w:r w:rsidRPr="00461793">
        <w:rPr>
          <w:rFonts w:eastAsiaTheme="minorHAnsi" w:cs="Times New Roman"/>
          <w:color w:val="000000"/>
          <w:sz w:val="20"/>
          <w:szCs w:val="20"/>
        </w:rPr>
        <w:t xml:space="preserve"> </w:t>
      </w:r>
      <w:proofErr w:type="spellStart"/>
      <w:r w:rsidRPr="00461793">
        <w:rPr>
          <w:rFonts w:eastAsiaTheme="minorHAnsi" w:cs="Times New Roman"/>
          <w:color w:val="000000"/>
          <w:sz w:val="20"/>
          <w:szCs w:val="20"/>
        </w:rPr>
        <w:t>Noras</w:t>
      </w:r>
      <w:proofErr w:type="spellEnd"/>
      <w:r w:rsidRPr="00461793">
        <w:rPr>
          <w:rFonts w:eastAsiaTheme="minorHAnsi" w:cs="Times New Roman"/>
          <w:color w:val="000000"/>
          <w:sz w:val="20"/>
          <w:szCs w:val="20"/>
        </w:rPr>
        <w:t>, Faculty of Traditional Medicine, Mashhad University of Medical Science, Iran.   E-mail: norasmr</w:t>
      </w:r>
      <w:bookmarkStart w:id="0" w:name="_GoBack"/>
      <w:bookmarkEnd w:id="0"/>
      <w:r w:rsidRPr="00461793">
        <w:rPr>
          <w:rFonts w:eastAsiaTheme="minorHAnsi" w:cs="Times New Roman"/>
          <w:color w:val="000000"/>
          <w:sz w:val="20"/>
          <w:szCs w:val="20"/>
        </w:rPr>
        <w:t xml:space="preserve">@mums.ac.ir tell: +989151650410  </w:t>
      </w:r>
    </w:p>
    <w:p w:rsidR="00461793" w:rsidRDefault="00461793" w:rsidP="00461793">
      <w:pPr>
        <w:spacing w:line="170" w:lineRule="atLeast"/>
        <w:ind w:firstLine="0"/>
        <w:jc w:val="center"/>
        <w:rPr>
          <w:rFonts w:asciiTheme="majorBidi" w:hAnsiTheme="majorBidi" w:cstheme="majorBidi"/>
          <w:color w:val="222222"/>
          <w:rtl/>
          <w:lang w:val="en"/>
        </w:rPr>
      </w:pPr>
    </w:p>
    <w:p w:rsidR="00461793" w:rsidRPr="00FE71A4" w:rsidRDefault="00461793" w:rsidP="00461793">
      <w:pPr>
        <w:spacing w:line="170" w:lineRule="atLeast"/>
        <w:ind w:firstLine="0"/>
        <w:jc w:val="center"/>
        <w:rPr>
          <w:rFonts w:asciiTheme="majorBidi" w:hAnsiTheme="majorBidi" w:cstheme="majorBidi"/>
          <w:sz w:val="36"/>
          <w:szCs w:val="36"/>
        </w:rPr>
      </w:pPr>
    </w:p>
    <w:p w:rsidR="00461793" w:rsidRPr="005A5B6F" w:rsidRDefault="00461793" w:rsidP="00461793">
      <w:pPr>
        <w:bidi w:val="0"/>
        <w:spacing w:line="170" w:lineRule="atLeast"/>
        <w:ind w:firstLine="0"/>
        <w:jc w:val="both"/>
        <w:rPr>
          <w:rFonts w:asciiTheme="majorBidi" w:hAnsiTheme="majorBidi" w:cstheme="majorBidi"/>
          <w:sz w:val="24"/>
          <w:szCs w:val="24"/>
          <w:rtl/>
          <w:lang w:val="en"/>
        </w:rPr>
      </w:pPr>
      <w:r w:rsidRPr="005A5B6F">
        <w:rPr>
          <w:rFonts w:asciiTheme="majorBidi" w:hAnsiTheme="majorBidi" w:cstheme="majorBidi"/>
          <w:b/>
          <w:bCs/>
          <w:sz w:val="24"/>
          <w:szCs w:val="24"/>
          <w:lang w:val="en"/>
        </w:rPr>
        <w:t>Introduction</w:t>
      </w:r>
      <w:r w:rsidRPr="005A5B6F">
        <w:rPr>
          <w:rFonts w:asciiTheme="majorBidi" w:hAnsiTheme="majorBidi" w:cstheme="majorBidi"/>
          <w:sz w:val="24"/>
          <w:szCs w:val="24"/>
          <w:lang w:val="en"/>
        </w:rPr>
        <w:t>: Primary dysmenorrhea is one of the most common complaints referred to the gynecologist. It seems that the effect of acupuncture and also complementary medicine approaches is an effective way to reduce</w:t>
      </w:r>
      <w:r w:rsidRPr="005A5B6F">
        <w:rPr>
          <w:rFonts w:asciiTheme="majorBidi" w:hAnsiTheme="majorBidi" w:cstheme="majorBidi"/>
          <w:sz w:val="24"/>
          <w:szCs w:val="24"/>
          <w:rtl/>
          <w:lang w:val="en"/>
        </w:rPr>
        <w:t xml:space="preserve"> </w:t>
      </w:r>
      <w:r w:rsidRPr="005A5B6F">
        <w:rPr>
          <w:rFonts w:asciiTheme="majorBidi" w:hAnsiTheme="majorBidi" w:cstheme="majorBidi"/>
          <w:sz w:val="24"/>
          <w:szCs w:val="24"/>
          <w:lang w:val="en"/>
        </w:rPr>
        <w:t>dysmenorrhea.</w:t>
      </w:r>
      <w:r>
        <w:rPr>
          <w:rFonts w:asciiTheme="majorBidi" w:hAnsiTheme="majorBidi" w:cstheme="majorBidi"/>
          <w:sz w:val="24"/>
          <w:szCs w:val="24"/>
          <w:lang w:val="en"/>
        </w:rPr>
        <w:t xml:space="preserve"> </w:t>
      </w:r>
      <w:r w:rsidRPr="005A5B6F">
        <w:rPr>
          <w:rFonts w:asciiTheme="majorBidi" w:hAnsiTheme="majorBidi" w:cstheme="majorBidi"/>
          <w:sz w:val="24"/>
          <w:szCs w:val="24"/>
          <w:lang w:val="en"/>
        </w:rPr>
        <w:t xml:space="preserve">This study aimed to compare the effects of acupuncture and </w:t>
      </w:r>
      <w:proofErr w:type="spellStart"/>
      <w:r w:rsidRPr="005A5B6F">
        <w:rPr>
          <w:rFonts w:asciiTheme="majorBidi" w:hAnsiTheme="majorBidi" w:cstheme="majorBidi"/>
          <w:sz w:val="24"/>
          <w:szCs w:val="24"/>
          <w:lang w:val="en"/>
        </w:rPr>
        <w:t>Mefenamic</w:t>
      </w:r>
      <w:proofErr w:type="spellEnd"/>
      <w:r w:rsidRPr="005A5B6F">
        <w:rPr>
          <w:rFonts w:asciiTheme="majorBidi" w:hAnsiTheme="majorBidi" w:cstheme="majorBidi"/>
          <w:sz w:val="24"/>
          <w:szCs w:val="24"/>
          <w:lang w:val="en"/>
        </w:rPr>
        <w:t xml:space="preserve"> acid on pain intensity and</w:t>
      </w:r>
      <w:r w:rsidRPr="005A5B6F">
        <w:rPr>
          <w:rFonts w:asciiTheme="majorBidi" w:hAnsiTheme="majorBidi" w:cstheme="majorBidi"/>
          <w:sz w:val="24"/>
          <w:szCs w:val="24"/>
        </w:rPr>
        <w:t xml:space="preserve"> </w:t>
      </w:r>
      <w:r w:rsidRPr="005A5B6F">
        <w:rPr>
          <w:rFonts w:asciiTheme="majorBidi" w:hAnsiTheme="majorBidi" w:cstheme="majorBidi"/>
          <w:sz w:val="24"/>
          <w:szCs w:val="24"/>
          <w:lang w:val="en"/>
        </w:rPr>
        <w:t>absent from work</w:t>
      </w:r>
      <w:r w:rsidRPr="005A5B6F">
        <w:rPr>
          <w:rFonts w:asciiTheme="majorBidi" w:hAnsiTheme="majorBidi" w:cstheme="majorBidi"/>
          <w:sz w:val="24"/>
          <w:szCs w:val="24"/>
          <w:rtl/>
          <w:lang w:val="en"/>
        </w:rPr>
        <w:t xml:space="preserve"> </w:t>
      </w:r>
      <w:r w:rsidRPr="005A5B6F">
        <w:rPr>
          <w:rFonts w:asciiTheme="majorBidi" w:hAnsiTheme="majorBidi" w:cstheme="majorBidi"/>
          <w:sz w:val="24"/>
          <w:szCs w:val="24"/>
          <w:lang w:val="en"/>
        </w:rPr>
        <w:t>in primary dysmenorrhea</w:t>
      </w:r>
      <w:r w:rsidRPr="005A5B6F">
        <w:rPr>
          <w:rFonts w:asciiTheme="majorBidi" w:hAnsiTheme="majorBidi" w:cstheme="majorBidi"/>
          <w:sz w:val="24"/>
          <w:szCs w:val="24"/>
          <w:rtl/>
          <w:lang w:val="en"/>
        </w:rPr>
        <w:t xml:space="preserve">. </w:t>
      </w:r>
      <w:r w:rsidRPr="005A5B6F">
        <w:rPr>
          <w:rFonts w:asciiTheme="majorBidi" w:hAnsiTheme="majorBidi" w:cstheme="majorBidi"/>
          <w:sz w:val="24"/>
          <w:szCs w:val="24"/>
          <w:lang w:val="en"/>
        </w:rPr>
        <w:t xml:space="preserve"> </w:t>
      </w:r>
    </w:p>
    <w:p w:rsidR="00461793" w:rsidRPr="005A5B6F" w:rsidRDefault="00461793" w:rsidP="00461793">
      <w:pPr>
        <w:bidi w:val="0"/>
        <w:spacing w:line="170" w:lineRule="atLeast"/>
        <w:ind w:firstLine="0"/>
        <w:jc w:val="both"/>
        <w:rPr>
          <w:rFonts w:asciiTheme="majorBidi" w:hAnsiTheme="majorBidi" w:cstheme="majorBidi"/>
          <w:sz w:val="32"/>
          <w:szCs w:val="32"/>
        </w:rPr>
      </w:pPr>
      <w:r w:rsidRPr="005A5B6F">
        <w:rPr>
          <w:rFonts w:asciiTheme="majorBidi" w:hAnsiTheme="majorBidi" w:cstheme="majorBidi"/>
          <w:b/>
          <w:bCs/>
          <w:sz w:val="24"/>
          <w:szCs w:val="24"/>
          <w:lang w:val="en"/>
        </w:rPr>
        <w:t>Methods:</w:t>
      </w:r>
      <w:r w:rsidRPr="005A5B6F">
        <w:rPr>
          <w:rFonts w:asciiTheme="majorBidi" w:hAnsiTheme="majorBidi" w:cstheme="majorBidi"/>
          <w:sz w:val="24"/>
          <w:szCs w:val="24"/>
          <w:lang w:val="en"/>
        </w:rPr>
        <w:t xml:space="preserve"> </w:t>
      </w:r>
      <w:r>
        <w:rPr>
          <w:rFonts w:asciiTheme="majorBidi" w:hAnsiTheme="majorBidi" w:cstheme="majorBidi"/>
          <w:sz w:val="24"/>
          <w:szCs w:val="24"/>
          <w:lang w:val="en"/>
        </w:rPr>
        <w:t>T</w:t>
      </w:r>
      <w:r w:rsidRPr="005A5B6F">
        <w:rPr>
          <w:rFonts w:asciiTheme="majorBidi" w:hAnsiTheme="majorBidi" w:cstheme="majorBidi"/>
          <w:sz w:val="24"/>
          <w:szCs w:val="24"/>
          <w:lang w:val="en"/>
        </w:rPr>
        <w:t xml:space="preserve">his quasi-experimental study was carried out among 220 patients referred, 140 were chosen with a history of primary dysmenorrhea. 70 patients were divided randomly into two groups. An acupuncture group and the other group received </w:t>
      </w:r>
      <w:proofErr w:type="spellStart"/>
      <w:r w:rsidRPr="005A5B6F">
        <w:rPr>
          <w:rFonts w:asciiTheme="majorBidi" w:hAnsiTheme="majorBidi" w:cstheme="majorBidi"/>
          <w:sz w:val="24"/>
          <w:szCs w:val="24"/>
          <w:lang w:val="en"/>
        </w:rPr>
        <w:t>mefenamic</w:t>
      </w:r>
      <w:proofErr w:type="spellEnd"/>
      <w:r w:rsidRPr="005A5B6F">
        <w:rPr>
          <w:rFonts w:asciiTheme="majorBidi" w:hAnsiTheme="majorBidi" w:cstheme="majorBidi"/>
          <w:sz w:val="24"/>
          <w:szCs w:val="24"/>
          <w:lang w:val="en"/>
        </w:rPr>
        <w:t xml:space="preserve"> acid for three menstrual periods. Analysis of data using statistical software SPSS (version 1</w:t>
      </w:r>
      <w:r>
        <w:rPr>
          <w:rFonts w:asciiTheme="majorBidi" w:hAnsiTheme="majorBidi" w:cstheme="majorBidi"/>
          <w:sz w:val="24"/>
          <w:szCs w:val="24"/>
          <w:lang w:val="en"/>
        </w:rPr>
        <w:t>6</w:t>
      </w:r>
      <w:r w:rsidRPr="005A5B6F">
        <w:rPr>
          <w:rFonts w:asciiTheme="majorBidi" w:hAnsiTheme="majorBidi" w:cstheme="majorBidi"/>
          <w:sz w:val="24"/>
          <w:szCs w:val="24"/>
          <w:lang w:val="en"/>
        </w:rPr>
        <w:t xml:space="preserve">) and Friedman, Mann-Whitney and Wilcoxon </w:t>
      </w:r>
      <w:r w:rsidRPr="00461793">
        <w:rPr>
          <w:rFonts w:asciiTheme="majorBidi" w:hAnsiTheme="majorBidi" w:cstheme="majorBidi"/>
          <w:sz w:val="24"/>
          <w:szCs w:val="24"/>
          <w:lang w:val="en"/>
        </w:rPr>
        <w:t xml:space="preserve">tests </w:t>
      </w:r>
      <w:r w:rsidRPr="00461793">
        <w:rPr>
          <w:rStyle w:val="alt-edited1"/>
          <w:rFonts w:asciiTheme="majorBidi" w:hAnsiTheme="majorBidi" w:cstheme="majorBidi"/>
          <w:color w:val="auto"/>
          <w:sz w:val="24"/>
          <w:szCs w:val="24"/>
          <w:lang w:val="en"/>
        </w:rPr>
        <w:t>were performed</w:t>
      </w:r>
      <w:r w:rsidRPr="00461793">
        <w:rPr>
          <w:rStyle w:val="alt-edited1"/>
          <w:rFonts w:asciiTheme="majorBidi" w:hAnsiTheme="majorBidi" w:cstheme="majorBidi" w:hint="cs"/>
          <w:color w:val="auto"/>
          <w:sz w:val="24"/>
          <w:szCs w:val="24"/>
          <w:rtl/>
          <w:lang w:val="en"/>
        </w:rPr>
        <w:t>.</w:t>
      </w:r>
    </w:p>
    <w:p w:rsidR="00461793" w:rsidRDefault="00461793" w:rsidP="00461793">
      <w:pPr>
        <w:bidi w:val="0"/>
        <w:spacing w:line="170" w:lineRule="atLeast"/>
        <w:ind w:firstLine="0"/>
        <w:jc w:val="both"/>
        <w:rPr>
          <w:rFonts w:asciiTheme="majorBidi" w:hAnsiTheme="majorBidi" w:cstheme="majorBidi"/>
          <w:b/>
          <w:bCs/>
          <w:sz w:val="24"/>
          <w:szCs w:val="24"/>
          <w:lang w:val="en"/>
        </w:rPr>
      </w:pPr>
      <w:r w:rsidRPr="00D87094">
        <w:rPr>
          <w:rFonts w:asciiTheme="majorBidi" w:hAnsiTheme="majorBidi" w:cstheme="majorBidi"/>
          <w:b/>
          <w:bCs/>
          <w:sz w:val="24"/>
          <w:szCs w:val="24"/>
        </w:rPr>
        <w:t>Findings</w:t>
      </w:r>
      <w:proofErr w:type="gramStart"/>
      <w:r w:rsidRPr="00D87094">
        <w:rPr>
          <w:rFonts w:asciiTheme="majorBidi" w:hAnsiTheme="majorBidi" w:cstheme="majorBidi"/>
          <w:b/>
          <w:bCs/>
          <w:sz w:val="24"/>
          <w:szCs w:val="24"/>
        </w:rPr>
        <w:t>:</w:t>
      </w:r>
      <w:proofErr w:type="gramEnd"/>
      <w:r w:rsidRPr="00D87094">
        <w:rPr>
          <w:rFonts w:asciiTheme="majorBidi" w:hAnsiTheme="majorBidi" w:cstheme="majorBidi"/>
          <w:b/>
          <w:bCs/>
          <w:sz w:val="24"/>
          <w:szCs w:val="24"/>
          <w:lang w:val="en"/>
        </w:rPr>
        <w:br/>
      </w:r>
      <w:r w:rsidRPr="00DD3368">
        <w:rPr>
          <w:rFonts w:asciiTheme="majorBidi" w:hAnsiTheme="majorBidi" w:cstheme="majorBidi"/>
          <w:sz w:val="24"/>
          <w:szCs w:val="24"/>
          <w:lang w:val="en"/>
        </w:rPr>
        <w:t>The pain and absence from work was reduced in both groups after three menstrual periods. This decline was significant. Treatment effects in the acupuncture group were more and longer.</w:t>
      </w:r>
    </w:p>
    <w:p w:rsidR="00461793" w:rsidRDefault="00461793" w:rsidP="00461793">
      <w:pPr>
        <w:bidi w:val="0"/>
        <w:spacing w:line="170" w:lineRule="atLeast"/>
        <w:ind w:firstLine="0"/>
        <w:jc w:val="both"/>
        <w:rPr>
          <w:rFonts w:ascii="Arial" w:hAnsi="Arial" w:cs="Arial"/>
          <w:color w:val="222222"/>
          <w:lang w:val="en"/>
        </w:rPr>
      </w:pPr>
      <w:r w:rsidRPr="00980778">
        <w:rPr>
          <w:rFonts w:asciiTheme="majorBidi" w:hAnsiTheme="majorBidi" w:cstheme="majorBidi"/>
          <w:b/>
          <w:bCs/>
          <w:sz w:val="24"/>
          <w:szCs w:val="24"/>
        </w:rPr>
        <w:t>Conclusion:</w:t>
      </w:r>
      <w:r>
        <w:rPr>
          <w:rFonts w:ascii="Arial" w:hAnsi="Arial" w:cs="Arial"/>
          <w:color w:val="222222"/>
          <w:lang w:val="en"/>
        </w:rPr>
        <w:t xml:space="preserve"> </w:t>
      </w:r>
      <w:r w:rsidRPr="00980778">
        <w:rPr>
          <w:rFonts w:asciiTheme="majorBidi" w:hAnsiTheme="majorBidi" w:cstheme="majorBidi"/>
          <w:sz w:val="24"/>
          <w:szCs w:val="24"/>
          <w:lang w:val="en"/>
        </w:rPr>
        <w:t xml:space="preserve">Acupuncture reduces pain, dysmenorrhea, reduce absenteeism from work and increase the quality of life and work, as an effective </w:t>
      </w:r>
      <w:proofErr w:type="spellStart"/>
      <w:r w:rsidRPr="00980778">
        <w:rPr>
          <w:rFonts w:asciiTheme="majorBidi" w:hAnsiTheme="majorBidi" w:cstheme="majorBidi"/>
          <w:sz w:val="24"/>
          <w:szCs w:val="24"/>
          <w:lang w:val="en"/>
        </w:rPr>
        <w:t>nonpharmacologic</w:t>
      </w:r>
      <w:proofErr w:type="spellEnd"/>
      <w:r w:rsidRPr="00980778">
        <w:rPr>
          <w:rFonts w:asciiTheme="majorBidi" w:hAnsiTheme="majorBidi" w:cstheme="majorBidi"/>
          <w:sz w:val="24"/>
          <w:szCs w:val="24"/>
          <w:lang w:val="en"/>
        </w:rPr>
        <w:t xml:space="preserve"> methods will be introduced.</w:t>
      </w:r>
    </w:p>
    <w:p w:rsidR="00461793" w:rsidRPr="00980778" w:rsidRDefault="00461793" w:rsidP="00461793">
      <w:pPr>
        <w:bidi w:val="0"/>
        <w:spacing w:line="170" w:lineRule="atLeast"/>
        <w:ind w:firstLine="0"/>
        <w:jc w:val="both"/>
        <w:rPr>
          <w:rFonts w:asciiTheme="majorBidi" w:hAnsiTheme="majorBidi" w:cstheme="majorBidi"/>
          <w:sz w:val="24"/>
          <w:szCs w:val="24"/>
          <w:lang w:val="en"/>
        </w:rPr>
      </w:pPr>
      <w:r w:rsidRPr="00980778">
        <w:rPr>
          <w:rFonts w:asciiTheme="majorBidi" w:hAnsiTheme="majorBidi" w:cstheme="majorBidi"/>
          <w:b/>
          <w:bCs/>
          <w:sz w:val="24"/>
          <w:szCs w:val="24"/>
        </w:rPr>
        <w:t>Keywords:</w:t>
      </w:r>
      <w:r w:rsidRPr="00980778">
        <w:rPr>
          <w:rFonts w:asciiTheme="majorBidi" w:hAnsiTheme="majorBidi" w:cstheme="majorBidi"/>
          <w:sz w:val="24"/>
          <w:szCs w:val="24"/>
        </w:rPr>
        <w:t xml:space="preserve"> acupuncture, pain, dysmenorrhea, Complementary and Alternative Medicine</w:t>
      </w:r>
    </w:p>
    <w:p w:rsidR="00AA4EE4" w:rsidRDefault="00AA4EE4"/>
    <w:sectPr w:rsidR="00AA4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632"/>
    <w:rsid w:val="00045632"/>
    <w:rsid w:val="002609BE"/>
    <w:rsid w:val="00461793"/>
    <w:rsid w:val="00AA4E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793"/>
    <w:pPr>
      <w:bidi/>
      <w:spacing w:after="0" w:line="360" w:lineRule="auto"/>
      <w:ind w:firstLine="340"/>
      <w:jc w:val="lowKashida"/>
    </w:pPr>
    <w:rPr>
      <w:rFonts w:ascii="Times New Roman" w:eastAsia="Times New Roman" w:hAnsi="Times New Roman" w:cs="B Nazani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t-edited1">
    <w:name w:val="alt-edited1"/>
    <w:basedOn w:val="DefaultParagraphFont"/>
    <w:rsid w:val="00461793"/>
    <w:rPr>
      <w:color w:val="4D90F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793"/>
    <w:pPr>
      <w:bidi/>
      <w:spacing w:after="0" w:line="360" w:lineRule="auto"/>
      <w:ind w:firstLine="340"/>
      <w:jc w:val="lowKashida"/>
    </w:pPr>
    <w:rPr>
      <w:rFonts w:ascii="Times New Roman" w:eastAsia="Times New Roman" w:hAnsi="Times New Roman" w:cs="B Nazani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t-edited1">
    <w:name w:val="alt-edited1"/>
    <w:basedOn w:val="DefaultParagraphFont"/>
    <w:rsid w:val="00461793"/>
    <w:rPr>
      <w:color w:val="4D9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Reza Noras</dc:creator>
  <cp:keywords/>
  <dc:description/>
  <cp:lastModifiedBy>Mohammad Reza Noras</cp:lastModifiedBy>
  <cp:revision>5</cp:revision>
  <dcterms:created xsi:type="dcterms:W3CDTF">2017-06-08T08:45:00Z</dcterms:created>
  <dcterms:modified xsi:type="dcterms:W3CDTF">2017-06-08T08:51:00Z</dcterms:modified>
</cp:coreProperties>
</file>