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7F60" w:rsidRDefault="00FB7F60" w:rsidP="00FB7F60">
      <w:pPr>
        <w:jc w:val="both"/>
        <w:rPr>
          <w:sz w:val="22"/>
          <w:szCs w:val="22"/>
          <w:lang w:val="en-GB"/>
        </w:rPr>
      </w:pPr>
      <w:r>
        <w:rPr>
          <w:sz w:val="22"/>
          <w:szCs w:val="22"/>
          <w:lang w:val="en-GB"/>
        </w:rPr>
        <w:t xml:space="preserve">                                                                                                                       </w:t>
      </w:r>
      <w:r w:rsidR="00BF6D90">
        <w:rPr>
          <w:noProof/>
          <w:sz w:val="22"/>
          <w:szCs w:val="22"/>
          <w:lang w:val="en-US" w:eastAsia="en-US"/>
        </w:rPr>
        <w:drawing>
          <wp:inline distT="0" distB="0" distL="0" distR="0">
            <wp:extent cx="1708150" cy="21971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isty Appehans_bio pic.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08265" cy="2197248"/>
                    </a:xfrm>
                    <a:prstGeom prst="rect">
                      <a:avLst/>
                    </a:prstGeom>
                  </pic:spPr>
                </pic:pic>
              </a:graphicData>
            </a:graphic>
          </wp:inline>
        </w:drawing>
      </w:r>
    </w:p>
    <w:p w:rsidR="00BF6D90" w:rsidRDefault="00FB7F60" w:rsidP="00BF6D90">
      <w:pPr>
        <w:rPr>
          <w:rFonts w:eastAsia="MS PGothic" w:hAnsi="Arial"/>
          <w:color w:val="000000"/>
        </w:rPr>
      </w:pPr>
      <w:r>
        <w:rPr>
          <w:rFonts w:eastAsia="MS PGothic"/>
          <w:b/>
          <w:color w:val="000000"/>
          <w:sz w:val="28"/>
          <w:szCs w:val="28"/>
        </w:rPr>
        <w:t xml:space="preserve">Title: </w:t>
      </w:r>
      <w:r w:rsidR="00BF6D90" w:rsidRPr="00BF6D90">
        <w:rPr>
          <w:rFonts w:eastAsia="MS PGothic"/>
          <w:b/>
          <w:color w:val="000000"/>
          <w:sz w:val="28"/>
          <w:szCs w:val="28"/>
        </w:rPr>
        <w:t>Clinical Significance of Post-Market Surveillance for Dietary Supplements: A Possible Framework for Enhanced Patient Safety</w:t>
      </w:r>
      <w:r>
        <w:rPr>
          <w:rFonts w:eastAsia="MS PGothic" w:hAnsi="Arial"/>
          <w:color w:val="000000"/>
        </w:rPr>
        <w:br/>
      </w:r>
    </w:p>
    <w:p w:rsidR="00FB7F60" w:rsidRDefault="00BF6D90" w:rsidP="00BF6D90">
      <w:pPr>
        <w:rPr>
          <w:rFonts w:eastAsia="MS PGothic" w:hAnsi="Arial"/>
          <w:color w:val="000000"/>
        </w:rPr>
      </w:pPr>
      <w:r>
        <w:rPr>
          <w:rFonts w:eastAsia="MS PGothic" w:hAnsi="Arial"/>
          <w:color w:val="000000"/>
        </w:rPr>
        <w:t>Dr. Kristy Appelhans, ND</w:t>
      </w:r>
    </w:p>
    <w:p w:rsidR="00FB7F60" w:rsidRDefault="00BF6D90" w:rsidP="00BF6D90">
      <w:pPr>
        <w:rPr>
          <w:rFonts w:eastAsia="MS PGothic" w:hAnsi="Arial"/>
          <w:color w:val="000000"/>
        </w:rPr>
      </w:pPr>
      <w:r>
        <w:rPr>
          <w:rFonts w:eastAsia="MS PGothic" w:hAnsi="Arial"/>
          <w:color w:val="000000"/>
        </w:rPr>
        <w:t>Herbalife Nutrition</w:t>
      </w:r>
      <w:r w:rsidR="00FB7F60">
        <w:rPr>
          <w:rFonts w:eastAsia="MS PGothic" w:hAnsi="Arial"/>
          <w:color w:val="000000"/>
        </w:rPr>
        <w:t xml:space="preserve">, </w:t>
      </w:r>
      <w:r>
        <w:rPr>
          <w:rFonts w:eastAsia="MS PGothic" w:hAnsi="Arial"/>
          <w:color w:val="000000"/>
        </w:rPr>
        <w:t xml:space="preserve">Torrance </w:t>
      </w:r>
      <w:r w:rsidR="00FB7F60">
        <w:rPr>
          <w:rFonts w:eastAsia="MS PGothic" w:hAnsi="Arial"/>
          <w:color w:val="000000"/>
        </w:rPr>
        <w:t>CA 9</w:t>
      </w:r>
      <w:r>
        <w:rPr>
          <w:rFonts w:eastAsia="MS PGothic" w:hAnsi="Arial"/>
          <w:color w:val="000000"/>
        </w:rPr>
        <w:t>0</w:t>
      </w:r>
      <w:r w:rsidR="00FB7F60">
        <w:rPr>
          <w:rFonts w:eastAsia="MS PGothic" w:hAnsi="Arial"/>
          <w:color w:val="000000"/>
        </w:rPr>
        <w:t>5</w:t>
      </w:r>
      <w:r>
        <w:rPr>
          <w:rFonts w:eastAsia="MS PGothic" w:hAnsi="Arial"/>
          <w:color w:val="000000"/>
        </w:rPr>
        <w:t>02</w:t>
      </w:r>
      <w:r w:rsidR="00FB7F60">
        <w:rPr>
          <w:rFonts w:eastAsia="MS PGothic" w:hAnsi="Arial"/>
          <w:color w:val="000000"/>
        </w:rPr>
        <w:t>, USA</w:t>
      </w:r>
    </w:p>
    <w:p w:rsidR="00FB7F60" w:rsidRDefault="00FB7F60" w:rsidP="00FB7F60">
      <w:pPr>
        <w:jc w:val="center"/>
        <w:rPr>
          <w:rFonts w:eastAsia="Batang"/>
          <w:color w:val="0000FF"/>
          <w:sz w:val="36"/>
          <w:szCs w:val="36"/>
        </w:rPr>
      </w:pPr>
    </w:p>
    <w:p w:rsidR="00FB7F60" w:rsidRDefault="00BF6D90" w:rsidP="00FB7F60">
      <w:pPr>
        <w:jc w:val="both"/>
        <w:rPr>
          <w:rFonts w:eastAsia="MS PGothic"/>
          <w:color w:val="000000"/>
          <w:sz w:val="22"/>
          <w:szCs w:val="22"/>
        </w:rPr>
      </w:pPr>
      <w:r w:rsidRPr="00BF6D90">
        <w:rPr>
          <w:rFonts w:eastAsia="MS PGothic"/>
          <w:color w:val="000000"/>
          <w:sz w:val="22"/>
          <w:szCs w:val="22"/>
        </w:rPr>
        <w:t>Use of dietary supplements is very common amongst providers working in integrative, complementary, and/or alternative health care settings and the retail sale of a broad array of dietary supplements has allowed these substances to be easily accessed by the consumer population. In fact, recent studies have stated that at least 70% of US consumers incorporate some form of dietary supplement use into their routine nutrition/health regimen. Therefore, it is critical to consistently and objectively review the safety of these supplements in order to properly evaluate their use in patient wellness protocols. Unfortunately, pre-market safety data is sporadic at best beyond traditional use knowledge for individual novel ingredients (i.e. not including those recognized as food ingredients with well-established safety records from long-standing use in the food supply) and combined substance use data (e.g. multi-ingredient formulations) is even less commonly established. While the body of pre-market safety evidence is growing significantly for novel supplement ingredients and combinations, post-market surveillance remains an important tool for evaluating the use of these substances in the population at large, which often cannot be properly demonstrated in controlled clinical study populations. This review will present various methods for evaluating dietary supplement safety in the post-market environment and identify potential ways in which clinicians may use this information and assist with the broader assessment of populations using these substances in the interest of patient safety.</w:t>
      </w:r>
    </w:p>
    <w:p w:rsidR="00BF6D90" w:rsidRPr="00FB7F60" w:rsidRDefault="00BF6D90" w:rsidP="00FB7F60">
      <w:pPr>
        <w:jc w:val="both"/>
        <w:rPr>
          <w:color w:val="000000"/>
          <w:sz w:val="22"/>
          <w:szCs w:val="22"/>
        </w:rPr>
      </w:pPr>
    </w:p>
    <w:p w:rsidR="00FB7F60" w:rsidRPr="00FB7F60" w:rsidRDefault="00FB7F60" w:rsidP="00FB7F60">
      <w:pPr>
        <w:jc w:val="both"/>
        <w:rPr>
          <w:b/>
          <w:sz w:val="22"/>
          <w:szCs w:val="22"/>
        </w:rPr>
      </w:pPr>
      <w:r w:rsidRPr="00FB7F60">
        <w:rPr>
          <w:b/>
          <w:sz w:val="22"/>
          <w:szCs w:val="22"/>
        </w:rPr>
        <w:t>Biography</w:t>
      </w:r>
    </w:p>
    <w:p w:rsidR="00FB7F60" w:rsidRPr="00FB7F60" w:rsidRDefault="00FB7F60" w:rsidP="00FB7F60">
      <w:pPr>
        <w:jc w:val="both"/>
        <w:rPr>
          <w:b/>
          <w:sz w:val="22"/>
          <w:szCs w:val="22"/>
        </w:rPr>
      </w:pPr>
    </w:p>
    <w:p w:rsidR="00FB7F60" w:rsidRPr="00FB7F60" w:rsidRDefault="00353086" w:rsidP="00FB7F60">
      <w:pPr>
        <w:jc w:val="both"/>
        <w:rPr>
          <w:rFonts w:eastAsia="MS PGothic"/>
          <w:b/>
          <w:color w:val="000000"/>
          <w:sz w:val="22"/>
          <w:szCs w:val="22"/>
        </w:rPr>
      </w:pPr>
      <w:r>
        <w:rPr>
          <w:sz w:val="22"/>
          <w:szCs w:val="22"/>
        </w:rPr>
        <w:t xml:space="preserve">Dr. </w:t>
      </w:r>
      <w:r w:rsidR="00A63A3A">
        <w:rPr>
          <w:sz w:val="22"/>
          <w:szCs w:val="22"/>
        </w:rPr>
        <w:t>Kristy Appelhans</w:t>
      </w:r>
      <w:r w:rsidR="00FB7F60" w:rsidRPr="00FB7F60">
        <w:rPr>
          <w:sz w:val="22"/>
          <w:szCs w:val="22"/>
        </w:rPr>
        <w:t xml:space="preserve"> completed h</w:t>
      </w:r>
      <w:r w:rsidR="00A63A3A">
        <w:rPr>
          <w:sz w:val="22"/>
          <w:szCs w:val="22"/>
        </w:rPr>
        <w:t xml:space="preserve">er </w:t>
      </w:r>
      <w:r w:rsidR="001C18E5">
        <w:rPr>
          <w:sz w:val="22"/>
          <w:szCs w:val="22"/>
        </w:rPr>
        <w:t xml:space="preserve">Bachelor of Science in Clinical Nutrition in 2003, </w:t>
      </w:r>
      <w:r w:rsidR="00A63A3A">
        <w:rPr>
          <w:sz w:val="22"/>
          <w:szCs w:val="22"/>
        </w:rPr>
        <w:t>doctoral degree in Naturopathic Medicine in 2007</w:t>
      </w:r>
      <w:r w:rsidR="001C18E5">
        <w:rPr>
          <w:sz w:val="22"/>
          <w:szCs w:val="22"/>
        </w:rPr>
        <w:t>,</w:t>
      </w:r>
      <w:r w:rsidR="00FB7F60" w:rsidRPr="00FB7F60">
        <w:rPr>
          <w:sz w:val="22"/>
          <w:szCs w:val="22"/>
        </w:rPr>
        <w:t xml:space="preserve"> </w:t>
      </w:r>
      <w:r w:rsidR="001C18E5">
        <w:rPr>
          <w:sz w:val="22"/>
          <w:szCs w:val="22"/>
        </w:rPr>
        <w:t xml:space="preserve">and </w:t>
      </w:r>
      <w:r>
        <w:rPr>
          <w:sz w:val="22"/>
          <w:szCs w:val="22"/>
        </w:rPr>
        <w:t>Masters of Science in Regulatory</w:t>
      </w:r>
      <w:r w:rsidR="001C18E5">
        <w:rPr>
          <w:sz w:val="22"/>
          <w:szCs w:val="22"/>
        </w:rPr>
        <w:t xml:space="preserve"> Affairs in 2016</w:t>
      </w:r>
      <w:r>
        <w:rPr>
          <w:sz w:val="22"/>
          <w:szCs w:val="22"/>
        </w:rPr>
        <w:t>. Sh</w:t>
      </w:r>
      <w:r w:rsidR="00BC1F4E">
        <w:rPr>
          <w:sz w:val="22"/>
          <w:szCs w:val="22"/>
        </w:rPr>
        <w:t>e oversees Herbalife Nutrition’s Global Post-Market Safety Surveillance department</w:t>
      </w:r>
      <w:r w:rsidR="00147FA2">
        <w:rPr>
          <w:sz w:val="22"/>
          <w:szCs w:val="22"/>
        </w:rPr>
        <w:t xml:space="preserve"> and operates a private naturopathic medical practice. </w:t>
      </w:r>
      <w:r w:rsidR="00444329">
        <w:rPr>
          <w:sz w:val="22"/>
          <w:szCs w:val="22"/>
        </w:rPr>
        <w:t xml:space="preserve">Dr. Appelhans </w:t>
      </w:r>
      <w:r w:rsidR="00FB7F60" w:rsidRPr="00FB7F60">
        <w:rPr>
          <w:sz w:val="22"/>
          <w:szCs w:val="22"/>
        </w:rPr>
        <w:t xml:space="preserve">has </w:t>
      </w:r>
      <w:r w:rsidR="00444329">
        <w:rPr>
          <w:sz w:val="22"/>
          <w:szCs w:val="22"/>
        </w:rPr>
        <w:t xml:space="preserve">a broad scope of expertise related to the technical, functional, </w:t>
      </w:r>
      <w:r w:rsidR="001C18E5">
        <w:rPr>
          <w:sz w:val="22"/>
          <w:szCs w:val="22"/>
        </w:rPr>
        <w:t>and</w:t>
      </w:r>
      <w:r w:rsidR="00444329">
        <w:rPr>
          <w:sz w:val="22"/>
          <w:szCs w:val="22"/>
        </w:rPr>
        <w:t xml:space="preserve"> clinical aspects of consumer safety. She has been the lead author for more </w:t>
      </w:r>
      <w:r w:rsidR="00FB7F60" w:rsidRPr="00FB7F60">
        <w:rPr>
          <w:sz w:val="22"/>
          <w:szCs w:val="22"/>
        </w:rPr>
        <w:t xml:space="preserve">than </w:t>
      </w:r>
      <w:r>
        <w:rPr>
          <w:sz w:val="22"/>
          <w:szCs w:val="22"/>
        </w:rPr>
        <w:t xml:space="preserve">14 </w:t>
      </w:r>
      <w:r w:rsidR="00444329">
        <w:rPr>
          <w:sz w:val="22"/>
          <w:szCs w:val="22"/>
        </w:rPr>
        <w:t xml:space="preserve">peer-reviewed </w:t>
      </w:r>
      <w:r>
        <w:rPr>
          <w:sz w:val="22"/>
          <w:szCs w:val="22"/>
        </w:rPr>
        <w:t>articles</w:t>
      </w:r>
      <w:r w:rsidR="00444329">
        <w:rPr>
          <w:sz w:val="22"/>
          <w:szCs w:val="22"/>
        </w:rPr>
        <w:t xml:space="preserve">, co-authored a global </w:t>
      </w:r>
      <w:r w:rsidR="00BC1F4E">
        <w:rPr>
          <w:sz w:val="22"/>
          <w:szCs w:val="22"/>
        </w:rPr>
        <w:t xml:space="preserve">industry </w:t>
      </w:r>
      <w:r w:rsidR="00444329">
        <w:rPr>
          <w:sz w:val="22"/>
          <w:szCs w:val="22"/>
        </w:rPr>
        <w:t xml:space="preserve">guidance document for the collection of adverse </w:t>
      </w:r>
      <w:r w:rsidR="00BC1F4E">
        <w:rPr>
          <w:sz w:val="22"/>
          <w:szCs w:val="22"/>
        </w:rPr>
        <w:t xml:space="preserve">events, </w:t>
      </w:r>
      <w:r w:rsidR="00444329">
        <w:rPr>
          <w:sz w:val="22"/>
          <w:szCs w:val="22"/>
        </w:rPr>
        <w:t xml:space="preserve">and recently co-authored a book chapter </w:t>
      </w:r>
      <w:r w:rsidR="00FB7F60" w:rsidRPr="00FB7F60">
        <w:rPr>
          <w:sz w:val="22"/>
          <w:szCs w:val="22"/>
        </w:rPr>
        <w:t xml:space="preserve"> </w:t>
      </w:r>
      <w:r>
        <w:rPr>
          <w:sz w:val="22"/>
          <w:szCs w:val="22"/>
        </w:rPr>
        <w:t>on</w:t>
      </w:r>
      <w:r w:rsidR="00444329">
        <w:rPr>
          <w:sz w:val="22"/>
          <w:szCs w:val="22"/>
        </w:rPr>
        <w:t xml:space="preserve"> </w:t>
      </w:r>
      <w:r w:rsidR="001C18E5">
        <w:rPr>
          <w:sz w:val="22"/>
          <w:szCs w:val="22"/>
        </w:rPr>
        <w:t xml:space="preserve">the technical and functional aspects of </w:t>
      </w:r>
      <w:r w:rsidR="00BC1F4E" w:rsidRPr="00BC1F4E">
        <w:rPr>
          <w:sz w:val="22"/>
          <w:szCs w:val="22"/>
        </w:rPr>
        <w:t>a</w:t>
      </w:r>
      <w:r w:rsidR="00BC1F4E">
        <w:rPr>
          <w:sz w:val="22"/>
          <w:szCs w:val="22"/>
        </w:rPr>
        <w:t xml:space="preserve">dverse event </w:t>
      </w:r>
      <w:r w:rsidR="001C18E5">
        <w:rPr>
          <w:sz w:val="22"/>
          <w:szCs w:val="22"/>
        </w:rPr>
        <w:t xml:space="preserve">collection and </w:t>
      </w:r>
      <w:r w:rsidR="00BC1F4E">
        <w:rPr>
          <w:sz w:val="22"/>
          <w:szCs w:val="22"/>
        </w:rPr>
        <w:t>r</w:t>
      </w:r>
      <w:r w:rsidR="00147FA2" w:rsidRPr="00BC1F4E">
        <w:rPr>
          <w:sz w:val="22"/>
          <w:szCs w:val="22"/>
        </w:rPr>
        <w:t>eporting</w:t>
      </w:r>
      <w:r w:rsidR="00444329">
        <w:rPr>
          <w:sz w:val="22"/>
          <w:szCs w:val="22"/>
        </w:rPr>
        <w:t xml:space="preserve">. </w:t>
      </w:r>
      <w:r w:rsidR="00FB7F60" w:rsidRPr="00FB7F60">
        <w:rPr>
          <w:sz w:val="22"/>
          <w:szCs w:val="22"/>
        </w:rPr>
        <w:tab/>
      </w:r>
      <w:r w:rsidR="00FB7F60" w:rsidRPr="00FB7F60">
        <w:rPr>
          <w:sz w:val="22"/>
          <w:szCs w:val="22"/>
        </w:rPr>
        <w:br/>
      </w:r>
    </w:p>
    <w:p w:rsidR="00CF65D1" w:rsidRDefault="00FB7F60" w:rsidP="00CF65D1">
      <w:pPr>
        <w:rPr>
          <w:color w:val="1F497D"/>
        </w:rPr>
      </w:pPr>
      <w:r w:rsidRPr="00FB7F60">
        <w:rPr>
          <w:b/>
          <w:sz w:val="22"/>
          <w:szCs w:val="22"/>
          <w:lang w:val="en-NZ"/>
        </w:rPr>
        <w:t xml:space="preserve">Presenting author details </w:t>
      </w:r>
      <w:r w:rsidRPr="00FB7F60">
        <w:rPr>
          <w:b/>
          <w:sz w:val="22"/>
          <w:szCs w:val="22"/>
          <w:lang w:val="en-NZ"/>
        </w:rPr>
        <w:br/>
      </w:r>
      <w:r w:rsidRPr="00FB7F60">
        <w:rPr>
          <w:sz w:val="22"/>
          <w:szCs w:val="22"/>
          <w:lang w:val="en-NZ"/>
        </w:rPr>
        <w:t xml:space="preserve">Full name: </w:t>
      </w:r>
      <w:r w:rsidR="00E4254B">
        <w:rPr>
          <w:sz w:val="22"/>
          <w:szCs w:val="22"/>
          <w:lang w:val="en-NZ"/>
        </w:rPr>
        <w:t>Kristy Appelhans</w:t>
      </w:r>
      <w:r w:rsidRPr="00FB7F60">
        <w:rPr>
          <w:sz w:val="22"/>
          <w:szCs w:val="22"/>
          <w:lang w:val="en-NZ"/>
        </w:rPr>
        <w:br/>
        <w:t>Contact number:</w:t>
      </w:r>
      <w:r w:rsidR="00E4254B">
        <w:rPr>
          <w:sz w:val="22"/>
          <w:szCs w:val="22"/>
          <w:lang w:val="en-NZ"/>
        </w:rPr>
        <w:t xml:space="preserve"> 310-467-8491</w:t>
      </w:r>
      <w:r w:rsidRPr="00FB7F60">
        <w:rPr>
          <w:sz w:val="22"/>
          <w:szCs w:val="22"/>
          <w:lang w:val="en-NZ"/>
        </w:rPr>
        <w:br/>
        <w:t>Twitter account:</w:t>
      </w:r>
      <w:r w:rsidR="00E4254B">
        <w:rPr>
          <w:sz w:val="22"/>
          <w:szCs w:val="22"/>
          <w:lang w:val="en-NZ"/>
        </w:rPr>
        <w:t xml:space="preserve"> N/A</w:t>
      </w:r>
      <w:r w:rsidR="00E4254B">
        <w:rPr>
          <w:sz w:val="22"/>
          <w:szCs w:val="22"/>
          <w:lang w:val="en-NZ"/>
        </w:rPr>
        <w:br/>
      </w:r>
      <w:proofErr w:type="spellStart"/>
      <w:r w:rsidR="00E4254B">
        <w:rPr>
          <w:sz w:val="22"/>
          <w:szCs w:val="22"/>
          <w:lang w:val="en-NZ"/>
        </w:rPr>
        <w:lastRenderedPageBreak/>
        <w:t>Linkd</w:t>
      </w:r>
      <w:r w:rsidRPr="00FB7F60">
        <w:rPr>
          <w:sz w:val="22"/>
          <w:szCs w:val="22"/>
          <w:lang w:val="en-NZ"/>
        </w:rPr>
        <w:t>In</w:t>
      </w:r>
      <w:proofErr w:type="spellEnd"/>
      <w:r w:rsidRPr="00FB7F60">
        <w:rPr>
          <w:sz w:val="22"/>
          <w:szCs w:val="22"/>
          <w:lang w:val="en-NZ"/>
        </w:rPr>
        <w:t xml:space="preserve"> account:</w:t>
      </w:r>
      <w:r w:rsidR="00E4254B">
        <w:rPr>
          <w:sz w:val="22"/>
          <w:szCs w:val="22"/>
          <w:lang w:val="en-NZ"/>
        </w:rPr>
        <w:t xml:space="preserve"> </w:t>
      </w:r>
      <w:hyperlink r:id="rId6" w:history="1">
        <w:r w:rsidR="00CF65D1">
          <w:rPr>
            <w:rStyle w:val="Hyperlink"/>
          </w:rPr>
          <w:t>https://www.linkedin.com/in/kristy-appelhans-18b48314?authType=NAME_SEARCH&amp;authToken=3zCS&amp;locale=en_US&amp;trk=tyah&amp;trkInfo=clickedVertical%3Amynetwork%2CclickedEntityId%3A48942395%2CauthType%3ANAME_SEARCH%2Cidx%3A1-1-1%2CtarId%3A1484870410230%2Ctas%3AKristy%20Appelhans</w:t>
        </w:r>
      </w:hyperlink>
    </w:p>
    <w:p w:rsidR="00FB7F60" w:rsidRPr="00FB7F60" w:rsidRDefault="00FB7F60" w:rsidP="00FB7F60">
      <w:pPr>
        <w:autoSpaceDE w:val="0"/>
        <w:autoSpaceDN w:val="0"/>
        <w:adjustRightInd w:val="0"/>
        <w:rPr>
          <w:b/>
          <w:sz w:val="22"/>
          <w:szCs w:val="22"/>
          <w:lang w:val="en-NZ"/>
        </w:rPr>
      </w:pPr>
      <w:bookmarkStart w:id="0" w:name="_GoBack"/>
      <w:bookmarkEnd w:id="0"/>
    </w:p>
    <w:p w:rsidR="00FB7F60" w:rsidRPr="00FB7F60" w:rsidRDefault="00FB7F60" w:rsidP="00FB7F60">
      <w:pPr>
        <w:autoSpaceDE w:val="0"/>
        <w:autoSpaceDN w:val="0"/>
        <w:adjustRightInd w:val="0"/>
        <w:rPr>
          <w:b/>
          <w:sz w:val="22"/>
          <w:szCs w:val="22"/>
          <w:lang w:val="en-NZ"/>
        </w:rPr>
      </w:pPr>
      <w:r w:rsidRPr="00301C92">
        <w:rPr>
          <w:sz w:val="22"/>
          <w:szCs w:val="22"/>
          <w:lang w:val="en-NZ"/>
        </w:rPr>
        <w:t>Session name/ number:</w:t>
      </w:r>
      <w:r w:rsidR="00301C92">
        <w:rPr>
          <w:sz w:val="22"/>
          <w:szCs w:val="22"/>
          <w:lang w:val="en-NZ"/>
        </w:rPr>
        <w:t xml:space="preserve"> </w:t>
      </w:r>
      <w:r w:rsidR="00301C92" w:rsidRPr="00301C92">
        <w:rPr>
          <w:sz w:val="22"/>
          <w:szCs w:val="22"/>
          <w:lang w:val="en-NZ"/>
        </w:rPr>
        <w:t>Clinical Significance of Post-Market Surveillance for Dietary Supplements: A Possible Framework for Enhanced Patient Safety</w:t>
      </w:r>
      <w:r w:rsidRPr="00FB7F60">
        <w:rPr>
          <w:sz w:val="22"/>
          <w:szCs w:val="22"/>
          <w:lang w:val="en-NZ"/>
        </w:rPr>
        <w:br/>
        <w:t>Category: Oral presentation</w:t>
      </w:r>
      <w:r w:rsidRPr="00FB7F60">
        <w:rPr>
          <w:sz w:val="22"/>
          <w:szCs w:val="22"/>
          <w:lang w:val="en-NZ"/>
        </w:rPr>
        <w:br/>
      </w:r>
    </w:p>
    <w:p w:rsidR="00FB7F60" w:rsidRPr="00FB7F60" w:rsidRDefault="00FB7F60" w:rsidP="00FB7F60">
      <w:pPr>
        <w:autoSpaceDE w:val="0"/>
        <w:autoSpaceDN w:val="0"/>
        <w:adjustRightInd w:val="0"/>
        <w:rPr>
          <w:sz w:val="22"/>
          <w:szCs w:val="22"/>
          <w:lang w:val="en-NZ"/>
        </w:rPr>
      </w:pPr>
    </w:p>
    <w:p w:rsidR="00FB7F60" w:rsidRDefault="00FB7F60" w:rsidP="00FB7F60">
      <w:pPr>
        <w:autoSpaceDE w:val="0"/>
        <w:autoSpaceDN w:val="0"/>
        <w:adjustRightInd w:val="0"/>
        <w:rPr>
          <w:lang w:val="en-NZ"/>
        </w:rPr>
      </w:pPr>
    </w:p>
    <w:p w:rsidR="00FB7F60" w:rsidRDefault="00FB7F60" w:rsidP="00FB7F60">
      <w:pPr>
        <w:autoSpaceDE w:val="0"/>
        <w:autoSpaceDN w:val="0"/>
        <w:adjustRightInd w:val="0"/>
        <w:rPr>
          <w:lang w:val="en-NZ"/>
        </w:rPr>
      </w:pPr>
    </w:p>
    <w:p w:rsidR="00573146" w:rsidRDefault="00573146"/>
    <w:sectPr w:rsidR="005731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7F60"/>
    <w:rsid w:val="000028B8"/>
    <w:rsid w:val="00147FA2"/>
    <w:rsid w:val="001C18E5"/>
    <w:rsid w:val="00301C92"/>
    <w:rsid w:val="003274DD"/>
    <w:rsid w:val="00353086"/>
    <w:rsid w:val="00422FCE"/>
    <w:rsid w:val="00444329"/>
    <w:rsid w:val="00573146"/>
    <w:rsid w:val="008F5414"/>
    <w:rsid w:val="00A63A3A"/>
    <w:rsid w:val="00BC1F4E"/>
    <w:rsid w:val="00BF6D90"/>
    <w:rsid w:val="00CF65D1"/>
    <w:rsid w:val="00E4254B"/>
    <w:rsid w:val="00FB7F6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F60"/>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7F60"/>
    <w:rPr>
      <w:rFonts w:ascii="Tahoma" w:hAnsi="Tahoma" w:cs="Tahoma"/>
      <w:sz w:val="16"/>
      <w:szCs w:val="16"/>
    </w:rPr>
  </w:style>
  <w:style w:type="character" w:customStyle="1" w:styleId="BalloonTextChar">
    <w:name w:val="Balloon Text Char"/>
    <w:basedOn w:val="DefaultParagraphFont"/>
    <w:link w:val="BalloonText"/>
    <w:uiPriority w:val="99"/>
    <w:semiHidden/>
    <w:rsid w:val="00FB7F60"/>
    <w:rPr>
      <w:rFonts w:ascii="Tahoma" w:eastAsia="Times New Roman" w:hAnsi="Tahoma" w:cs="Tahoma"/>
      <w:sz w:val="16"/>
      <w:szCs w:val="16"/>
      <w:lang w:val="it-IT" w:eastAsia="it-IT"/>
    </w:rPr>
  </w:style>
  <w:style w:type="character" w:styleId="Hyperlink">
    <w:name w:val="Hyperlink"/>
    <w:basedOn w:val="DefaultParagraphFont"/>
    <w:uiPriority w:val="99"/>
    <w:semiHidden/>
    <w:unhideWhenUsed/>
    <w:rsid w:val="00CF65D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F60"/>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7F60"/>
    <w:rPr>
      <w:rFonts w:ascii="Tahoma" w:hAnsi="Tahoma" w:cs="Tahoma"/>
      <w:sz w:val="16"/>
      <w:szCs w:val="16"/>
    </w:rPr>
  </w:style>
  <w:style w:type="character" w:customStyle="1" w:styleId="BalloonTextChar">
    <w:name w:val="Balloon Text Char"/>
    <w:basedOn w:val="DefaultParagraphFont"/>
    <w:link w:val="BalloonText"/>
    <w:uiPriority w:val="99"/>
    <w:semiHidden/>
    <w:rsid w:val="00FB7F60"/>
    <w:rPr>
      <w:rFonts w:ascii="Tahoma" w:eastAsia="Times New Roman" w:hAnsi="Tahoma" w:cs="Tahoma"/>
      <w:sz w:val="16"/>
      <w:szCs w:val="16"/>
      <w:lang w:val="it-IT" w:eastAsia="it-IT"/>
    </w:rPr>
  </w:style>
  <w:style w:type="character" w:styleId="Hyperlink">
    <w:name w:val="Hyperlink"/>
    <w:basedOn w:val="DefaultParagraphFont"/>
    <w:uiPriority w:val="99"/>
    <w:semiHidden/>
    <w:unhideWhenUsed/>
    <w:rsid w:val="00CF65D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8096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linkedin.com/in/kristy-appelhans-18b48314?authType=NAME_SEARCH&amp;authToken=3zCS&amp;locale=en_US&amp;trk=tyah&amp;trkInfo=clickedVertical%3Amynetwork%2CclickedEntityId%3A48942395%2CauthType%3ANAME_SEARCH%2Cidx%3A1-1-1%2CtarId%3A1484870410230%2Ctas%3AKristy%20Appelhans"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2</Pages>
  <Words>525</Words>
  <Characters>2999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Sandeep</dc:creator>
  <cp:lastModifiedBy>Kristy Appelhans</cp:lastModifiedBy>
  <cp:revision>7</cp:revision>
  <dcterms:created xsi:type="dcterms:W3CDTF">2017-04-03T19:08:00Z</dcterms:created>
  <dcterms:modified xsi:type="dcterms:W3CDTF">2017-04-03T20:34:00Z</dcterms:modified>
</cp:coreProperties>
</file>