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9A2" w:rsidRDefault="004C29A2" w:rsidP="004C29A2">
      <w:pPr>
        <w:jc w:val="right"/>
        <w:rPr>
          <w:rFonts w:asciiTheme="majorBidi" w:hAnsiTheme="majorBidi" w:cstheme="majorBidi"/>
          <w:b/>
          <w:bCs/>
          <w:sz w:val="24"/>
          <w:szCs w:val="24"/>
        </w:rPr>
      </w:pPr>
      <w:r w:rsidRPr="004C29A2">
        <w:rPr>
          <w:rFonts w:asciiTheme="majorBidi" w:hAnsiTheme="majorBidi" w:cstheme="majorBidi"/>
          <w:b/>
          <w:bCs/>
          <w:sz w:val="24"/>
          <w:szCs w:val="24"/>
        </w:rPr>
        <w:t>Prayer on Intensity of Migraine: A Randomized Clinical Trial</w:t>
      </w:r>
      <w:r>
        <w:rPr>
          <w:rFonts w:asciiTheme="majorBidi" w:hAnsiTheme="majorBidi" w:cstheme="majorBidi"/>
          <w:b/>
          <w:bCs/>
          <w:sz w:val="24"/>
          <w:szCs w:val="24"/>
        </w:rPr>
        <w:t xml:space="preserve"> </w:t>
      </w:r>
    </w:p>
    <w:p w:rsidR="004C29A2" w:rsidRPr="004C29A2" w:rsidRDefault="004C29A2" w:rsidP="004C29A2">
      <w:pPr>
        <w:jc w:val="right"/>
        <w:rPr>
          <w:rFonts w:asciiTheme="majorBidi" w:hAnsiTheme="majorBidi" w:cstheme="majorBidi"/>
          <w:sz w:val="24"/>
          <w:szCs w:val="24"/>
        </w:rPr>
      </w:pPr>
      <w:r w:rsidRPr="004C29A2">
        <w:rPr>
          <w:rFonts w:asciiTheme="majorBidi" w:hAnsiTheme="majorBidi" w:cstheme="majorBidi"/>
          <w:sz w:val="24"/>
          <w:szCs w:val="24"/>
        </w:rPr>
        <w:t xml:space="preserve">Haleh </w:t>
      </w:r>
      <w:proofErr w:type="spellStart"/>
      <w:r w:rsidRPr="004C29A2">
        <w:rPr>
          <w:rFonts w:asciiTheme="majorBidi" w:hAnsiTheme="majorBidi" w:cstheme="majorBidi"/>
          <w:sz w:val="24"/>
          <w:szCs w:val="24"/>
        </w:rPr>
        <w:t>Tajadini</w:t>
      </w:r>
      <w:proofErr w:type="spellEnd"/>
      <w:r w:rsidRPr="004C29A2">
        <w:rPr>
          <w:rFonts w:asciiTheme="majorBidi" w:hAnsiTheme="majorBidi" w:cstheme="majorBidi"/>
          <w:sz w:val="24"/>
          <w:szCs w:val="24"/>
        </w:rPr>
        <w:t xml:space="preserve">*, Nasser </w:t>
      </w:r>
      <w:proofErr w:type="spellStart"/>
      <w:r w:rsidRPr="004C29A2">
        <w:rPr>
          <w:rFonts w:asciiTheme="majorBidi" w:hAnsiTheme="majorBidi" w:cstheme="majorBidi"/>
          <w:sz w:val="24"/>
          <w:szCs w:val="24"/>
        </w:rPr>
        <w:t>Zangiabadi</w:t>
      </w:r>
      <w:proofErr w:type="spellEnd"/>
      <w:r w:rsidRPr="004C29A2">
        <w:rPr>
          <w:rFonts w:asciiTheme="majorBidi" w:hAnsiTheme="majorBidi" w:cstheme="majorBidi"/>
          <w:sz w:val="24"/>
          <w:szCs w:val="24"/>
        </w:rPr>
        <w:t xml:space="preserve">, </w:t>
      </w:r>
      <w:proofErr w:type="spellStart"/>
      <w:r w:rsidRPr="004C29A2">
        <w:rPr>
          <w:rFonts w:asciiTheme="majorBidi" w:hAnsiTheme="majorBidi" w:cstheme="majorBidi"/>
          <w:sz w:val="24"/>
          <w:szCs w:val="24"/>
        </w:rPr>
        <w:t>Kouros</w:t>
      </w:r>
      <w:proofErr w:type="spellEnd"/>
      <w:r w:rsidRPr="004C29A2">
        <w:rPr>
          <w:rFonts w:asciiTheme="majorBidi" w:hAnsiTheme="majorBidi" w:cstheme="majorBidi"/>
          <w:sz w:val="24"/>
          <w:szCs w:val="24"/>
        </w:rPr>
        <w:t xml:space="preserve"> </w:t>
      </w:r>
      <w:proofErr w:type="spellStart"/>
      <w:r w:rsidRPr="004C29A2">
        <w:rPr>
          <w:rFonts w:asciiTheme="majorBidi" w:hAnsiTheme="majorBidi" w:cstheme="majorBidi"/>
          <w:sz w:val="24"/>
          <w:szCs w:val="24"/>
        </w:rPr>
        <w:t>Divsalar</w:t>
      </w:r>
      <w:proofErr w:type="spellEnd"/>
      <w:r w:rsidRPr="004C29A2">
        <w:rPr>
          <w:rFonts w:asciiTheme="majorBidi" w:hAnsiTheme="majorBidi" w:cstheme="majorBidi"/>
          <w:sz w:val="24"/>
          <w:szCs w:val="24"/>
        </w:rPr>
        <w:t xml:space="preserve">, Hossein </w:t>
      </w:r>
      <w:proofErr w:type="spellStart"/>
      <w:r w:rsidRPr="004C29A2">
        <w:rPr>
          <w:rFonts w:asciiTheme="majorBidi" w:hAnsiTheme="majorBidi" w:cstheme="majorBidi"/>
          <w:sz w:val="24"/>
          <w:szCs w:val="24"/>
        </w:rPr>
        <w:t>Safizadeh</w:t>
      </w:r>
      <w:proofErr w:type="spellEnd"/>
      <w:proofErr w:type="gramStart"/>
      <w:r w:rsidRPr="004C29A2">
        <w:rPr>
          <w:rFonts w:asciiTheme="majorBidi" w:hAnsiTheme="majorBidi" w:cstheme="majorBidi"/>
          <w:sz w:val="24"/>
          <w:szCs w:val="24"/>
        </w:rPr>
        <w:t>, ,</w:t>
      </w:r>
      <w:proofErr w:type="gramEnd"/>
      <w:r w:rsidRPr="004C29A2">
        <w:rPr>
          <w:rFonts w:asciiTheme="majorBidi" w:hAnsiTheme="majorBidi" w:cstheme="majorBidi"/>
          <w:sz w:val="24"/>
          <w:szCs w:val="24"/>
        </w:rPr>
        <w:t xml:space="preserve"> Zahra </w:t>
      </w:r>
      <w:proofErr w:type="spellStart"/>
      <w:r w:rsidRPr="004C29A2">
        <w:rPr>
          <w:rFonts w:asciiTheme="majorBidi" w:hAnsiTheme="majorBidi" w:cstheme="majorBidi"/>
          <w:sz w:val="24"/>
          <w:szCs w:val="24"/>
        </w:rPr>
        <w:t>Esmaili</w:t>
      </w:r>
      <w:proofErr w:type="spellEnd"/>
      <w:r w:rsidRPr="004C29A2">
        <w:rPr>
          <w:rFonts w:asciiTheme="majorBidi" w:hAnsiTheme="majorBidi" w:cstheme="majorBidi"/>
          <w:sz w:val="24"/>
          <w:szCs w:val="24"/>
        </w:rPr>
        <w:t xml:space="preserve">, and Hossein </w:t>
      </w:r>
      <w:proofErr w:type="spellStart"/>
      <w:r w:rsidRPr="004C29A2">
        <w:rPr>
          <w:rFonts w:asciiTheme="majorBidi" w:hAnsiTheme="majorBidi" w:cstheme="majorBidi"/>
          <w:sz w:val="24"/>
          <w:szCs w:val="24"/>
        </w:rPr>
        <w:t>Rafiei</w:t>
      </w:r>
      <w:proofErr w:type="spellEnd"/>
    </w:p>
    <w:p w:rsidR="004C29A2" w:rsidRDefault="004C29A2" w:rsidP="004C29A2">
      <w:pPr>
        <w:jc w:val="right"/>
        <w:rPr>
          <w:rFonts w:asciiTheme="majorBidi" w:hAnsiTheme="majorBidi" w:cstheme="majorBidi"/>
          <w:sz w:val="24"/>
          <w:szCs w:val="24"/>
        </w:rPr>
      </w:pPr>
      <w:r w:rsidRPr="004C29A2">
        <w:rPr>
          <w:rFonts w:asciiTheme="majorBidi" w:hAnsiTheme="majorBidi" w:cstheme="majorBidi"/>
          <w:sz w:val="24"/>
          <w:szCs w:val="24"/>
        </w:rPr>
        <w:t>*Neuroscience Research Center, Institute of Neuropharmacology, Kerman University of Medical Sciences, Kerman, Iran; Department of Traditional Medicine, School of Traditional Medicine, Kerman University of Medical Sciences, Kerman, Iran</w:t>
      </w:r>
    </w:p>
    <w:p w:rsidR="00D36D5B" w:rsidRDefault="00D36D5B" w:rsidP="00D36D5B">
      <w:pPr>
        <w:jc w:val="right"/>
        <w:rPr>
          <w:rFonts w:asciiTheme="majorBidi" w:hAnsiTheme="majorBidi" w:cstheme="majorBidi"/>
          <w:b/>
          <w:bCs/>
          <w:sz w:val="24"/>
          <w:szCs w:val="24"/>
        </w:rPr>
      </w:pPr>
      <w:r w:rsidRPr="00D36D5B">
        <w:rPr>
          <w:rFonts w:asciiTheme="majorBidi" w:hAnsiTheme="majorBidi" w:cstheme="majorBidi"/>
          <w:sz w:val="24"/>
          <w:szCs w:val="24"/>
        </w:rPr>
        <w:t xml:space="preserve">Haleh </w:t>
      </w:r>
      <w:proofErr w:type="spellStart"/>
      <w:r w:rsidRPr="00D36D5B">
        <w:rPr>
          <w:rFonts w:asciiTheme="majorBidi" w:hAnsiTheme="majorBidi" w:cstheme="majorBidi"/>
          <w:sz w:val="24"/>
          <w:szCs w:val="24"/>
        </w:rPr>
        <w:t>Tajadini</w:t>
      </w:r>
      <w:proofErr w:type="spellEnd"/>
      <w:r w:rsidRPr="00D36D5B">
        <w:rPr>
          <w:rFonts w:asciiTheme="majorBidi" w:hAnsiTheme="majorBidi" w:cstheme="majorBidi"/>
          <w:sz w:val="24"/>
          <w:szCs w:val="24"/>
        </w:rPr>
        <w:t>, MD, PhD</w:t>
      </w:r>
      <w:r>
        <w:rPr>
          <w:rFonts w:asciiTheme="majorBidi" w:hAnsiTheme="majorBidi" w:cstheme="majorBidi"/>
          <w:b/>
          <w:bCs/>
          <w:sz w:val="24"/>
          <w:szCs w:val="24"/>
        </w:rPr>
        <w:t xml:space="preserve"> </w:t>
      </w:r>
    </w:p>
    <w:p w:rsidR="00D36D5B" w:rsidRPr="00D36D5B" w:rsidRDefault="00D36D5B" w:rsidP="00D36D5B">
      <w:pPr>
        <w:autoSpaceDE w:val="0"/>
        <w:autoSpaceDN w:val="0"/>
        <w:bidi w:val="0"/>
        <w:adjustRightInd w:val="0"/>
        <w:spacing w:after="0" w:line="240" w:lineRule="auto"/>
        <w:jc w:val="both"/>
        <w:rPr>
          <w:rFonts w:asciiTheme="majorBidi" w:eastAsiaTheme="minorEastAsia" w:hAnsiTheme="majorBidi" w:cstheme="majorBidi"/>
          <w:color w:val="000000" w:themeColor="text1"/>
          <w:sz w:val="24"/>
          <w:szCs w:val="24"/>
          <w:lang w:bidi="ar-SA"/>
        </w:rPr>
      </w:pPr>
      <w:r w:rsidRPr="00D36D5B">
        <w:rPr>
          <w:rFonts w:asciiTheme="majorBidi" w:eastAsiaTheme="minorEastAsia" w:hAnsiTheme="majorBidi" w:cstheme="majorBidi"/>
          <w:color w:val="000000" w:themeColor="text1"/>
          <w:sz w:val="24"/>
          <w:szCs w:val="24"/>
          <w:lang w:bidi="ar-SA"/>
        </w:rPr>
        <w:t xml:space="preserve">Corresponding author: Haleh </w:t>
      </w:r>
      <w:proofErr w:type="spellStart"/>
      <w:r w:rsidRPr="00D36D5B">
        <w:rPr>
          <w:rFonts w:asciiTheme="majorBidi" w:eastAsiaTheme="minorEastAsia" w:hAnsiTheme="majorBidi" w:cstheme="majorBidi"/>
          <w:color w:val="000000" w:themeColor="text1"/>
          <w:sz w:val="24"/>
          <w:szCs w:val="24"/>
          <w:lang w:bidi="ar-SA"/>
        </w:rPr>
        <w:t>Tajadini</w:t>
      </w:r>
      <w:proofErr w:type="spellEnd"/>
      <w:r w:rsidRPr="00D36D5B">
        <w:rPr>
          <w:rFonts w:asciiTheme="majorBidi" w:eastAsiaTheme="minorEastAsia" w:hAnsiTheme="majorBidi" w:cstheme="majorBidi"/>
          <w:color w:val="000000" w:themeColor="text1"/>
          <w:sz w:val="24"/>
          <w:szCs w:val="24"/>
          <w:lang w:bidi="ar-SA"/>
        </w:rPr>
        <w:t xml:space="preserve"> Assistance Professor</w:t>
      </w:r>
    </w:p>
    <w:p w:rsidR="00D36D5B" w:rsidRPr="00D36D5B" w:rsidRDefault="00D36D5B" w:rsidP="00D36D5B">
      <w:pPr>
        <w:autoSpaceDE w:val="0"/>
        <w:autoSpaceDN w:val="0"/>
        <w:bidi w:val="0"/>
        <w:adjustRightInd w:val="0"/>
        <w:spacing w:after="0" w:line="240" w:lineRule="auto"/>
        <w:jc w:val="both"/>
        <w:rPr>
          <w:rFonts w:asciiTheme="majorBidi" w:eastAsiaTheme="minorEastAsia" w:hAnsiTheme="majorBidi" w:cstheme="majorBidi"/>
          <w:color w:val="000000" w:themeColor="text1"/>
          <w:sz w:val="24"/>
          <w:szCs w:val="24"/>
          <w:lang w:bidi="ar-SA"/>
        </w:rPr>
      </w:pPr>
      <w:r w:rsidRPr="00D36D5B">
        <w:rPr>
          <w:rFonts w:asciiTheme="majorBidi" w:eastAsiaTheme="minorEastAsia" w:hAnsiTheme="majorBidi" w:cstheme="majorBidi"/>
          <w:color w:val="000000" w:themeColor="text1"/>
          <w:sz w:val="24"/>
          <w:szCs w:val="24"/>
          <w:lang w:bidi="ar-SA"/>
        </w:rPr>
        <w:t xml:space="preserve"> M.D; </w:t>
      </w:r>
      <w:proofErr w:type="spellStart"/>
      <w:r w:rsidRPr="00D36D5B">
        <w:rPr>
          <w:rFonts w:asciiTheme="majorBidi" w:eastAsiaTheme="minorEastAsia" w:hAnsiTheme="majorBidi" w:cstheme="majorBidi"/>
          <w:color w:val="000000" w:themeColor="text1"/>
          <w:sz w:val="24"/>
          <w:szCs w:val="24"/>
          <w:lang w:bidi="ar-SA"/>
        </w:rPr>
        <w:t>Ph.D</w:t>
      </w:r>
      <w:proofErr w:type="spellEnd"/>
      <w:r w:rsidRPr="00D36D5B">
        <w:rPr>
          <w:rFonts w:asciiTheme="majorBidi" w:eastAsiaTheme="minorEastAsia" w:hAnsiTheme="majorBidi" w:cstheme="majorBidi"/>
          <w:color w:val="000000" w:themeColor="text1"/>
          <w:sz w:val="24"/>
          <w:szCs w:val="24"/>
          <w:lang w:bidi="ar-SA"/>
        </w:rPr>
        <w:t xml:space="preserve"> of Iranian Traditional Medicine, The School of Traditional Medicine, Kerman university of Medical Sciences, Iran.</w:t>
      </w:r>
      <w:hyperlink r:id="rId4" w:history="1">
        <w:r w:rsidRPr="00D36D5B">
          <w:rPr>
            <w:rFonts w:asciiTheme="majorBidi" w:eastAsiaTheme="minorEastAsia" w:hAnsiTheme="majorBidi"/>
            <w:color w:val="000000" w:themeColor="text1"/>
            <w:sz w:val="24"/>
            <w:szCs w:val="24"/>
            <w:u w:val="single"/>
            <w:lang w:bidi="ar-SA"/>
          </w:rPr>
          <w:t>Dr_haleh@yahoo.com</w:t>
        </w:r>
      </w:hyperlink>
    </w:p>
    <w:p w:rsidR="00D36D5B" w:rsidRPr="00D36D5B" w:rsidRDefault="00D36D5B" w:rsidP="00D36D5B">
      <w:pPr>
        <w:bidi w:val="0"/>
        <w:spacing w:after="200" w:line="240" w:lineRule="auto"/>
        <w:jc w:val="both"/>
        <w:rPr>
          <w:rFonts w:asciiTheme="majorBidi" w:eastAsiaTheme="minorEastAsia" w:hAnsiTheme="majorBidi" w:cstheme="majorBidi"/>
          <w:color w:val="000000" w:themeColor="text1"/>
          <w:sz w:val="24"/>
          <w:szCs w:val="24"/>
          <w:lang w:bidi="ar-SA"/>
        </w:rPr>
      </w:pPr>
      <w:hyperlink r:id="rId5" w:history="1">
        <w:r w:rsidRPr="00D36D5B">
          <w:rPr>
            <w:rFonts w:asciiTheme="majorBidi" w:eastAsiaTheme="minorEastAsia" w:hAnsiTheme="majorBidi"/>
            <w:color w:val="000000" w:themeColor="text1"/>
            <w:sz w:val="24"/>
            <w:szCs w:val="24"/>
            <w:u w:val="single"/>
            <w:lang w:bidi="ar-SA"/>
          </w:rPr>
          <w:t>h.tajadini@sbmu.ac.ir</w:t>
        </w:r>
      </w:hyperlink>
    </w:p>
    <w:p w:rsidR="00D36D5B" w:rsidRPr="00D36D5B" w:rsidRDefault="00D36D5B" w:rsidP="00D36D5B">
      <w:pPr>
        <w:bidi w:val="0"/>
        <w:spacing w:after="200" w:line="240" w:lineRule="auto"/>
        <w:jc w:val="both"/>
        <w:rPr>
          <w:rFonts w:asciiTheme="majorBidi" w:eastAsiaTheme="minorEastAsia" w:hAnsiTheme="majorBidi" w:cstheme="majorBidi" w:hint="cs"/>
          <w:color w:val="000000" w:themeColor="text1"/>
          <w:sz w:val="24"/>
          <w:szCs w:val="24"/>
          <w:rtl/>
          <w:lang w:bidi="ar-SA"/>
        </w:rPr>
      </w:pPr>
      <w:r w:rsidRPr="00D36D5B">
        <w:rPr>
          <w:rFonts w:asciiTheme="majorBidi" w:eastAsiaTheme="minorEastAsia" w:hAnsiTheme="majorBidi" w:cstheme="majorBidi"/>
          <w:color w:val="000000" w:themeColor="text1"/>
          <w:sz w:val="24"/>
          <w:szCs w:val="24"/>
          <w:lang w:bidi="ar-SA"/>
        </w:rPr>
        <w:t xml:space="preserve"> Tel: 98-21-</w:t>
      </w:r>
      <w:proofErr w:type="gramStart"/>
      <w:r w:rsidRPr="00D36D5B">
        <w:rPr>
          <w:rFonts w:asciiTheme="majorBidi" w:eastAsiaTheme="minorEastAsia" w:hAnsiTheme="majorBidi" w:cstheme="majorBidi"/>
          <w:color w:val="000000" w:themeColor="text1"/>
          <w:sz w:val="24"/>
          <w:szCs w:val="24"/>
          <w:lang w:bidi="ar-SA"/>
        </w:rPr>
        <w:t>22802083 .</w:t>
      </w:r>
      <w:proofErr w:type="gramEnd"/>
      <w:r w:rsidRPr="00D36D5B">
        <w:rPr>
          <w:rFonts w:asciiTheme="majorBidi" w:eastAsiaTheme="minorEastAsia" w:hAnsiTheme="majorBidi" w:cstheme="majorBidi"/>
          <w:color w:val="000000" w:themeColor="text1"/>
          <w:sz w:val="24"/>
          <w:szCs w:val="24"/>
          <w:lang w:bidi="ar-SA"/>
        </w:rPr>
        <w:t xml:space="preserve"> Mobile: 98-9131972312</w:t>
      </w:r>
    </w:p>
    <w:p w:rsidR="00DA116B" w:rsidRPr="00DA116B" w:rsidRDefault="00DA116B" w:rsidP="004C29A2">
      <w:pPr>
        <w:jc w:val="right"/>
        <w:rPr>
          <w:rFonts w:asciiTheme="majorBidi" w:hAnsiTheme="majorBidi" w:cstheme="majorBidi"/>
          <w:b/>
          <w:bCs/>
          <w:sz w:val="24"/>
          <w:szCs w:val="24"/>
        </w:rPr>
      </w:pPr>
      <w:r w:rsidRPr="00DA116B">
        <w:rPr>
          <w:rFonts w:asciiTheme="majorBidi" w:hAnsiTheme="majorBidi" w:cstheme="majorBidi"/>
          <w:b/>
          <w:bCs/>
          <w:sz w:val="24"/>
          <w:szCs w:val="24"/>
        </w:rPr>
        <w:t>Introduction:</w:t>
      </w:r>
    </w:p>
    <w:p w:rsidR="0070122A" w:rsidRPr="00DA116B" w:rsidRDefault="00DA116B" w:rsidP="004C29A2">
      <w:pPr>
        <w:jc w:val="right"/>
        <w:rPr>
          <w:rFonts w:asciiTheme="majorBidi" w:hAnsiTheme="majorBidi" w:cstheme="majorBidi"/>
          <w:sz w:val="24"/>
          <w:szCs w:val="24"/>
        </w:rPr>
      </w:pPr>
      <w:r w:rsidRPr="00DA116B">
        <w:rPr>
          <w:rFonts w:asciiTheme="majorBidi" w:hAnsiTheme="majorBidi" w:cstheme="majorBidi"/>
          <w:sz w:val="24"/>
          <w:szCs w:val="24"/>
        </w:rPr>
        <w:t>Use of prayer as an alternative treatment during time of illness received great attention by researchers in previous decade. One of the most commonly used alternative medicine procedures that traditionally used by people both in relation to their own health and the health of others is prayer. The aim of this study was to examine the effect of prayer on intensity of pain in migraine patients</w:t>
      </w:r>
    </w:p>
    <w:p w:rsidR="00DA116B" w:rsidRPr="00DA116B" w:rsidRDefault="00DA116B" w:rsidP="00DA116B">
      <w:pPr>
        <w:jc w:val="right"/>
        <w:rPr>
          <w:rFonts w:asciiTheme="majorBidi" w:hAnsiTheme="majorBidi" w:cstheme="majorBidi"/>
          <w:b/>
          <w:bCs/>
          <w:sz w:val="24"/>
          <w:szCs w:val="24"/>
        </w:rPr>
      </w:pPr>
      <w:r w:rsidRPr="00DA116B">
        <w:rPr>
          <w:rFonts w:asciiTheme="majorBidi" w:hAnsiTheme="majorBidi" w:cstheme="majorBidi"/>
          <w:b/>
          <w:bCs/>
          <w:sz w:val="24"/>
          <w:szCs w:val="24"/>
        </w:rPr>
        <w:t>Methods:</w:t>
      </w:r>
    </w:p>
    <w:p w:rsidR="004C29A2" w:rsidRDefault="00DA116B" w:rsidP="004C29A2">
      <w:pPr>
        <w:jc w:val="right"/>
        <w:rPr>
          <w:rFonts w:asciiTheme="majorBidi" w:hAnsiTheme="majorBidi" w:cstheme="majorBidi"/>
          <w:sz w:val="24"/>
          <w:szCs w:val="24"/>
        </w:rPr>
      </w:pPr>
      <w:r w:rsidRPr="00DA116B">
        <w:rPr>
          <w:rFonts w:asciiTheme="majorBidi" w:hAnsiTheme="majorBidi" w:cstheme="majorBidi"/>
          <w:sz w:val="24"/>
          <w:szCs w:val="24"/>
        </w:rPr>
        <w:t xml:space="preserve">This study is a double blind randomized controlled trial conducted from October 2013 to January 2014 in </w:t>
      </w:r>
      <w:r w:rsidR="004C29A2">
        <w:rPr>
          <w:rFonts w:asciiTheme="majorBidi" w:hAnsiTheme="majorBidi" w:cstheme="majorBidi"/>
          <w:sz w:val="24"/>
          <w:szCs w:val="24"/>
        </w:rPr>
        <w:t>I</w:t>
      </w:r>
      <w:r w:rsidRPr="00DA116B">
        <w:rPr>
          <w:rFonts w:asciiTheme="majorBidi" w:hAnsiTheme="majorBidi" w:cstheme="majorBidi"/>
          <w:sz w:val="24"/>
          <w:szCs w:val="24"/>
        </w:rPr>
        <w:t>ran</w:t>
      </w:r>
      <w:r w:rsidR="004C29A2">
        <w:rPr>
          <w:rFonts w:asciiTheme="majorBidi" w:hAnsiTheme="majorBidi" w:cstheme="majorBidi"/>
          <w:sz w:val="24"/>
          <w:szCs w:val="24"/>
        </w:rPr>
        <w:t>.</w:t>
      </w:r>
    </w:p>
    <w:p w:rsidR="00DA116B" w:rsidRPr="00DA116B" w:rsidRDefault="00DA116B" w:rsidP="004C29A2">
      <w:pPr>
        <w:jc w:val="right"/>
        <w:rPr>
          <w:rFonts w:asciiTheme="majorBidi" w:hAnsiTheme="majorBidi" w:cstheme="majorBidi"/>
          <w:sz w:val="24"/>
          <w:szCs w:val="24"/>
        </w:rPr>
      </w:pPr>
      <w:r w:rsidRPr="00DA116B">
        <w:rPr>
          <w:rFonts w:asciiTheme="majorBidi" w:hAnsiTheme="majorBidi" w:cstheme="majorBidi"/>
          <w:sz w:val="24"/>
          <w:szCs w:val="24"/>
        </w:rPr>
        <w:t>We randomly assigned 92 patients in 2 groups to receive either 40 mg of propranolol twice a day for 2 month (group ‘‘A’’) or 40 mg of propranolol twice a day for 2 months with prayer (group ‘‘B’’). At the beginning of study and 3 months after intervention, patients’ pain was measured using the visual analogue scale</w:t>
      </w:r>
    </w:p>
    <w:p w:rsidR="00DA116B" w:rsidRPr="00DA116B" w:rsidRDefault="00DA116B" w:rsidP="00DA116B">
      <w:pPr>
        <w:jc w:val="right"/>
        <w:rPr>
          <w:rFonts w:asciiTheme="majorBidi" w:hAnsiTheme="majorBidi" w:cstheme="majorBidi"/>
          <w:b/>
          <w:bCs/>
          <w:sz w:val="24"/>
          <w:szCs w:val="24"/>
        </w:rPr>
      </w:pPr>
      <w:r w:rsidRPr="00DA116B">
        <w:rPr>
          <w:rFonts w:asciiTheme="majorBidi" w:hAnsiTheme="majorBidi" w:cstheme="majorBidi"/>
          <w:b/>
          <w:bCs/>
          <w:sz w:val="24"/>
          <w:szCs w:val="24"/>
        </w:rPr>
        <w:t>Results:</w:t>
      </w:r>
    </w:p>
    <w:p w:rsidR="00DA116B" w:rsidRPr="00DA116B" w:rsidRDefault="00DA116B" w:rsidP="00DA116B">
      <w:pPr>
        <w:jc w:val="right"/>
        <w:rPr>
          <w:rFonts w:asciiTheme="majorBidi" w:hAnsiTheme="majorBidi" w:cstheme="majorBidi"/>
          <w:sz w:val="24"/>
          <w:szCs w:val="24"/>
        </w:rPr>
      </w:pPr>
      <w:r w:rsidRPr="00DA116B">
        <w:rPr>
          <w:rFonts w:asciiTheme="majorBidi" w:hAnsiTheme="majorBidi" w:cstheme="majorBidi"/>
          <w:sz w:val="24"/>
          <w:szCs w:val="24"/>
        </w:rPr>
        <w:t>According to results of independent t test, mean score of pain intensity at the beginning of study were similar between patients in 2 groups (P &gt; .05). Three month after intervention, mean score of pain intensity decreased in patients in both groups. At this time, the mean scores of pain intensity were 5.4 + 1.1 and 4.2 + 2.3 in patients in groups A and B, respectively. This difference between groups was statistically significant (P &lt; .001).</w:t>
      </w:r>
    </w:p>
    <w:p w:rsidR="00DA116B" w:rsidRPr="00DA116B" w:rsidRDefault="00DA116B" w:rsidP="00DA116B">
      <w:pPr>
        <w:jc w:val="right"/>
        <w:rPr>
          <w:rFonts w:asciiTheme="majorBidi" w:hAnsiTheme="majorBidi" w:cstheme="majorBidi"/>
          <w:b/>
          <w:bCs/>
          <w:sz w:val="24"/>
          <w:szCs w:val="24"/>
        </w:rPr>
      </w:pPr>
      <w:r w:rsidRPr="00DA116B">
        <w:rPr>
          <w:rFonts w:asciiTheme="majorBidi" w:hAnsiTheme="majorBidi" w:cstheme="majorBidi"/>
          <w:b/>
          <w:bCs/>
          <w:sz w:val="24"/>
          <w:szCs w:val="24"/>
        </w:rPr>
        <w:t>Discussion:</w:t>
      </w:r>
    </w:p>
    <w:p w:rsidR="00DA116B" w:rsidRPr="00DA116B" w:rsidRDefault="00DA116B" w:rsidP="004C29A2">
      <w:pPr>
        <w:bidi w:val="0"/>
        <w:rPr>
          <w:rFonts w:asciiTheme="majorBidi" w:hAnsiTheme="majorBidi" w:cstheme="majorBidi"/>
          <w:sz w:val="24"/>
          <w:szCs w:val="24"/>
        </w:rPr>
      </w:pPr>
      <w:r w:rsidRPr="00DA116B">
        <w:rPr>
          <w:rFonts w:asciiTheme="majorBidi" w:hAnsiTheme="majorBidi" w:cstheme="majorBidi"/>
          <w:sz w:val="24"/>
          <w:szCs w:val="24"/>
        </w:rPr>
        <w:t>According to finding of present study prayer have positive effect on reducing migraine pain.</w:t>
      </w:r>
    </w:p>
    <w:p w:rsidR="00DA116B" w:rsidRDefault="00DA116B" w:rsidP="004C29A2">
      <w:pPr>
        <w:bidi w:val="0"/>
        <w:rPr>
          <w:rFonts w:asciiTheme="majorBidi" w:hAnsiTheme="majorBidi" w:cstheme="majorBidi"/>
          <w:sz w:val="24"/>
          <w:szCs w:val="24"/>
        </w:rPr>
      </w:pPr>
      <w:r w:rsidRPr="00DA116B">
        <w:rPr>
          <w:rFonts w:asciiTheme="majorBidi" w:hAnsiTheme="majorBidi" w:cstheme="majorBidi"/>
          <w:sz w:val="24"/>
          <w:szCs w:val="24"/>
        </w:rPr>
        <w:t xml:space="preserve"> And prayer can be used as a </w:t>
      </w:r>
      <w:proofErr w:type="spellStart"/>
      <w:r w:rsidRPr="00DA116B">
        <w:rPr>
          <w:rFonts w:asciiTheme="majorBidi" w:hAnsiTheme="majorBidi" w:cstheme="majorBidi"/>
          <w:sz w:val="24"/>
          <w:szCs w:val="24"/>
        </w:rPr>
        <w:t>nonpharmacologic</w:t>
      </w:r>
      <w:proofErr w:type="spellEnd"/>
      <w:r w:rsidRPr="00DA116B">
        <w:rPr>
          <w:rFonts w:asciiTheme="majorBidi" w:hAnsiTheme="majorBidi" w:cstheme="majorBidi"/>
          <w:sz w:val="24"/>
          <w:szCs w:val="24"/>
        </w:rPr>
        <w:t xml:space="preserve"> pain coping strategy in addition to</w:t>
      </w:r>
      <w:r>
        <w:rPr>
          <w:rFonts w:asciiTheme="majorBidi" w:hAnsiTheme="majorBidi" w:cstheme="majorBidi"/>
          <w:sz w:val="24"/>
          <w:szCs w:val="24"/>
        </w:rPr>
        <w:t xml:space="preserve"> </w:t>
      </w:r>
      <w:r w:rsidRPr="00DA116B">
        <w:rPr>
          <w:rFonts w:asciiTheme="majorBidi" w:hAnsiTheme="majorBidi" w:cstheme="majorBidi"/>
          <w:sz w:val="24"/>
          <w:szCs w:val="24"/>
        </w:rPr>
        <w:t>pharmacologic intervention for this group of patients</w:t>
      </w:r>
      <w:r>
        <w:rPr>
          <w:rFonts w:asciiTheme="majorBidi" w:hAnsiTheme="majorBidi" w:cstheme="majorBidi"/>
          <w:sz w:val="24"/>
          <w:szCs w:val="24"/>
        </w:rPr>
        <w:t>.</w:t>
      </w:r>
    </w:p>
    <w:p w:rsidR="00D36D5B" w:rsidRDefault="00D36D5B" w:rsidP="00D36D5B">
      <w:pPr>
        <w:bidi w:val="0"/>
        <w:rPr>
          <w:rFonts w:asciiTheme="majorBidi" w:hAnsiTheme="majorBidi" w:cstheme="majorBidi"/>
          <w:sz w:val="24"/>
          <w:szCs w:val="24"/>
        </w:rPr>
      </w:pPr>
      <w:r w:rsidRPr="00D36D5B">
        <w:rPr>
          <w:rFonts w:asciiTheme="majorBidi" w:hAnsiTheme="majorBidi" w:cstheme="majorBidi"/>
          <w:b/>
          <w:bCs/>
          <w:sz w:val="24"/>
          <w:szCs w:val="24"/>
        </w:rPr>
        <w:t>Key Words</w:t>
      </w:r>
      <w:r>
        <w:rPr>
          <w:rFonts w:asciiTheme="majorBidi" w:hAnsiTheme="majorBidi" w:cstheme="majorBidi"/>
          <w:sz w:val="24"/>
          <w:szCs w:val="24"/>
        </w:rPr>
        <w:t xml:space="preserve">: </w:t>
      </w:r>
      <w:proofErr w:type="spellStart"/>
      <w:r>
        <w:rPr>
          <w:rFonts w:asciiTheme="majorBidi" w:hAnsiTheme="majorBidi" w:cstheme="majorBidi"/>
          <w:sz w:val="24"/>
          <w:szCs w:val="24"/>
        </w:rPr>
        <w:t>Migrane</w:t>
      </w:r>
      <w:proofErr w:type="gramStart"/>
      <w:r>
        <w:rPr>
          <w:rFonts w:asciiTheme="majorBidi" w:hAnsiTheme="majorBidi" w:cstheme="majorBidi"/>
          <w:sz w:val="24"/>
          <w:szCs w:val="24"/>
        </w:rPr>
        <w:t>,Prayer</w:t>
      </w:r>
      <w:proofErr w:type="spellEnd"/>
      <w:proofErr w:type="gramEnd"/>
    </w:p>
    <w:p w:rsidR="00D36D5B" w:rsidRDefault="00D36D5B" w:rsidP="00D36D5B">
      <w:pPr>
        <w:bidi w:val="0"/>
        <w:rPr>
          <w:rFonts w:asciiTheme="majorBidi" w:hAnsiTheme="majorBidi" w:cstheme="majorBidi"/>
          <w:sz w:val="24"/>
          <w:szCs w:val="24"/>
        </w:rPr>
      </w:pPr>
    </w:p>
    <w:p w:rsidR="00D36D5B" w:rsidRPr="00FB7F60" w:rsidRDefault="00D36D5B" w:rsidP="00D36D5B">
      <w:pPr>
        <w:autoSpaceDE w:val="0"/>
        <w:autoSpaceDN w:val="0"/>
        <w:adjustRightInd w:val="0"/>
        <w:jc w:val="right"/>
        <w:rPr>
          <w:b/>
          <w:lang w:val="en-NZ"/>
        </w:rPr>
      </w:pPr>
      <w:r w:rsidRPr="00FB7F60">
        <w:rPr>
          <w:b/>
          <w:lang w:val="en-NZ"/>
        </w:rPr>
        <w:lastRenderedPageBreak/>
        <w:t xml:space="preserve">Presenting author details </w:t>
      </w:r>
      <w:r w:rsidRPr="00FB7F60">
        <w:rPr>
          <w:b/>
          <w:lang w:val="en-NZ"/>
        </w:rPr>
        <w:br/>
      </w:r>
      <w:r w:rsidRPr="00FB7F60">
        <w:rPr>
          <w:lang w:val="en-NZ"/>
        </w:rPr>
        <w:t xml:space="preserve">Full name: </w:t>
      </w:r>
      <w:r>
        <w:rPr>
          <w:lang w:val="en-NZ"/>
        </w:rPr>
        <w:t xml:space="preserve">Haleh </w:t>
      </w:r>
      <w:proofErr w:type="spellStart"/>
      <w:r>
        <w:rPr>
          <w:lang w:val="en-NZ"/>
        </w:rPr>
        <w:t>Tajadini</w:t>
      </w:r>
      <w:proofErr w:type="spellEnd"/>
      <w:r w:rsidRPr="00FB7F60">
        <w:rPr>
          <w:lang w:val="en-NZ"/>
        </w:rPr>
        <w:br/>
        <w:t>Contact number:</w:t>
      </w:r>
      <w:r>
        <w:rPr>
          <w:lang w:val="en-NZ"/>
        </w:rPr>
        <w:t>989131972312</w:t>
      </w:r>
      <w:r w:rsidRPr="00FB7F60">
        <w:rPr>
          <w:lang w:val="en-NZ"/>
        </w:rPr>
        <w:br/>
        <w:t>Category: Poster presentation</w:t>
      </w:r>
      <w:bookmarkStart w:id="0" w:name="_GoBack"/>
      <w:bookmarkEnd w:id="0"/>
      <w:r w:rsidRPr="00FB7F60">
        <w:rPr>
          <w:lang w:val="en-NZ"/>
        </w:rPr>
        <w:br/>
      </w:r>
    </w:p>
    <w:p w:rsidR="00D36D5B" w:rsidRPr="00DA116B" w:rsidRDefault="00D36D5B" w:rsidP="00D36D5B">
      <w:pPr>
        <w:bidi w:val="0"/>
        <w:rPr>
          <w:rFonts w:asciiTheme="majorBidi" w:hAnsiTheme="majorBidi" w:cstheme="majorBidi"/>
          <w:sz w:val="24"/>
          <w:szCs w:val="24"/>
          <w:rtl/>
        </w:rPr>
      </w:pPr>
    </w:p>
    <w:sectPr w:rsidR="00D36D5B" w:rsidRPr="00DA116B" w:rsidSect="0070122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16B"/>
    <w:rsid w:val="004C29A2"/>
    <w:rsid w:val="0070122A"/>
    <w:rsid w:val="00D36D5B"/>
    <w:rsid w:val="00DA116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995F1-0D28-4441-AA9B-202C9430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6D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tajadini@sbmu.ac.ir" TargetMode="External"/><Relationship Id="rId4" Type="http://schemas.openxmlformats.org/officeDocument/2006/relationships/hyperlink" Target="mailto:Dr_haleh@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Haleh</dc:creator>
  <cp:keywords/>
  <dc:description/>
  <cp:lastModifiedBy>Haleh</cp:lastModifiedBy>
  <cp:revision>2</cp:revision>
  <dcterms:created xsi:type="dcterms:W3CDTF">2017-03-25T15:06:00Z</dcterms:created>
  <dcterms:modified xsi:type="dcterms:W3CDTF">2017-03-25T15:55:00Z</dcterms:modified>
</cp:coreProperties>
</file>