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sz w:val="32"/>
          <w:szCs w:val="32"/>
        </w:rPr>
      </w:pPr>
      <w:r>
        <w:rPr>
          <w:sz w:val="32"/>
          <w:szCs w:val="32"/>
        </w:rPr>
        <w:t>Association between Oral Microbiome and Breast Cancer in East Asian Population: A Mendelian Randomization Analysis and Case-control Study</w:t>
      </w:r>
    </w:p>
    <w:p>
      <w:pPr>
        <w:pStyle w:val="5"/>
        <w:spacing w:before="73" w:line="198" w:lineRule="exact"/>
        <w:ind w:left="100" w:right="5987"/>
        <w:rPr>
          <w:rFonts w:hint="eastAsia" w:ascii="Arial"/>
        </w:rPr>
      </w:pPr>
      <w:r>
        <w:rPr>
          <w:rFonts w:ascii="Arial"/>
        </w:rPr>
        <w:t xml:space="preserve">Dr </w:t>
      </w:r>
      <w:r>
        <w:rPr>
          <w:rFonts w:hint="eastAsia" w:ascii="Arial" w:eastAsia="宋体"/>
          <w:lang w:val="en-US" w:eastAsia="zh-CN"/>
        </w:rPr>
        <w:t xml:space="preserve">Kexin Feng </w:t>
      </w:r>
      <w:r>
        <w:rPr>
          <w:rFonts w:ascii="Arial"/>
        </w:rPr>
        <w:t xml:space="preserve">, </w:t>
      </w:r>
      <w:r>
        <w:rPr>
          <w:rFonts w:hint="eastAsia" w:ascii="Arial"/>
        </w:rPr>
        <w:t>Department of Breast Surgical Oncology, National Cancer Center/National Clinical Research Center for Cancer/Cancer Hospital, Chinese Academy of Medical Sciences and Peking Union Medical College, Beijing, 100021, China</w:t>
      </w:r>
    </w:p>
    <w:p>
      <w:pPr>
        <w:pStyle w:val="5"/>
        <w:spacing w:before="73" w:line="198" w:lineRule="exact"/>
        <w:ind w:left="100" w:right="5987"/>
        <w:rPr>
          <w:rFonts w:hint="eastAsia" w:ascii="Arial"/>
        </w:rPr>
      </w:pPr>
      <w:r>
        <w:rPr>
          <w:rFonts w:ascii="Arial"/>
        </w:rPr>
        <w:t xml:space="preserve">Dr </w:t>
      </w:r>
      <w:r>
        <w:rPr>
          <w:rFonts w:hint="eastAsia" w:ascii="Arial" w:eastAsia="宋体"/>
          <w:lang w:val="en-US" w:eastAsia="zh-CN"/>
        </w:rPr>
        <w:t>Xiang Wang</w:t>
      </w:r>
      <w:r>
        <w:rPr>
          <w:rFonts w:ascii="Arial"/>
        </w:rPr>
        <w:t xml:space="preserve">,  </w:t>
      </w:r>
      <w:r>
        <w:rPr>
          <w:rFonts w:hint="eastAsia" w:ascii="Arial"/>
        </w:rPr>
        <w:t>Department of Breast Surgical Oncology, National Cancer Center/National Clinical Research Center for Cancer/Cancer Hospital, Chinese Academy of Medical Sciences and Peking Union Medical College, Beijing, 100021, China</w:t>
      </w:r>
    </w:p>
    <w:p>
      <w:pPr>
        <w:pStyle w:val="5"/>
        <w:spacing w:before="3"/>
        <w:rPr>
          <w:rFonts w:hint="eastAsia" w:ascii="Arial" w:eastAsia="宋体"/>
          <w:sz w:val="21"/>
          <w:lang w:val="en-US" w:eastAsia="zh-CN"/>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rPr>
          <w:rFonts w:ascii="Times New Roman" w:hAnsi="Times New Roman"/>
          <w:sz w:val="24"/>
          <w:szCs w:val="24"/>
        </w:rPr>
      </w:pPr>
      <w:r>
        <w:rPr>
          <w:rFonts w:ascii="Times New Roman" w:hAnsi="Times New Roman"/>
          <w:sz w:val="24"/>
          <w:szCs w:val="24"/>
        </w:rPr>
        <w:t>Background: While observational research has established an intimate correlation between breast cancer and the oral microbiome, the causative relationship remains unclear. The objective of this study was to thoroughly examine the relationship between oral microbiota and breast cancer in the East Asian population, using a two-sample Mendelian randomization (MR) analysis alongside a case-control study.</w:t>
      </w:r>
    </w:p>
    <w:p>
      <w:pPr>
        <w:rPr>
          <w:rFonts w:ascii="Times New Roman" w:hAnsi="Times New Roman"/>
          <w:sz w:val="24"/>
          <w:szCs w:val="24"/>
        </w:rPr>
      </w:pPr>
      <w:r>
        <w:rPr>
          <w:rFonts w:ascii="Times New Roman" w:hAnsi="Times New Roman"/>
          <w:sz w:val="24"/>
          <w:szCs w:val="24"/>
        </w:rPr>
        <w:t>Methods: Genetic summary data pertinent to oral microbiota and breast cancer were gathered from genome-wide association (GWAS) studies involving participants of East Asian descent. Various analyses were conducted to generate MR estimates. The validity of these findings was reinforced through the use of sequencing data from a case-control study.</w:t>
      </w:r>
    </w:p>
    <w:p>
      <w:pPr>
        <w:rPr>
          <w:rFonts w:ascii="Times New Roman" w:hAnsi="Times New Roman"/>
          <w:sz w:val="24"/>
          <w:szCs w:val="24"/>
        </w:rPr>
      </w:pPr>
      <w:r>
        <w:rPr>
          <w:rFonts w:ascii="Times New Roman" w:hAnsi="Times New Roman"/>
          <w:sz w:val="24"/>
          <w:szCs w:val="24"/>
        </w:rPr>
        <w:t xml:space="preserve">Results: The MR analysis revealed 30 tongue and 37 saliva bacterial species that demonstrated significant associations with breast cancer. Interestingly, the causal influence of six </w:t>
      </w:r>
      <w:r>
        <w:rPr>
          <w:rFonts w:hint="eastAsia" w:ascii="Times New Roman" w:hAnsi="Times New Roman"/>
          <w:sz w:val="24"/>
          <w:szCs w:val="24"/>
        </w:rPr>
        <w:t>ge</w:t>
      </w:r>
      <w:r>
        <w:rPr>
          <w:rFonts w:ascii="Times New Roman" w:hAnsi="Times New Roman"/>
          <w:sz w:val="24"/>
          <w:szCs w:val="24"/>
        </w:rPr>
        <w:t>nera (</w:t>
      </w:r>
      <w:r>
        <w:rPr>
          <w:rFonts w:ascii="Times New Roman" w:hAnsi="Times New Roman"/>
          <w:i/>
          <w:iCs/>
          <w:sz w:val="24"/>
          <w:szCs w:val="24"/>
        </w:rPr>
        <w:t>Family Pasteurellaceae Genus Aggregatibacter, Family Streptococcaceae Genus Streptococcus, Family Bacteroidaceae Genus Prevotella, Family Pasteurellaceae Genus Haemophilus, Family Genus Lachnospiraceae Oribacterium, and Family Erysipelatoclostridiaceae Genus Solobacterium</w:t>
      </w:r>
      <w:r>
        <w:rPr>
          <w:rFonts w:ascii="Times New Roman" w:hAnsi="Times New Roman"/>
          <w:sz w:val="24"/>
          <w:szCs w:val="24"/>
        </w:rPr>
        <w:t xml:space="preserve">) on breast cancer was found in both tongue and saliva microbiomes. The results of our case-control study demonstrated clear differences in specific bacteria between breast cancer patients and healthy groups. Moreover, the sequencing data confirmed the results of the MR analysis, showing that the breast cancer group had a higher relative abundance of </w:t>
      </w:r>
      <w:r>
        <w:rPr>
          <w:rFonts w:ascii="Times New Roman" w:hAnsi="Times New Roman"/>
          <w:i/>
          <w:iCs/>
          <w:sz w:val="24"/>
          <w:szCs w:val="24"/>
        </w:rPr>
        <w:t>Family Pasteurellaceae</w:t>
      </w:r>
      <w:r>
        <w:rPr>
          <w:rFonts w:ascii="Times New Roman" w:hAnsi="Times New Roman"/>
          <w:sz w:val="24"/>
          <w:szCs w:val="24"/>
        </w:rPr>
        <w:t xml:space="preserve"> and </w:t>
      </w:r>
      <w:r>
        <w:rPr>
          <w:rFonts w:ascii="Times New Roman" w:hAnsi="Times New Roman"/>
          <w:i/>
          <w:iCs/>
          <w:sz w:val="24"/>
          <w:szCs w:val="24"/>
        </w:rPr>
        <w:t>Family Streptococcaceae</w:t>
      </w:r>
      <w:r>
        <w:rPr>
          <w:rFonts w:ascii="Times New Roman" w:hAnsi="Times New Roman"/>
          <w:sz w:val="24"/>
          <w:szCs w:val="24"/>
        </w:rPr>
        <w:t>, but a lower relative abundance of Family Bacteroidaceae compared to healthy controls.</w:t>
      </w:r>
    </w:p>
    <w:p>
      <w:pPr>
        <w:rPr>
          <w:rFonts w:ascii="Times New Roman" w:hAnsi="Times New Roman"/>
          <w:sz w:val="24"/>
          <w:szCs w:val="24"/>
        </w:rPr>
      </w:pPr>
      <w:r>
        <w:rPr>
          <w:rFonts w:ascii="Times New Roman" w:hAnsi="Times New Roman"/>
          <w:sz w:val="24"/>
          <w:szCs w:val="24"/>
        </w:rPr>
        <w:t>Conclusions: Our MR analysis suggested the oral microbiome has a causative effect on the risk of breast cancer, as supported by sequencing data from a case-control study. Future studies are required to comprehensively understand the complex mechanisms of interaction between oral microbiota and breast cancer.</w:t>
      </w:r>
    </w:p>
    <w:p>
      <w:pPr>
        <w:pStyle w:val="4"/>
        <w:spacing w:before="74"/>
      </w:pPr>
      <w:r>
        <w:rPr>
          <w:b w:val="0"/>
        </w:rPr>
        <w:br w:type="column"/>
      </w:r>
      <w:r>
        <w:rPr>
          <w:color w:val="BF5A14"/>
        </w:rPr>
        <w:t>Image</w:t>
      </w:r>
    </w:p>
    <w:p>
      <w:pPr>
        <w:pStyle w:val="5"/>
        <w:spacing w:before="2"/>
        <w:rPr>
          <w:rFonts w:hint="eastAsia" w:ascii="Arial" w:eastAsia="宋体"/>
          <w:b/>
          <w:sz w:val="16"/>
          <w:lang w:eastAsia="zh-CN"/>
        </w:rPr>
      </w:pPr>
      <w:r>
        <w:rPr>
          <w:rFonts w:hint="eastAsia" w:ascii="Arial" w:eastAsia="宋体"/>
          <w:b/>
          <w:sz w:val="16"/>
          <w:lang w:eastAsia="zh-CN"/>
        </w:rPr>
        <w:drawing>
          <wp:inline distT="0" distB="0" distL="114300" distR="114300">
            <wp:extent cx="2714625" cy="2122805"/>
            <wp:effectExtent l="0" t="0" r="0" b="1270"/>
            <wp:docPr id="2" name="图片 2" descr="Figure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_00"/>
                    <pic:cNvPicPr>
                      <a:picLocks noChangeAspect="1"/>
                    </pic:cNvPicPr>
                  </pic:nvPicPr>
                  <pic:blipFill>
                    <a:blip r:embed="rId6"/>
                    <a:srcRect l="5522" r="14181" b="16299"/>
                    <a:stretch>
                      <a:fillRect/>
                    </a:stretch>
                  </pic:blipFill>
                  <pic:spPr>
                    <a:xfrm>
                      <a:off x="0" y="0"/>
                      <a:ext cx="2714625" cy="2122805"/>
                    </a:xfrm>
                    <a:prstGeom prst="rect">
                      <a:avLst/>
                    </a:prstGeom>
                  </pic:spPr>
                </pic:pic>
              </a:graphicData>
            </a:graphic>
          </wp:inline>
        </w:drawing>
      </w:r>
    </w:p>
    <w:p>
      <w:pPr>
        <w:pStyle w:val="5"/>
        <w:spacing w:before="2"/>
        <w:rPr>
          <w:rFonts w:ascii="Times New Roman" w:hAnsi="Times New Roman"/>
          <w:sz w:val="24"/>
          <w:szCs w:val="24"/>
        </w:rPr>
      </w:pPr>
      <w:r>
        <w:rPr>
          <w:rFonts w:hint="eastAsia" w:ascii="Times New Roman" w:hAnsi="Times New Roman" w:eastAsia="宋体"/>
          <w:sz w:val="24"/>
          <w:szCs w:val="24"/>
          <w:lang w:val="en-US" w:eastAsia="zh-CN"/>
        </w:rPr>
        <w:t>Figure 1. T</w:t>
      </w:r>
      <w:r>
        <w:rPr>
          <w:rFonts w:ascii="Times New Roman" w:hAnsi="Times New Roman"/>
          <w:sz w:val="24"/>
          <w:szCs w:val="24"/>
        </w:rPr>
        <w:t>he flowchart of Mendelian randomization analysis and case-control study validation. IVW, inverse variance weighted; MR, Mendelian randomization; MVMR, multivariable Mendelian randomization;SNPs, single nucleotide polymorphisms; IVs, instrumental variables; CNGBdb, China National GeneBank DataBase; BBJ, BioBank Japan Project</w:t>
      </w:r>
    </w:p>
    <w:p>
      <w:pPr>
        <w:pStyle w:val="5"/>
        <w:spacing w:before="2"/>
        <w:rPr>
          <w:rFonts w:hint="eastAsia" w:ascii="Times New Roman" w:hAnsi="Times New Roman" w:eastAsia="宋体"/>
          <w:sz w:val="24"/>
          <w:szCs w:val="24"/>
          <w:lang w:eastAsia="zh-CN"/>
        </w:rPr>
      </w:pPr>
      <w:r>
        <w:rPr>
          <w:rFonts w:hint="eastAsia" w:ascii="Times New Roman" w:hAnsi="Times New Roman" w:eastAsia="宋体"/>
          <w:sz w:val="24"/>
          <w:szCs w:val="24"/>
          <w:lang w:eastAsia="zh-CN"/>
        </w:rPr>
        <w:drawing>
          <wp:inline distT="0" distB="0" distL="114300" distR="114300">
            <wp:extent cx="2259330" cy="3362960"/>
            <wp:effectExtent l="0" t="0" r="7620" b="8890"/>
            <wp:docPr id="3" name="图片 3" descr="Figure 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2_00"/>
                    <pic:cNvPicPr>
                      <a:picLocks noChangeAspect="1"/>
                    </pic:cNvPicPr>
                  </pic:nvPicPr>
                  <pic:blipFill>
                    <a:blip r:embed="rId7"/>
                    <a:srcRect l="8264"/>
                    <a:stretch>
                      <a:fillRect/>
                    </a:stretch>
                  </pic:blipFill>
                  <pic:spPr>
                    <a:xfrm>
                      <a:off x="0" y="0"/>
                      <a:ext cx="2259330" cy="3362960"/>
                    </a:xfrm>
                    <a:prstGeom prst="rect">
                      <a:avLst/>
                    </a:prstGeom>
                  </pic:spPr>
                </pic:pic>
              </a:graphicData>
            </a:graphic>
          </wp:inline>
        </w:drawing>
      </w:r>
    </w:p>
    <w:p>
      <w:pPr>
        <w:rPr>
          <w:rFonts w:ascii="Times New Roman" w:hAnsi="Times New Roman"/>
          <w:sz w:val="24"/>
          <w:szCs w:val="24"/>
        </w:rPr>
      </w:pPr>
      <w:r>
        <w:rPr>
          <w:rFonts w:hint="eastAsia" w:ascii="Times New Roman" w:hAnsi="Times New Roman" w:eastAsia="宋体"/>
          <w:sz w:val="24"/>
          <w:szCs w:val="24"/>
          <w:lang w:val="en-US" w:eastAsia="zh-CN"/>
        </w:rPr>
        <w:t xml:space="preserve">Figure 2. </w:t>
      </w:r>
      <w:r>
        <w:rPr>
          <w:rFonts w:ascii="Times New Roman" w:hAnsi="Times New Roman"/>
          <w:sz w:val="24"/>
          <w:szCs w:val="24"/>
        </w:rPr>
        <w:t>Forest plot of the association between togue mircrobiome species and breast cancer.</w:t>
      </w:r>
    </w:p>
    <w:p>
      <w:pPr>
        <w:rPr>
          <w:rFonts w:ascii="Times New Roman" w:hAnsi="Times New Roman"/>
          <w:sz w:val="24"/>
          <w:szCs w:val="24"/>
        </w:rPr>
      </w:pPr>
      <w:r>
        <w:rPr>
          <w:rFonts w:ascii="Times New Roman" w:hAnsi="Times New Roman"/>
          <w:sz w:val="24"/>
          <w:szCs w:val="24"/>
        </w:rPr>
        <w:t>IVW, Inverse variance weighted; MR, Mendelian randomization; SNP, Single nucleotide polymorphisms</w:t>
      </w:r>
    </w:p>
    <w:p>
      <w:pPr>
        <w:pStyle w:val="5"/>
        <w:spacing w:before="2"/>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 xml:space="preserve"> </w:t>
      </w:r>
    </w:p>
    <w:p>
      <w:pPr>
        <w:pStyle w:val="5"/>
        <w:spacing w:before="2"/>
        <w:rPr>
          <w:rFonts w:hint="eastAsia" w:ascii="Times New Roman" w:hAnsi="Times New Roman" w:eastAsia="宋体"/>
          <w:sz w:val="24"/>
          <w:szCs w:val="24"/>
          <w:lang w:eastAsia="zh-CN"/>
        </w:rPr>
      </w:pPr>
      <w:bookmarkStart w:id="0" w:name="_GoBack"/>
      <w:r>
        <w:rPr>
          <w:rFonts w:hint="eastAsia" w:ascii="Times New Roman" w:hAnsi="Times New Roman" w:eastAsia="宋体"/>
          <w:sz w:val="24"/>
          <w:szCs w:val="24"/>
          <w:lang w:eastAsia="zh-CN"/>
        </w:rPr>
        <w:drawing>
          <wp:inline distT="0" distB="0" distL="114300" distR="114300">
            <wp:extent cx="2380615" cy="3589020"/>
            <wp:effectExtent l="0" t="0" r="635" b="1905"/>
            <wp:docPr id="4" name="图片 4" descr="Figure 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3_00"/>
                    <pic:cNvPicPr>
                      <a:picLocks noChangeAspect="1"/>
                    </pic:cNvPicPr>
                  </pic:nvPicPr>
                  <pic:blipFill>
                    <a:blip r:embed="rId8"/>
                    <a:srcRect l="7874" t="5217" r="6554" b="3374"/>
                    <a:stretch>
                      <a:fillRect/>
                    </a:stretch>
                  </pic:blipFill>
                  <pic:spPr>
                    <a:xfrm>
                      <a:off x="0" y="0"/>
                      <a:ext cx="2380615" cy="3589020"/>
                    </a:xfrm>
                    <a:prstGeom prst="rect">
                      <a:avLst/>
                    </a:prstGeom>
                  </pic:spPr>
                </pic:pic>
              </a:graphicData>
            </a:graphic>
          </wp:inline>
        </w:drawing>
      </w:r>
      <w:bookmarkEnd w:id="0"/>
    </w:p>
    <w:p>
      <w:pPr>
        <w:rPr>
          <w:rFonts w:ascii="Times New Roman" w:hAnsi="Times New Roman"/>
          <w:sz w:val="24"/>
          <w:szCs w:val="24"/>
        </w:rPr>
      </w:pPr>
      <w:r>
        <w:rPr>
          <w:rFonts w:ascii="Times New Roman" w:hAnsi="Times New Roman"/>
          <w:sz w:val="24"/>
          <w:szCs w:val="24"/>
        </w:rPr>
        <w:t>Figure 3. Forest plot of the association between saliva mircrobiome species and breast cancer.</w:t>
      </w:r>
    </w:p>
    <w:p>
      <w:pPr>
        <w:rPr>
          <w:rFonts w:ascii="Times New Roman" w:hAnsi="Times New Roman"/>
          <w:sz w:val="24"/>
          <w:szCs w:val="24"/>
        </w:rPr>
      </w:pPr>
      <w:r>
        <w:rPr>
          <w:rFonts w:ascii="Times New Roman" w:hAnsi="Times New Roman"/>
          <w:sz w:val="24"/>
          <w:szCs w:val="24"/>
        </w:rPr>
        <w:t>IVW, Inverse variance weighted; MR, Mendelian randomization; SNP, Single nucleotide polymorphisms</w:t>
      </w:r>
    </w:p>
    <w:p>
      <w:pPr>
        <w:pStyle w:val="5"/>
        <w:spacing w:before="2"/>
        <w:rPr>
          <w:rFonts w:hint="eastAsia" w:ascii="Arial" w:eastAsia="宋体"/>
          <w:b/>
          <w:sz w:val="16"/>
          <w:lang w:eastAsia="zh-CN"/>
        </w:rPr>
      </w:pP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9"/>
      </w:pPr>
      <w:r>
        <w:rPr>
          <w:rFonts w:hint="eastAsia"/>
          <w:lang w:val="en-US" w:eastAsia="zh-CN"/>
        </w:rPr>
        <w:t xml:space="preserve">[1] </w:t>
      </w:r>
      <w:r>
        <w:t>F.R.F. Teles, F. Alawi, R.M. Castilho, Y. Wang, Association or Causation? Exploring the Oral Microbiome and Cancer Links, J Dent Res, 99 (2020) 1411-1424.</w:t>
      </w:r>
    </w:p>
    <w:p>
      <w:pPr>
        <w:pStyle w:val="19"/>
      </w:pPr>
      <w:r>
        <w:t>[</w:t>
      </w:r>
      <w:r>
        <w:rPr>
          <w:rFonts w:hint="eastAsia"/>
          <w:lang w:val="en-US" w:eastAsia="zh-CN"/>
        </w:rPr>
        <w:t>2</w:t>
      </w:r>
      <w:r>
        <w:t>] W. Heng, W. Wang, T. Dai, P. Jiang, Y. Lu, R. Li, M. Zhang, R. Xie, Y. Zhou, M. Zhao, N. Duan, Z. Ye, F. Yan, X. Wang, Oral Bacteriome and Mycobiome across Stages of Oral Carcinogenesis, Microbiol Spectr, 10 (2022) e0273722.</w:t>
      </w:r>
    </w:p>
    <w:p>
      <w:pPr>
        <w:pStyle w:val="19"/>
      </w:pPr>
      <w:r>
        <w:rPr>
          <w:rFonts w:hint="eastAsia"/>
          <w:lang w:val="en-US" w:eastAsia="zh-CN"/>
        </w:rPr>
        <w:t xml:space="preserve">[3] </w:t>
      </w:r>
      <w:r>
        <w:t xml:space="preserve">X. Fan, A.V. Alekseyenko, J. Wu, B.A. Peters, E.J. Jacobs, S.M. Gapstur, M.P. Purdue, C.C. Abnet, R. Stolzenberg-Solomon, G. Miller, J. Ravel, R.B. Hayes, </w:t>
      </w:r>
      <w:r>
        <w:rPr>
          <w:rFonts w:hint="eastAsia"/>
          <w:lang w:val="en-US" w:eastAsia="zh-CN"/>
        </w:rPr>
        <w:t xml:space="preserve">[4] </w:t>
      </w:r>
      <w:r>
        <w:t>J. Ahn, Human oral microbiome and prospective risk for pancreatic cancer: a population-based nested case-control study, Gut, 67 (2018) 120-127.</w:t>
      </w:r>
    </w:p>
    <w:p>
      <w:pPr>
        <w:pStyle w:val="19"/>
      </w:pPr>
      <w:r>
        <w:t>[</w:t>
      </w:r>
      <w:r>
        <w:rPr>
          <w:rFonts w:hint="eastAsia"/>
          <w:lang w:val="en-US" w:eastAsia="zh-CN"/>
        </w:rPr>
        <w:t>5</w:t>
      </w:r>
      <w:r>
        <w:t>] Y. Lim, N. Fukuma, M. Totsika, L. Kenny, M. Morrison, C. Punyadeera, The Performance of an Oral Microbiome Biomarker Panel in Predicting Oral Cavity and Oropharyngeal Cancers, Front Cell Infect Microbiol, 8 (2018) 267.</w:t>
      </w:r>
    </w:p>
    <w:p>
      <w:pPr>
        <w:pStyle w:val="19"/>
      </w:pP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7216;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7216;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251659264"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7216;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251657216;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dYriNkAAAAKAQAADwAAAAAAAAABACAAAAAiAAAAZHJzL2Rvd25y&#10;ZXYueG1sUEsBAhQAFAAAAAgAh07iQHQt39b9AQAABQQAAA4AAAAAAAAAAQAgAAAAKAEAAGRycy9l&#10;Mm9Eb2MueG1sUEsFBgAAAAAGAAYAWQEAAJcFAA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251657216;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ML0Fa2AAAAAoBAAAPAAAAAAAAAAEAIAAAACIAAABkcnMvZG93bnJl&#10;di54bWxQSwECFAAUAAAACACHTuJAnH8oOP0BAAAFBAAADgAAAAAAAAABACAAAAAnAQAAZHJzL2Uy&#10;b0RvYy54bWxQSwUGAAAAAAYABgBZAQAAlgUA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6D36192B"/>
    <w:rsid w:val="780720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qFormat/>
    <w:uiPriority w:val="1"/>
    <w:pPr>
      <w:ind w:left="100"/>
      <w:outlineLvl w:val="1"/>
    </w:pPr>
    <w:rPr>
      <w:rFonts w:ascii="Minion Pro" w:hAnsi="Minion Pro" w:eastAsia="Minion Pro" w:cs="Minion Pro"/>
      <w:sz w:val="24"/>
      <w:szCs w:val="24"/>
    </w:rPr>
  </w:style>
  <w:style w:type="paragraph" w:styleId="4">
    <w:name w:val="heading 3"/>
    <w:basedOn w:val="1"/>
    <w:qFormat/>
    <w:uiPriority w:val="1"/>
    <w:pPr>
      <w:ind w:left="100"/>
      <w:outlineLvl w:val="2"/>
    </w:pPr>
    <w:rPr>
      <w:rFonts w:ascii="Arial" w:hAnsi="Arial" w:eastAsia="Arial" w:cs="Arial"/>
      <w:b/>
      <w:bCs/>
      <w:sz w:val="20"/>
      <w:szCs w:val="20"/>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Body Text"/>
    <w:basedOn w:val="1"/>
    <w:link w:val="18"/>
    <w:qFormat/>
    <w:uiPriority w:val="1"/>
    <w:rPr>
      <w:sz w:val="18"/>
      <w:szCs w:val="18"/>
    </w:rPr>
  </w:style>
  <w:style w:type="paragraph" w:styleId="6">
    <w:name w:val="Balloon Text"/>
    <w:basedOn w:val="1"/>
    <w:link w:val="17"/>
    <w:semiHidden/>
    <w:unhideWhenUsed/>
    <w:uiPriority w:val="99"/>
    <w:rPr>
      <w:rFonts w:ascii="Tahoma" w:hAnsi="Tahoma" w:cs="Tahoma"/>
      <w:sz w:val="16"/>
      <w:szCs w:val="16"/>
    </w:rPr>
  </w:style>
  <w:style w:type="paragraph" w:styleId="7">
    <w:name w:val="footer"/>
    <w:basedOn w:val="1"/>
    <w:link w:val="16"/>
    <w:unhideWhenUsed/>
    <w:uiPriority w:val="99"/>
    <w:pPr>
      <w:tabs>
        <w:tab w:val="center" w:pos="4513"/>
        <w:tab w:val="right" w:pos="9026"/>
      </w:tabs>
    </w:pPr>
  </w:style>
  <w:style w:type="paragraph" w:styleId="8">
    <w:name w:val="header"/>
    <w:basedOn w:val="1"/>
    <w:link w:val="15"/>
    <w:unhideWhenUsed/>
    <w:uiPriority w:val="99"/>
    <w:pPr>
      <w:tabs>
        <w:tab w:val="center" w:pos="4513"/>
        <w:tab w:val="right" w:pos="9026"/>
      </w:tabs>
    </w:pPr>
  </w:style>
  <w:style w:type="paragraph" w:styleId="9">
    <w:name w:val="Subtitle"/>
    <w:basedOn w:val="1"/>
    <w:next w:val="1"/>
    <w:unhideWhenUsed/>
    <w:qFormat/>
    <w:uiPriority w:val="99"/>
    <w:pPr>
      <w:widowControl/>
      <w:spacing w:before="240" w:after="240"/>
      <w:jc w:val="left"/>
    </w:pPr>
    <w:rPr>
      <w:rFonts w:ascii="Times New Roman" w:hAnsi="Times New Roman" w:eastAsiaTheme="minorEastAsia"/>
      <w:b/>
      <w:kern w:val="0"/>
      <w:sz w:val="24"/>
      <w:szCs w:val="24"/>
      <w:lang w:eastAsia="en-US"/>
    </w:r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11"/>
    <w:link w:val="8"/>
    <w:uiPriority w:val="99"/>
    <w:rPr>
      <w:rFonts w:ascii="Tw Cen MT" w:hAnsi="Tw Cen MT" w:eastAsia="Tw Cen MT" w:cs="Tw Cen MT"/>
    </w:rPr>
  </w:style>
  <w:style w:type="character" w:customStyle="1" w:styleId="16">
    <w:name w:val="Footer Char"/>
    <w:basedOn w:val="11"/>
    <w:link w:val="7"/>
    <w:uiPriority w:val="99"/>
    <w:rPr>
      <w:rFonts w:ascii="Tw Cen MT" w:hAnsi="Tw Cen MT" w:eastAsia="Tw Cen MT" w:cs="Tw Cen MT"/>
    </w:rPr>
  </w:style>
  <w:style w:type="character" w:customStyle="1" w:styleId="17">
    <w:name w:val="Balloon Text Char"/>
    <w:basedOn w:val="11"/>
    <w:link w:val="6"/>
    <w:semiHidden/>
    <w:uiPriority w:val="99"/>
    <w:rPr>
      <w:rFonts w:ascii="Tahoma" w:hAnsi="Tahoma" w:eastAsia="Tw Cen MT" w:cs="Tahoma"/>
      <w:sz w:val="16"/>
      <w:szCs w:val="16"/>
    </w:rPr>
  </w:style>
  <w:style w:type="character" w:customStyle="1" w:styleId="18">
    <w:name w:val="Body Text Char"/>
    <w:basedOn w:val="11"/>
    <w:link w:val="5"/>
    <w:qFormat/>
    <w:uiPriority w:val="1"/>
    <w:rPr>
      <w:rFonts w:ascii="Tw Cen MT" w:hAnsi="Tw Cen MT" w:eastAsia="Tw Cen MT" w:cs="Tw Cen MT"/>
      <w:sz w:val="18"/>
      <w:szCs w:val="18"/>
    </w:rPr>
  </w:style>
  <w:style w:type="paragraph" w:customStyle="1" w:styleId="19">
    <w:name w:val="EndNote Bibliography"/>
    <w:basedOn w:val="1"/>
    <w:qFormat/>
    <w:uiPriority w:val="0"/>
    <w:rPr>
      <w:rFonts w:ascii="Times New Roman" w:hAnsi="Times New Roman" w:eastAsia="等线"/>
      <w:sz w:val="24"/>
      <w:szCs w:val="20"/>
    </w:rPr>
  </w:style>
  <w:style w:type="paragraph" w:customStyle="1" w:styleId="20">
    <w:name w:val="Author List"/>
    <w:basedOn w:val="9"/>
    <w:next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548</Words>
  <Characters>3124</Characters>
  <Lines>26</Lines>
  <Paragraphs>7</Paragraphs>
  <TotalTime>0</TotalTime>
  <ScaleCrop>false</ScaleCrop>
  <LinksUpToDate>false</LinksUpToDate>
  <CharactersWithSpaces>3665</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水</cp:lastModifiedBy>
  <dcterms:modified xsi:type="dcterms:W3CDTF">2023-09-03T09:12:49Z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2052-12.1.0.15120</vt:lpwstr>
  </property>
  <property fmtid="{D5CDD505-2E9C-101B-9397-08002B2CF9AE}" pid="6" name="ICV">
    <vt:lpwstr>103C5CAF2D5B427EB26C3B65AC6717B2_13</vt:lpwstr>
  </property>
</Properties>
</file>