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36F" w:rsidRDefault="004C136F" w:rsidP="004C136F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he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10,000 F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old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E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ffect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O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f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R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etrograde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N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eurotransmission</w:t>
      </w:r>
      <w:r>
        <w:rPr>
          <w:rFonts w:ascii="Times New Roman" w:hAnsi="Times New Roman"/>
          <w:b/>
          <w:sz w:val="24"/>
          <w:szCs w:val="24"/>
          <w:u w:val="single"/>
        </w:rPr>
        <w:t>, A N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ew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C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oncept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for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S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troke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R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evival</w:t>
      </w:r>
      <w:r>
        <w:rPr>
          <w:rFonts w:ascii="Times New Roman" w:hAnsi="Times New Roman"/>
          <w:b/>
          <w:sz w:val="24"/>
          <w:szCs w:val="24"/>
          <w:u w:val="single"/>
        </w:rPr>
        <w:t>: U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of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I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ntracarotid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S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odium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N</w:t>
      </w:r>
      <w:r w:rsidR="006530DE">
        <w:rPr>
          <w:rFonts w:ascii="Times New Roman" w:hAnsi="Times New Roman"/>
          <w:b/>
          <w:sz w:val="24"/>
          <w:szCs w:val="24"/>
          <w:u w:val="single"/>
        </w:rPr>
        <w:t>itroprusside</w:t>
      </w:r>
      <w:proofErr w:type="spellEnd"/>
    </w:p>
    <w:p w:rsidR="00EA4656" w:rsidRPr="000C1C5A" w:rsidRDefault="00EA4656" w:rsidP="00EA4656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C1C5A">
        <w:rPr>
          <w:rFonts w:ascii="Times New Roman" w:hAnsi="Times New Roman"/>
          <w:b/>
          <w:sz w:val="24"/>
          <w:szCs w:val="24"/>
          <w:u w:val="single"/>
        </w:rPr>
        <w:t>CONTRIBUTORS:</w:t>
      </w:r>
    </w:p>
    <w:p w:rsidR="00EA4656" w:rsidRPr="00792ED5" w:rsidRDefault="00EA4656" w:rsidP="00EA4656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DR. VINOD KUMAR TEWARI (</w:t>
      </w:r>
      <w:r w:rsidRPr="00792ED5">
        <w:rPr>
          <w:rFonts w:ascii="Times New Roman" w:hAnsi="Times New Roman"/>
          <w:b/>
          <w:color w:val="000033"/>
          <w:sz w:val="20"/>
          <w:szCs w:val="20"/>
          <w:u w:val="single"/>
        </w:rPr>
        <w:t>CORRESPONDING AUTHOR</w:t>
      </w:r>
      <w:r w:rsidRPr="00792ED5">
        <w:rPr>
          <w:rFonts w:ascii="Times New Roman" w:hAnsi="Times New Roman"/>
          <w:color w:val="000033"/>
          <w:sz w:val="20"/>
          <w:szCs w:val="20"/>
        </w:rPr>
        <w:t>)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DIRECTOR, NEURO CENTER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b/>
          <w:color w:val="000033"/>
          <w:sz w:val="20"/>
          <w:szCs w:val="20"/>
          <w:u w:val="single"/>
        </w:rPr>
      </w:pPr>
      <w:proofErr w:type="gramStart"/>
      <w:r w:rsidRPr="00792ED5">
        <w:rPr>
          <w:rFonts w:ascii="Times New Roman" w:hAnsi="Times New Roman"/>
          <w:color w:val="000033"/>
          <w:sz w:val="20"/>
          <w:szCs w:val="20"/>
        </w:rPr>
        <w:t>LUCKNOW, UP, INDIA.</w:t>
      </w:r>
      <w:proofErr w:type="gramEnd"/>
      <w:r w:rsidRPr="00792ED5">
        <w:rPr>
          <w:rFonts w:ascii="Times New Roman" w:hAnsi="Times New Roman"/>
          <w:color w:val="000033"/>
          <w:sz w:val="20"/>
          <w:szCs w:val="20"/>
        </w:rPr>
        <w:t xml:space="preserve"> 226010</w:t>
      </w:r>
      <w:proofErr w:type="gramStart"/>
      <w:r w:rsidRPr="00792ED5">
        <w:rPr>
          <w:rFonts w:ascii="Times New Roman" w:hAnsi="Times New Roman"/>
          <w:color w:val="000033"/>
          <w:sz w:val="20"/>
          <w:szCs w:val="20"/>
        </w:rPr>
        <w:t>.</w:t>
      </w:r>
      <w:r w:rsidRPr="00792ED5">
        <w:rPr>
          <w:rFonts w:ascii="Times New Roman" w:hAnsi="Times New Roman"/>
          <w:b/>
          <w:color w:val="000033"/>
          <w:sz w:val="20"/>
          <w:szCs w:val="20"/>
          <w:u w:val="single"/>
        </w:rPr>
        <w:t>CORRESPONDING</w:t>
      </w:r>
      <w:proofErr w:type="gramEnd"/>
      <w:r w:rsidRPr="00792ED5">
        <w:rPr>
          <w:rFonts w:ascii="Times New Roman" w:hAnsi="Times New Roman"/>
          <w:b/>
          <w:color w:val="000033"/>
          <w:sz w:val="20"/>
          <w:szCs w:val="20"/>
          <w:u w:val="single"/>
        </w:rPr>
        <w:t xml:space="preserve"> ADDRESS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DR. VINOD KUMAR TEWARI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proofErr w:type="gramStart"/>
      <w:r w:rsidRPr="00792ED5">
        <w:rPr>
          <w:rFonts w:ascii="Times New Roman" w:hAnsi="Times New Roman"/>
          <w:color w:val="000033"/>
          <w:sz w:val="20"/>
          <w:szCs w:val="20"/>
        </w:rPr>
        <w:t>5/279 VIPUL KHAND.</w:t>
      </w:r>
      <w:proofErr w:type="gramEnd"/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 xml:space="preserve">GOMTI NAGAR, 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LUCKNOW, UP, INDIA 226010</w:t>
      </w:r>
    </w:p>
    <w:p w:rsidR="00EA4656" w:rsidRPr="00792ED5" w:rsidRDefault="005C6F30" w:rsidP="00EA4656">
      <w:pPr>
        <w:spacing w:line="240" w:lineRule="auto"/>
        <w:rPr>
          <w:sz w:val="20"/>
          <w:szCs w:val="20"/>
        </w:rPr>
      </w:pPr>
      <w:hyperlink r:id="rId5" w:history="1">
        <w:r w:rsidR="00EA4656" w:rsidRPr="00792ED5">
          <w:rPr>
            <w:rStyle w:val="Hyperlink"/>
            <w:rFonts w:ascii="Times New Roman" w:hAnsi="Times New Roman"/>
            <w:sz w:val="20"/>
            <w:szCs w:val="20"/>
          </w:rPr>
          <w:t>drvinodtewari@gmail.com</w:t>
        </w:r>
      </w:hyperlink>
    </w:p>
    <w:p w:rsidR="00EA4656" w:rsidRPr="00792ED5" w:rsidRDefault="00EA4656" w:rsidP="00EA4656">
      <w:pPr>
        <w:spacing w:line="240" w:lineRule="auto"/>
        <w:rPr>
          <w:sz w:val="20"/>
          <w:szCs w:val="20"/>
        </w:rPr>
      </w:pPr>
      <w:r w:rsidRPr="00792ED5">
        <w:rPr>
          <w:sz w:val="20"/>
          <w:szCs w:val="20"/>
        </w:rPr>
        <w:t>+91 9415022002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sz w:val="20"/>
          <w:szCs w:val="20"/>
        </w:rPr>
        <w:t>+91 5226460322</w:t>
      </w:r>
    </w:p>
    <w:p w:rsidR="00EA4656" w:rsidRPr="00792ED5" w:rsidRDefault="00EA4656" w:rsidP="00EA4656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PROF. MAZHAR HUSAIN, MS, MCH.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DIRECTOR &amp; CHIEF NEUROSURGEON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SAHARA INDIA MEDICAL INSTITUTE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VIRAJ KHAND, GOMTINAGAR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LUCKNOW-226010, INDIA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PHONE: +91-522-2308077 (CLINIC)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+91-522-6782609 (HOSP)</w:t>
      </w:r>
    </w:p>
    <w:p w:rsidR="00EA4656" w:rsidRPr="00792ED5" w:rsidRDefault="005C6F30" w:rsidP="00EA4656">
      <w:pPr>
        <w:spacing w:line="240" w:lineRule="auto"/>
        <w:rPr>
          <w:rFonts w:ascii="Times New Roman" w:hAnsi="Times New Roman"/>
          <w:sz w:val="20"/>
          <w:szCs w:val="20"/>
        </w:rPr>
      </w:pPr>
      <w:hyperlink r:id="rId6" w:history="1">
        <w:r w:rsidR="00EA4656" w:rsidRPr="00792ED5">
          <w:rPr>
            <w:rStyle w:val="Hyperlink"/>
            <w:rFonts w:ascii="Times New Roman" w:hAnsi="Times New Roman"/>
            <w:sz w:val="20"/>
            <w:szCs w:val="20"/>
          </w:rPr>
          <w:t>drmazharhusain@gmail.com</w:t>
        </w:r>
      </w:hyperlink>
    </w:p>
    <w:p w:rsidR="00EA4656" w:rsidRPr="00792ED5" w:rsidRDefault="00EA4656" w:rsidP="00EA4656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sz w:val="20"/>
          <w:szCs w:val="20"/>
        </w:rPr>
        <w:t>PROF. HARI KISHAN DAS GUPTA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MCH UROLOGIST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HEAD DEPARTMENT OF SURGERY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JMC JHALAWAR RAJASTHAN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+917597562151</w:t>
      </w:r>
    </w:p>
    <w:p w:rsidR="00EA4656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 w:rsidRPr="00792ED5">
        <w:rPr>
          <w:rFonts w:ascii="Times New Roman" w:hAnsi="Times New Roman"/>
          <w:color w:val="000033"/>
          <w:sz w:val="20"/>
          <w:szCs w:val="20"/>
        </w:rPr>
        <w:t>+915226460322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PIN CODE-326001</w:t>
      </w:r>
    </w:p>
    <w:p w:rsidR="00EA4656" w:rsidRPr="00792ED5" w:rsidRDefault="005C6F30" w:rsidP="00EA4656">
      <w:pPr>
        <w:spacing w:line="240" w:lineRule="auto"/>
        <w:rPr>
          <w:rFonts w:ascii="Times New Roman" w:hAnsi="Times New Roman"/>
          <w:sz w:val="20"/>
          <w:szCs w:val="20"/>
        </w:rPr>
      </w:pPr>
      <w:hyperlink r:id="rId7" w:history="1">
        <w:r w:rsidR="00EA4656" w:rsidRPr="00792ED5">
          <w:rPr>
            <w:rStyle w:val="Hyperlink"/>
            <w:rFonts w:ascii="Times New Roman" w:hAnsi="Times New Roman"/>
            <w:sz w:val="20"/>
            <w:szCs w:val="20"/>
          </w:rPr>
          <w:t>guptadrvidya@gmail.com</w:t>
        </w:r>
      </w:hyperlink>
    </w:p>
    <w:p w:rsidR="00EA4656" w:rsidRPr="00792ED5" w:rsidRDefault="00EA4656" w:rsidP="00EA4656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792ED5">
        <w:rPr>
          <w:rFonts w:ascii="Times New Roman" w:hAnsi="Times New Roman"/>
          <w:sz w:val="20"/>
          <w:szCs w:val="20"/>
        </w:rPr>
        <w:t>DR. RAVI SINGHVIE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sz w:val="20"/>
          <w:szCs w:val="20"/>
        </w:rPr>
      </w:pPr>
      <w:r w:rsidRPr="00792ED5">
        <w:rPr>
          <w:rFonts w:ascii="Times New Roman" w:hAnsi="Times New Roman"/>
          <w:sz w:val="20"/>
          <w:szCs w:val="20"/>
        </w:rPr>
        <w:t>DNB INTERVENTIONAL CARDIOLOGIST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sz w:val="20"/>
          <w:szCs w:val="20"/>
        </w:rPr>
      </w:pPr>
      <w:r w:rsidRPr="00792ED5">
        <w:rPr>
          <w:rFonts w:ascii="Times New Roman" w:hAnsi="Times New Roman"/>
          <w:sz w:val="20"/>
          <w:szCs w:val="20"/>
        </w:rPr>
        <w:t>PP SAVANI HEART INSTITUTE,</w:t>
      </w:r>
    </w:p>
    <w:p w:rsidR="00EA4656" w:rsidRDefault="00EA4656" w:rsidP="00EA4656">
      <w:pPr>
        <w:spacing w:line="240" w:lineRule="auto"/>
        <w:rPr>
          <w:rFonts w:ascii="Times New Roman" w:hAnsi="Times New Roman"/>
          <w:sz w:val="20"/>
          <w:szCs w:val="20"/>
        </w:rPr>
      </w:pPr>
      <w:r w:rsidRPr="00792ED5">
        <w:rPr>
          <w:rFonts w:ascii="Times New Roman" w:hAnsi="Times New Roman"/>
          <w:sz w:val="20"/>
          <w:szCs w:val="20"/>
        </w:rPr>
        <w:lastRenderedPageBreak/>
        <w:t>SURAT GUJRAT</w:t>
      </w:r>
    </w:p>
    <w:p w:rsidR="00EA4656" w:rsidRPr="00792ED5" w:rsidRDefault="00EA4656" w:rsidP="00EA4656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PIN CODE = 395009</w:t>
      </w:r>
    </w:p>
    <w:p w:rsidR="00EA4656" w:rsidRPr="00792ED5" w:rsidRDefault="005C6F30" w:rsidP="00EA4656">
      <w:pPr>
        <w:spacing w:line="240" w:lineRule="auto"/>
        <w:rPr>
          <w:rFonts w:ascii="Times New Roman" w:hAnsi="Times New Roman"/>
          <w:sz w:val="20"/>
          <w:szCs w:val="20"/>
        </w:rPr>
      </w:pPr>
      <w:hyperlink r:id="rId8" w:history="1">
        <w:r w:rsidR="00EA4656" w:rsidRPr="00792ED5">
          <w:rPr>
            <w:rStyle w:val="Hyperlink"/>
            <w:rFonts w:ascii="Times New Roman" w:hAnsi="Times New Roman"/>
            <w:sz w:val="20"/>
            <w:szCs w:val="20"/>
          </w:rPr>
          <w:t>ravisinghvie@gmail.com</w:t>
        </w:r>
      </w:hyperlink>
    </w:p>
    <w:p w:rsidR="004C136F" w:rsidRDefault="004C136F" w:rsidP="004C136F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ABSTRACT</w:t>
      </w:r>
    </w:p>
    <w:p w:rsidR="004C136F" w:rsidRDefault="004C136F" w:rsidP="004C136F">
      <w:pPr>
        <w:pStyle w:val="NormalWeb"/>
      </w:pPr>
      <w:r>
        <w:rPr>
          <w:b/>
          <w:u w:val="single"/>
        </w:rPr>
        <w:t>BACKGROUND</w:t>
      </w:r>
      <w:r>
        <w:rPr>
          <w:b/>
        </w:rPr>
        <w:t xml:space="preserve">: </w:t>
      </w:r>
      <w:r>
        <w:t xml:space="preserve">Tissue </w:t>
      </w:r>
      <w:proofErr w:type="spellStart"/>
      <w:r>
        <w:t>Plasminogen</w:t>
      </w:r>
      <w:proofErr w:type="spellEnd"/>
      <w:r>
        <w:t xml:space="preserve"> Activator (</w:t>
      </w:r>
      <w:proofErr w:type="spellStart"/>
      <w:proofErr w:type="gramStart"/>
      <w:r>
        <w:t>tPA</w:t>
      </w:r>
      <w:proofErr w:type="spellEnd"/>
      <w:proofErr w:type="gramEnd"/>
      <w:r>
        <w:t xml:space="preserve">) showed a level 1 benefit in acute stroke (within 3-6 hrs). </w:t>
      </w:r>
      <w:proofErr w:type="spellStart"/>
      <w:r>
        <w:t>Intracarotid</w:t>
      </w:r>
      <w:proofErr w:type="spellEnd"/>
      <w:r>
        <w:t xml:space="preserve"> sodium </w:t>
      </w:r>
      <w:proofErr w:type="spellStart"/>
      <w:r>
        <w:t>nitroprusside</w:t>
      </w:r>
      <w:proofErr w:type="spellEnd"/>
      <w:r>
        <w:t xml:space="preserve"> (ICSNP) has been studied in this context for fast physiological recovery with a wide treatment window and affordability. This work proposes two mechanisms for acute cases and one mechanism for chronic cases, which are interrelated, for physiological recovery.</w:t>
      </w:r>
    </w:p>
    <w:p w:rsidR="004C136F" w:rsidRDefault="004C136F" w:rsidP="004C136F">
      <w:pPr>
        <w:pStyle w:val="NormalWeb"/>
        <w:numPr>
          <w:ilvl w:val="0"/>
          <w:numId w:val="1"/>
        </w:numPr>
        <w:ind w:left="360"/>
      </w:pPr>
      <w:r>
        <w:rPr>
          <w:b/>
          <w:color w:val="333333"/>
          <w:u w:val="single"/>
        </w:rPr>
        <w:t>RETROGRADE NEUROTRANSMISSION (acute cases):</w:t>
      </w:r>
      <w:r>
        <w:rPr>
          <w:b/>
          <w:color w:val="333333"/>
        </w:rPr>
        <w:t xml:space="preserve"> </w:t>
      </w:r>
    </w:p>
    <w:p w:rsidR="004C136F" w:rsidRDefault="004C136F" w:rsidP="004C136F">
      <w:pPr>
        <w:pStyle w:val="NormalWeb"/>
        <w:numPr>
          <w:ilvl w:val="0"/>
          <w:numId w:val="2"/>
        </w:numPr>
        <w:ind w:left="720" w:firstLine="0"/>
      </w:pPr>
      <w:r>
        <w:rPr>
          <w:b/>
          <w:i/>
          <w:color w:val="333333"/>
        </w:rPr>
        <w:t xml:space="preserve">Normal excitatory impulse: </w:t>
      </w:r>
      <w:r>
        <w:rPr>
          <w:color w:val="333333"/>
        </w:rPr>
        <w:t xml:space="preserve">at the synaptic level, glutamate activates NMDA receptors, with </w:t>
      </w:r>
      <w:r>
        <w:t xml:space="preserve">nitric oxide </w:t>
      </w:r>
      <w:proofErr w:type="spellStart"/>
      <w:r>
        <w:t>synthetase</w:t>
      </w:r>
      <w:proofErr w:type="spellEnd"/>
      <w:r>
        <w:t xml:space="preserve"> </w:t>
      </w:r>
      <w:r>
        <w:rPr>
          <w:color w:val="333333"/>
        </w:rPr>
        <w:t>(NOS) on the postsynaptic membrane, for further propagation by the calcium-</w:t>
      </w:r>
      <w:proofErr w:type="spellStart"/>
      <w:r>
        <w:rPr>
          <w:color w:val="333333"/>
        </w:rPr>
        <w:t>calmodulin</w:t>
      </w:r>
      <w:proofErr w:type="spellEnd"/>
      <w:r>
        <w:rPr>
          <w:color w:val="333333"/>
        </w:rPr>
        <w:t xml:space="preserve"> complex. Nitric oxide (NO, produced by NOS) travels backward across the chemical synapse and binds the axon-</w:t>
      </w:r>
      <w:r>
        <w:t>terminal NO receptor/</w:t>
      </w:r>
      <w:proofErr w:type="spellStart"/>
      <w:r>
        <w:t>sGC</w:t>
      </w:r>
      <w:proofErr w:type="spellEnd"/>
      <w:r>
        <w:t xml:space="preserve"> of a </w:t>
      </w:r>
      <w:proofErr w:type="spellStart"/>
      <w:r>
        <w:t>presynaptic</w:t>
      </w:r>
      <w:proofErr w:type="spellEnd"/>
      <w:r>
        <w:t xml:space="preserve"> neuron, regulating </w:t>
      </w:r>
      <w:proofErr w:type="spellStart"/>
      <w:r>
        <w:t>anterograde</w:t>
      </w:r>
      <w:proofErr w:type="spellEnd"/>
      <w:r>
        <w:t xml:space="preserve"> neurotransmission (ANT) via retrograde neurotransmission (RNT). </w:t>
      </w:r>
      <w:proofErr w:type="spellStart"/>
      <w:r>
        <w:t>Heme</w:t>
      </w:r>
      <w:proofErr w:type="spellEnd"/>
      <w:r>
        <w:t xml:space="preserve"> is the </w:t>
      </w:r>
      <w:proofErr w:type="spellStart"/>
      <w:r>
        <w:t>ligand</w:t>
      </w:r>
      <w:proofErr w:type="spellEnd"/>
      <w:r>
        <w:t>-binding site of the NO receptor/</w:t>
      </w:r>
      <w:proofErr w:type="spellStart"/>
      <w:r>
        <w:t>sGC</w:t>
      </w:r>
      <w:proofErr w:type="spellEnd"/>
      <w:r>
        <w:t xml:space="preserve">. </w:t>
      </w:r>
      <w:proofErr w:type="spellStart"/>
      <w:r>
        <w:t>Heme</w:t>
      </w:r>
      <w:proofErr w:type="spellEnd"/>
      <w:r>
        <w:t xml:space="preserve"> exhibits &gt; 10,000-fold higher affinity for NO than for oxygen (</w:t>
      </w:r>
      <w:r>
        <w:rPr>
          <w:b/>
        </w:rPr>
        <w:t>the 10,000-fold effect</w:t>
      </w:r>
      <w:r>
        <w:t>) and is completed in 20 msec.</w:t>
      </w:r>
    </w:p>
    <w:p w:rsidR="004C136F" w:rsidRDefault="004C136F" w:rsidP="004C136F">
      <w:pPr>
        <w:pStyle w:val="NormalWeb"/>
        <w:numPr>
          <w:ilvl w:val="0"/>
          <w:numId w:val="2"/>
        </w:numPr>
        <w:ind w:left="720" w:firstLine="0"/>
      </w:pPr>
      <w:r>
        <w:rPr>
          <w:b/>
          <w:i/>
        </w:rPr>
        <w:t xml:space="preserve">Pathological conditions: </w:t>
      </w:r>
      <w:r>
        <w:t xml:space="preserve">normal synaptic activity, including both ANT and RNT, is absent. </w:t>
      </w:r>
      <w:proofErr w:type="gramStart"/>
      <w:r>
        <w:t>A NO donor (SNP) releases NO from NOS in the postsynaptic region.</w:t>
      </w:r>
      <w:proofErr w:type="gramEnd"/>
      <w:r>
        <w:t xml:space="preserve"> NO travels backward across a chemical synapse to bind to the </w:t>
      </w:r>
      <w:proofErr w:type="spellStart"/>
      <w:r>
        <w:t>heme</w:t>
      </w:r>
      <w:proofErr w:type="spellEnd"/>
      <w:r>
        <w:t xml:space="preserve"> of a NO receptor in the axon terminal of a </w:t>
      </w:r>
      <w:proofErr w:type="spellStart"/>
      <w:r>
        <w:t>presynaptic</w:t>
      </w:r>
      <w:proofErr w:type="spellEnd"/>
      <w:r>
        <w:t xml:space="preserve"> neuron, generating an impulse, as under normal conditions.</w:t>
      </w:r>
    </w:p>
    <w:p w:rsidR="004C136F" w:rsidRDefault="004C136F" w:rsidP="004C136F">
      <w:pPr>
        <w:pStyle w:val="NormalWeb"/>
        <w:numPr>
          <w:ilvl w:val="0"/>
          <w:numId w:val="1"/>
        </w:numPr>
        <w:ind w:left="90" w:firstLine="0"/>
      </w:pPr>
      <w:r>
        <w:rPr>
          <w:b/>
          <w:u w:val="single"/>
        </w:rPr>
        <w:t>VASOSPASM: (acute cases)</w:t>
      </w:r>
    </w:p>
    <w:p w:rsidR="004C136F" w:rsidRDefault="004C136F" w:rsidP="004C136F">
      <w:pPr>
        <w:pStyle w:val="NormalWeb"/>
        <w:ind w:left="90"/>
      </w:pPr>
      <w:r>
        <w:t xml:space="preserve">Perforators show </w:t>
      </w:r>
      <w:proofErr w:type="spellStart"/>
      <w:r>
        <w:t>vasospastic</w:t>
      </w:r>
      <w:proofErr w:type="spellEnd"/>
      <w:r>
        <w:t xml:space="preserve"> activity. NO </w:t>
      </w:r>
      <w:proofErr w:type="spellStart"/>
      <w:r>
        <w:t>vasodilates</w:t>
      </w:r>
      <w:proofErr w:type="spellEnd"/>
      <w:r>
        <w:t xml:space="preserve"> the perforators via the NO-</w:t>
      </w:r>
      <w:proofErr w:type="spellStart"/>
      <w:r>
        <w:t>cAMP</w:t>
      </w:r>
      <w:proofErr w:type="spellEnd"/>
      <w:r>
        <w:t xml:space="preserve"> pathway.</w:t>
      </w:r>
    </w:p>
    <w:p w:rsidR="004C136F" w:rsidRDefault="004C136F" w:rsidP="004C136F">
      <w:pPr>
        <w:pStyle w:val="NormalWeb"/>
        <w:numPr>
          <w:ilvl w:val="0"/>
          <w:numId w:val="1"/>
        </w:numPr>
        <w:ind w:left="90" w:firstLine="0"/>
        <w:rPr>
          <w:b/>
          <w:u w:val="single"/>
        </w:rPr>
      </w:pPr>
      <w:r>
        <w:rPr>
          <w:b/>
          <w:u w:val="single"/>
        </w:rPr>
        <w:t>LONG-TERM POTENTIATION (LTP): (chronic cases)</w:t>
      </w:r>
    </w:p>
    <w:p w:rsidR="004C136F" w:rsidRDefault="004C136F" w:rsidP="004C136F">
      <w:pPr>
        <w:pStyle w:val="NormalWeb"/>
        <w:ind w:left="90"/>
      </w:pPr>
      <w:r>
        <w:t>The NO–</w:t>
      </w:r>
      <w:proofErr w:type="spellStart"/>
      <w:r>
        <w:t>cGMP</w:t>
      </w:r>
      <w:proofErr w:type="spellEnd"/>
      <w:r>
        <w:t>-pathway plays a role in LTP at many synapses throughout the CNS and at the neuromuscular junction. LTP has been reviewed both generally and with respect to brain regions specific for memory/learning.</w:t>
      </w:r>
    </w:p>
    <w:p w:rsidR="004C136F" w:rsidRDefault="004C136F" w:rsidP="004C136F">
      <w:pPr>
        <w:pStyle w:val="NormalWeb"/>
      </w:pPr>
      <w:r>
        <w:rPr>
          <w:b/>
          <w:u w:val="single"/>
        </w:rPr>
        <w:t>AIMS/STUDY DESIGN:</w:t>
      </w:r>
      <w:r>
        <w:rPr>
          <w:b/>
        </w:rPr>
        <w:t xml:space="preserve"> </w:t>
      </w:r>
      <w:r>
        <w:t xml:space="preserve">The principles of “generation of impulses from the </w:t>
      </w:r>
      <w:proofErr w:type="spellStart"/>
      <w:r>
        <w:t>presynaptic</w:t>
      </w:r>
      <w:proofErr w:type="spellEnd"/>
      <w:r>
        <w:t xml:space="preserve"> region to the postsynaptic region by very potent RNT (</w:t>
      </w:r>
      <w:r>
        <w:rPr>
          <w:b/>
        </w:rPr>
        <w:t>10,000-fold effect)</w:t>
      </w:r>
      <w:r>
        <w:t>”</w:t>
      </w:r>
      <w:r>
        <w:rPr>
          <w:b/>
        </w:rPr>
        <w:t xml:space="preserve"> </w:t>
      </w:r>
      <w:r>
        <w:t>and “</w:t>
      </w:r>
      <w:proofErr w:type="spellStart"/>
      <w:r>
        <w:t>vasodilation</w:t>
      </w:r>
      <w:proofErr w:type="spellEnd"/>
      <w:r>
        <w:t xml:space="preserve"> of arteriolar perforators” are the basis of the authors’ hypothesis to treat stroke cases</w:t>
      </w:r>
      <w:r>
        <w:rPr>
          <w:b/>
        </w:rPr>
        <w:t>.</w:t>
      </w:r>
      <w:r>
        <w:t xml:space="preserve"> </w:t>
      </w:r>
      <w:proofErr w:type="gramStart"/>
      <w:r>
        <w:t>Case-control prospective study.</w:t>
      </w:r>
      <w:proofErr w:type="gramEnd"/>
    </w:p>
    <w:p w:rsidR="004C136F" w:rsidRDefault="004C136F" w:rsidP="004C136F">
      <w:pPr>
        <w:pStyle w:val="NormalWeb"/>
        <w:rPr>
          <w:color w:val="333333"/>
        </w:rPr>
      </w:pPr>
      <w:r>
        <w:rPr>
          <w:b/>
          <w:color w:val="333333"/>
          <w:u w:val="single"/>
        </w:rPr>
        <w:t xml:space="preserve">MATERIALS AND METHODS: </w:t>
      </w:r>
      <w:r>
        <w:rPr>
          <w:color w:val="333333"/>
        </w:rPr>
        <w:t xml:space="preserve">The experimental population included </w:t>
      </w:r>
      <w:r w:rsidR="00A34946">
        <w:rPr>
          <w:color w:val="333333"/>
        </w:rPr>
        <w:t>3</w:t>
      </w:r>
      <w:r>
        <w:rPr>
          <w:color w:val="333333"/>
        </w:rPr>
        <w:t xml:space="preserve">00 </w:t>
      </w:r>
      <w:r>
        <w:t>stroke patients (1</w:t>
      </w:r>
      <w:r w:rsidR="00A34946">
        <w:t>5</w:t>
      </w:r>
      <w:r>
        <w:t xml:space="preserve">0 patients were given control treatments without </w:t>
      </w:r>
      <w:proofErr w:type="spellStart"/>
      <w:r>
        <w:t>superfusion</w:t>
      </w:r>
      <w:proofErr w:type="spellEnd"/>
      <w:r>
        <w:t xml:space="preserve"> or with 5% dextrose </w:t>
      </w:r>
      <w:proofErr w:type="spellStart"/>
      <w:r>
        <w:lastRenderedPageBreak/>
        <w:t>superfusion</w:t>
      </w:r>
      <w:proofErr w:type="spellEnd"/>
      <w:r>
        <w:t>, and 1</w:t>
      </w:r>
      <w:r w:rsidR="00A34946">
        <w:t>5</w:t>
      </w:r>
      <w:r>
        <w:t>0 patients comprised the ICSNP group). The m</w:t>
      </w:r>
      <w:r w:rsidR="00A34946">
        <w:t xml:space="preserve">ean time for </w:t>
      </w:r>
      <w:proofErr w:type="spellStart"/>
      <w:r w:rsidR="00A34946">
        <w:t>superfusion</w:t>
      </w:r>
      <w:proofErr w:type="spellEnd"/>
      <w:r w:rsidR="00A34946">
        <w:t xml:space="preserve"> was 9.0</w:t>
      </w:r>
      <w:r>
        <w:t xml:space="preserve"> days post-stroke. Pre- and post-ICSNP status was monitored by NIHSS, MRI</w:t>
      </w:r>
      <w:r w:rsidR="00A34946">
        <w:t>, DSA</w:t>
      </w:r>
      <w:r>
        <w:t xml:space="preserve"> and TCD.</w:t>
      </w:r>
    </w:p>
    <w:p w:rsidR="004C136F" w:rsidRDefault="004C136F" w:rsidP="004C136F">
      <w:pPr>
        <w:pStyle w:val="NormalWeb"/>
        <w:rPr>
          <w:color w:val="333333"/>
        </w:rPr>
      </w:pPr>
      <w:r>
        <w:rPr>
          <w:b/>
          <w:color w:val="333333"/>
          <w:u w:val="single"/>
        </w:rPr>
        <w:t>RESULTS:</w:t>
      </w:r>
      <w:r>
        <w:rPr>
          <w:b/>
          <w:color w:val="333333"/>
        </w:rPr>
        <w:t xml:space="preserve"> After 90 seconds </w:t>
      </w:r>
      <w:r>
        <w:rPr>
          <w:color w:val="333333"/>
        </w:rPr>
        <w:t xml:space="preserve">in the ICSNP group, the mean change in the NIHSS score was a decrease of </w:t>
      </w:r>
      <w:r>
        <w:rPr>
          <w:b/>
          <w:color w:val="333333"/>
        </w:rPr>
        <w:t>1.44 points, or 6.55%; after 2 h, there was a decrease of 1.16 points; after 24 h, there was an increase of 0</w:t>
      </w:r>
      <w:r>
        <w:rPr>
          <w:color w:val="333333"/>
        </w:rPr>
        <w:t xml:space="preserve">.66 points, 2.25%, compared to the </w:t>
      </w:r>
      <w:r>
        <w:t xml:space="preserve">control-group increase of 0.7 points, or 3.53%; </w:t>
      </w:r>
      <w:r>
        <w:rPr>
          <w:b/>
          <w:color w:val="333333"/>
        </w:rPr>
        <w:t>at 7 days, there was an</w:t>
      </w:r>
      <w:r>
        <w:rPr>
          <w:color w:val="333333"/>
        </w:rPr>
        <w:t xml:space="preserve"> 8.61-point </w:t>
      </w:r>
      <w:r>
        <w:rPr>
          <w:b/>
          <w:color w:val="333333"/>
        </w:rPr>
        <w:t>decrease</w:t>
      </w:r>
      <w:r>
        <w:rPr>
          <w:color w:val="333333"/>
        </w:rPr>
        <w:t xml:space="preserve">, 44.58%, compared to the </w:t>
      </w:r>
      <w:r>
        <w:t xml:space="preserve">control-group increase of 2.55 points, or 22.37%; </w:t>
      </w:r>
      <w:r>
        <w:rPr>
          <w:b/>
        </w:rPr>
        <w:t>a</w:t>
      </w:r>
      <w:r>
        <w:rPr>
          <w:b/>
          <w:color w:val="333333"/>
        </w:rPr>
        <w:t xml:space="preserve">t 2 months </w:t>
      </w:r>
      <w:r>
        <w:rPr>
          <w:color w:val="333333"/>
        </w:rPr>
        <w:t xml:space="preserve">in ICSNP, there was a 6.94-points </w:t>
      </w:r>
      <w:r>
        <w:rPr>
          <w:b/>
          <w:color w:val="333333"/>
        </w:rPr>
        <w:t>decrease</w:t>
      </w:r>
      <w:r>
        <w:rPr>
          <w:color w:val="333333"/>
        </w:rPr>
        <w:t xml:space="preserve">, 62.80%, compared </w:t>
      </w:r>
      <w:r>
        <w:t xml:space="preserve">to the control-group decrease of 2.77 points, or 8.78%. TCD was documented and </w:t>
      </w:r>
      <w:r>
        <w:rPr>
          <w:color w:val="333333"/>
        </w:rPr>
        <w:t>improvements were noted.</w:t>
      </w:r>
    </w:p>
    <w:p w:rsidR="004C136F" w:rsidRDefault="004C136F" w:rsidP="004C136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  <w:u w:val="single"/>
        </w:rPr>
        <w:t xml:space="preserve">CONCLUSIONS: </w:t>
      </w:r>
      <w:r>
        <w:rPr>
          <w:rFonts w:ascii="Times New Roman" w:hAnsi="Times New Roman"/>
          <w:color w:val="333333"/>
          <w:sz w:val="24"/>
          <w:szCs w:val="24"/>
        </w:rPr>
        <w:t>ICSNP is</w:t>
      </w:r>
      <w:r>
        <w:rPr>
          <w:rFonts w:ascii="Times New Roman" w:hAnsi="Times New Roman"/>
          <w:sz w:val="24"/>
          <w:szCs w:val="24"/>
        </w:rPr>
        <w:t xml:space="preserve"> a swift-acting drug in the treatment of stroke, acting within 90 seconds on day 9.</w:t>
      </w:r>
      <w:r w:rsidR="00A3494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post-stroke with a small decrease after 24 hours. The drug recovers from this decrease quickly.</w:t>
      </w:r>
    </w:p>
    <w:p w:rsidR="002A1410" w:rsidRDefault="002A1410"/>
    <w:sectPr w:rsidR="002A1410" w:rsidSect="009B2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C5AEF"/>
    <w:multiLevelType w:val="hybridMultilevel"/>
    <w:tmpl w:val="DCAAF020"/>
    <w:lvl w:ilvl="0" w:tplc="2AB2533E">
      <w:start w:val="1"/>
      <w:numFmt w:val="lowerLetter"/>
      <w:lvlText w:val="%1)"/>
      <w:lvlJc w:val="left"/>
      <w:pPr>
        <w:ind w:left="1080" w:hanging="360"/>
      </w:pPr>
      <w:rPr>
        <w:b/>
        <w:color w:val="333333"/>
        <w:u w:val="sing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7E0B27"/>
    <w:multiLevelType w:val="hybridMultilevel"/>
    <w:tmpl w:val="0630BB1E"/>
    <w:lvl w:ilvl="0" w:tplc="EC1201F2">
      <w:start w:val="1"/>
      <w:numFmt w:val="decimal"/>
      <w:lvlText w:val="%1)"/>
      <w:lvlJc w:val="left"/>
      <w:pPr>
        <w:ind w:left="1440" w:hanging="360"/>
      </w:pPr>
      <w:rPr>
        <w:b/>
        <w:color w:val="333333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E40A90"/>
    <w:multiLevelType w:val="hybridMultilevel"/>
    <w:tmpl w:val="A83EE1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C136F"/>
    <w:rsid w:val="002A1410"/>
    <w:rsid w:val="004C136F"/>
    <w:rsid w:val="00553B27"/>
    <w:rsid w:val="005C6F30"/>
    <w:rsid w:val="006530DE"/>
    <w:rsid w:val="009B246F"/>
    <w:rsid w:val="00A34946"/>
    <w:rsid w:val="00B16EF5"/>
    <w:rsid w:val="00EA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1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EA46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0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visinghvi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hinkvertical.suni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mazharhusain@gmail.com" TargetMode="External"/><Relationship Id="rId5" Type="http://schemas.openxmlformats.org/officeDocument/2006/relationships/hyperlink" Target="mailto:drvinodtewari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VINOD TIWARI</dc:creator>
  <cp:keywords/>
  <dc:description/>
  <cp:lastModifiedBy>dr vinod tewari</cp:lastModifiedBy>
  <cp:revision>5</cp:revision>
  <dcterms:created xsi:type="dcterms:W3CDTF">2015-07-22T17:23:00Z</dcterms:created>
  <dcterms:modified xsi:type="dcterms:W3CDTF">2015-10-27T06:27:00Z</dcterms:modified>
</cp:coreProperties>
</file>