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660A1E" w:rsidRDefault="00A9710C" w:rsidP="00494130">
      <w:pPr>
        <w:pStyle w:val="Heading1"/>
        <w:spacing w:before="170"/>
        <w:ind w:left="0"/>
        <w:rPr>
          <w:rFonts w:asciiTheme="minorHAnsi" w:hAnsiTheme="minorHAnsi" w:cstheme="minorHAnsi"/>
          <w:sz w:val="28"/>
          <w:szCs w:val="28"/>
        </w:rPr>
      </w:pPr>
      <w:r w:rsidRPr="00660A1E">
        <w:rPr>
          <w:rFonts w:asciiTheme="minorHAnsi" w:hAnsiTheme="minorHAnsi" w:cstheme="minorHAnsi"/>
          <w:color w:val="337AB7"/>
          <w:sz w:val="28"/>
          <w:szCs w:val="28"/>
        </w:rPr>
        <w:t>Women, trauma and alcohol dependency: Connections and disconnections in alcohol treatment for women</w:t>
      </w:r>
    </w:p>
    <w:p w:rsidR="00660A1E" w:rsidRPr="00660A1E" w:rsidRDefault="00660A1E" w:rsidP="005973B9">
      <w:pPr>
        <w:pStyle w:val="BodyText"/>
        <w:spacing w:before="73" w:line="198" w:lineRule="exact"/>
        <w:ind w:left="100" w:right="5987"/>
        <w:rPr>
          <w:rFonts w:asciiTheme="minorHAnsi" w:hAnsiTheme="minorHAnsi" w:cstheme="minorHAnsi"/>
        </w:rPr>
      </w:pPr>
    </w:p>
    <w:p w:rsidR="0078738A" w:rsidRPr="00660A1E" w:rsidRDefault="0078738A" w:rsidP="005973B9">
      <w:pPr>
        <w:pStyle w:val="BodyText"/>
        <w:spacing w:before="73" w:line="198" w:lineRule="exact"/>
        <w:ind w:left="100" w:right="5987"/>
        <w:rPr>
          <w:rFonts w:asciiTheme="minorHAnsi" w:hAnsiTheme="minorHAnsi" w:cstheme="minorHAnsi"/>
        </w:rPr>
      </w:pPr>
      <w:r w:rsidRPr="00660A1E">
        <w:rPr>
          <w:rFonts w:asciiTheme="minorHAnsi" w:hAnsiTheme="minorHAnsi" w:cstheme="minorHAnsi"/>
        </w:rPr>
        <w:t>Dr ABC</w:t>
      </w:r>
      <w:r w:rsidR="005973B9" w:rsidRPr="00660A1E">
        <w:rPr>
          <w:rFonts w:asciiTheme="minorHAnsi" w:hAnsiTheme="minorHAnsi" w:cstheme="minorHAnsi"/>
        </w:rPr>
        <w:t xml:space="preserve">, RN PhD, TLI Foundation, USA </w:t>
      </w:r>
    </w:p>
    <w:p w:rsidR="005973B9" w:rsidRPr="00660A1E" w:rsidRDefault="0078738A" w:rsidP="005973B9">
      <w:pPr>
        <w:pStyle w:val="BodyText"/>
        <w:spacing w:before="73" w:line="198" w:lineRule="exact"/>
        <w:ind w:left="100" w:right="5987"/>
        <w:rPr>
          <w:rFonts w:asciiTheme="minorHAnsi" w:hAnsiTheme="minorHAnsi" w:cstheme="minorHAnsi"/>
        </w:rPr>
      </w:pPr>
      <w:r w:rsidRPr="00660A1E">
        <w:rPr>
          <w:rFonts w:asciiTheme="minorHAnsi" w:hAnsiTheme="minorHAnsi" w:cstheme="minorHAnsi"/>
        </w:rPr>
        <w:t>Dr ABC</w:t>
      </w:r>
      <w:r w:rsidR="005973B9" w:rsidRPr="00660A1E">
        <w:rPr>
          <w:rFonts w:asciiTheme="minorHAnsi" w:hAnsiTheme="minorHAnsi" w:cstheme="minorHAnsi"/>
        </w:rPr>
        <w:t>, RN PhD, TLI Foundation, USA</w:t>
      </w:r>
    </w:p>
    <w:p w:rsidR="00AE3E37" w:rsidRPr="00660A1E" w:rsidRDefault="00AE3E37">
      <w:pPr>
        <w:pStyle w:val="BodyText"/>
        <w:rPr>
          <w:rFonts w:asciiTheme="minorHAnsi" w:hAnsiTheme="minorHAnsi" w:cstheme="minorHAnsi"/>
        </w:rPr>
      </w:pPr>
    </w:p>
    <w:p w:rsidR="00AE3E37" w:rsidRPr="00660A1E" w:rsidRDefault="00AE3E37">
      <w:pPr>
        <w:rPr>
          <w:rFonts w:asciiTheme="minorHAnsi" w:hAnsiTheme="minorHAnsi" w:cstheme="minorHAnsi"/>
          <w:sz w:val="18"/>
          <w:szCs w:val="18"/>
        </w:rPr>
        <w:sectPr w:rsidR="00AE3E37" w:rsidRPr="00660A1E">
          <w:headerReference w:type="default" r:id="rId7"/>
          <w:type w:val="continuous"/>
          <w:pgSz w:w="11910" w:h="16840"/>
          <w:pgMar w:top="1740" w:right="600" w:bottom="840" w:left="620" w:header="541" w:footer="642" w:gutter="0"/>
          <w:cols w:space="720"/>
        </w:sectPr>
      </w:pPr>
    </w:p>
    <w:p w:rsidR="00AE3E37" w:rsidRPr="00660A1E" w:rsidRDefault="00A9710C">
      <w:pPr>
        <w:pStyle w:val="Heading3"/>
        <w:spacing w:before="147"/>
        <w:jc w:val="both"/>
        <w:rPr>
          <w:rFonts w:asciiTheme="minorHAnsi" w:hAnsiTheme="minorHAnsi" w:cstheme="minorHAnsi"/>
          <w:sz w:val="22"/>
          <w:szCs w:val="22"/>
        </w:rPr>
      </w:pPr>
      <w:r w:rsidRPr="00660A1E">
        <w:rPr>
          <w:rFonts w:asciiTheme="minorHAnsi" w:hAnsiTheme="minorHAnsi" w:cstheme="minorHAnsi"/>
          <w:color w:val="BF5A14"/>
          <w:sz w:val="22"/>
          <w:szCs w:val="22"/>
        </w:rPr>
        <w:lastRenderedPageBreak/>
        <w:t>Abstract</w:t>
      </w:r>
      <w:r w:rsidR="00404E5B" w:rsidRPr="00660A1E">
        <w:rPr>
          <w:rFonts w:asciiTheme="minorHAnsi" w:hAnsiTheme="minorHAnsi" w:cstheme="minorHAnsi"/>
          <w:color w:val="BF5A14"/>
          <w:sz w:val="22"/>
          <w:szCs w:val="22"/>
        </w:rPr>
        <w:t xml:space="preserve"> (300 word limit)</w:t>
      </w:r>
    </w:p>
    <w:p w:rsidR="00AE3E37" w:rsidRPr="00660A1E" w:rsidRDefault="00A9710C">
      <w:pPr>
        <w:pStyle w:val="BodyText"/>
        <w:spacing w:before="90" w:line="280" w:lineRule="auto"/>
        <w:ind w:left="100"/>
        <w:jc w:val="both"/>
        <w:rPr>
          <w:rFonts w:asciiTheme="minorHAnsi" w:hAnsiTheme="minorHAnsi" w:cstheme="minorHAnsi"/>
        </w:rPr>
      </w:pPr>
      <w:r w:rsidRPr="00660A1E">
        <w:rPr>
          <w:rFonts w:asciiTheme="minorHAnsi" w:hAnsiTheme="minorHAnsi" w:cstheme="minorHAnsi"/>
        </w:rPr>
        <w:t>Statement of the Problem: Women who have experienced intimate partnerviolence(IPV)areatgreaterriskforphysicalandmentalhealth problems including posttraumatic stress disorder (PTSD) and alcohol dependency. On their own IPV, PTSD and alcohol dependency result   in significant personal, social and economic cost and the impact of all threemaycompoundthesecosts.Researchershavereportedthatwomen with these experiences are more difficult to treat; many donotaccess treatmentandthosewhodo,frequentlydonotstaybecauseofdifficulty maintaining helping relationships. However, these women’s perspective has not been previously studied. The purpose of this study is todescribe the experience of seeking help for alcohol dependency by women with PTSD and a history of IPV in the context in which it occurs. Methodolog</w:t>
      </w:r>
      <w:r w:rsidR="0078738A" w:rsidRPr="00660A1E">
        <w:rPr>
          <w:rFonts w:asciiTheme="minorHAnsi" w:hAnsiTheme="minorHAnsi" w:cstheme="minorHAnsi"/>
        </w:rPr>
        <w:t xml:space="preserve">y &amp; Theoretical Orientation: An </w:t>
      </w:r>
      <w:r w:rsidRPr="00660A1E">
        <w:rPr>
          <w:rFonts w:asciiTheme="minorHAnsi" w:hAnsiTheme="minorHAnsi" w:cstheme="minorHAnsi"/>
        </w:rPr>
        <w:t xml:space="preserve">intersubjective ethnographic study using hermeneutic dialogue was utilized during participant observation, in- depth interviews and focus groups. An ecological framework was utilizedtofocusontheinteractionbetweenthecounselorsandthestaffto understand </w:t>
      </w:r>
      <w:r w:rsidR="00660A1E" w:rsidRPr="00660A1E">
        <w:rPr>
          <w:rFonts w:asciiTheme="minorHAnsi" w:hAnsiTheme="minorHAnsi" w:cstheme="minorHAnsi"/>
        </w:rPr>
        <w:t>this relationship</w:t>
      </w:r>
      <w:r w:rsidRPr="00660A1E">
        <w:rPr>
          <w:rFonts w:asciiTheme="minorHAnsi" w:hAnsiTheme="minorHAnsi" w:cstheme="minorHAnsi"/>
        </w:rPr>
        <w:t xml:space="preserve"> and the context in which it occurs. Findings: Thewomeninthisstudywereveryactivehelpseekers.Theyencountered many gaps in continuity of care including discharge because ofrelapse.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donotalwaysrecognizetheircallsforhelportheirsymptomsofdistress. Recommendations are made for treatment centers to become trauma- informed that would help thisrecognition.</w:t>
      </w:r>
    </w:p>
    <w:p w:rsidR="00AE3E37" w:rsidRPr="00660A1E" w:rsidRDefault="00A9710C">
      <w:pPr>
        <w:pStyle w:val="Heading3"/>
        <w:spacing w:before="74"/>
        <w:rPr>
          <w:rFonts w:asciiTheme="minorHAnsi" w:hAnsiTheme="minorHAnsi" w:cstheme="minorHAnsi"/>
          <w:sz w:val="18"/>
          <w:szCs w:val="18"/>
        </w:rPr>
      </w:pPr>
      <w:r w:rsidRPr="00660A1E">
        <w:rPr>
          <w:rFonts w:asciiTheme="minorHAnsi" w:hAnsiTheme="minorHAnsi" w:cstheme="minorHAnsi"/>
          <w:b w:val="0"/>
          <w:sz w:val="18"/>
          <w:szCs w:val="18"/>
        </w:rPr>
        <w:br w:type="column"/>
      </w:r>
      <w:r w:rsidRPr="00660A1E">
        <w:rPr>
          <w:rFonts w:asciiTheme="minorHAnsi" w:hAnsiTheme="minorHAnsi" w:cstheme="minorHAnsi"/>
          <w:color w:val="BF5A14"/>
          <w:sz w:val="22"/>
          <w:szCs w:val="22"/>
        </w:rPr>
        <w:lastRenderedPageBreak/>
        <w:t>Image</w:t>
      </w:r>
    </w:p>
    <w:p w:rsidR="00AE3E37" w:rsidRPr="00660A1E" w:rsidRDefault="00A9710C">
      <w:pPr>
        <w:pStyle w:val="BodyText"/>
        <w:spacing w:before="2"/>
        <w:rPr>
          <w:rFonts w:asciiTheme="minorHAnsi" w:hAnsiTheme="minorHAnsi" w:cstheme="minorHAnsi"/>
          <w:b/>
        </w:rPr>
      </w:pPr>
      <w:r w:rsidRPr="00660A1E">
        <w:rPr>
          <w:rFonts w:asciiTheme="minorHAnsi" w:hAnsiTheme="minorHAnsi" w:cstheme="minorHAnsi"/>
          <w:noProof/>
        </w:rPr>
        <w:drawing>
          <wp:anchor distT="0" distB="0" distL="0" distR="0" simplePos="0" relativeHeight="251658752"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3235655" cy="1609725"/>
                    </a:xfrm>
                    <a:prstGeom prst="rect">
                      <a:avLst/>
                    </a:prstGeom>
                  </pic:spPr>
                </pic:pic>
              </a:graphicData>
            </a:graphic>
          </wp:anchor>
        </w:drawing>
      </w:r>
    </w:p>
    <w:p w:rsidR="005973B9" w:rsidRPr="00660A1E" w:rsidRDefault="005973B9" w:rsidP="005973B9">
      <w:pPr>
        <w:spacing w:line="204" w:lineRule="exact"/>
        <w:rPr>
          <w:rFonts w:asciiTheme="minorHAnsi" w:hAnsiTheme="minorHAnsi" w:cstheme="minorHAnsi"/>
          <w:b/>
          <w:sz w:val="18"/>
          <w:szCs w:val="18"/>
        </w:rPr>
      </w:pPr>
      <w:r w:rsidRPr="00660A1E">
        <w:rPr>
          <w:rFonts w:asciiTheme="minorHAnsi" w:hAnsiTheme="minorHAnsi" w:cstheme="minorHAnsi"/>
          <w:b/>
          <w:color w:val="BF5A14"/>
          <w:sz w:val="18"/>
          <w:szCs w:val="18"/>
        </w:rPr>
        <w:br/>
      </w:r>
      <w:r w:rsidRPr="00660A1E">
        <w:rPr>
          <w:rFonts w:asciiTheme="minorHAnsi" w:hAnsiTheme="minorHAnsi" w:cstheme="minorHAnsi"/>
          <w:b/>
          <w:color w:val="BF5A14"/>
        </w:rPr>
        <w:t>Recent Publications (minimum 5)</w:t>
      </w:r>
    </w:p>
    <w:p w:rsidR="005973B9" w:rsidRPr="00660A1E" w:rsidRDefault="005973B9" w:rsidP="005973B9">
      <w:pPr>
        <w:pStyle w:val="ListParagraph"/>
        <w:numPr>
          <w:ilvl w:val="0"/>
          <w:numId w:val="3"/>
        </w:numPr>
        <w:tabs>
          <w:tab w:val="left" w:pos="384"/>
        </w:tabs>
        <w:spacing w:before="103" w:line="216" w:lineRule="exact"/>
        <w:ind w:right="138" w:hanging="283"/>
        <w:rPr>
          <w:rFonts w:asciiTheme="minorHAnsi" w:hAnsiTheme="minorHAnsi" w:cstheme="minorHAnsi"/>
          <w:sz w:val="18"/>
          <w:szCs w:val="18"/>
        </w:rPr>
      </w:pPr>
      <w:r w:rsidRPr="00660A1E">
        <w:rPr>
          <w:rFonts w:asciiTheme="minorHAnsi" w:hAnsiTheme="minorHAnsi" w:cstheme="minorHAnsi"/>
          <w:sz w:val="18"/>
          <w:szCs w:val="18"/>
        </w:rPr>
        <w:t>Harper C (2009) The neuropathology of alcohol-related braindamage. Alcohol Alcohol 44:136-140.</w:t>
      </w:r>
    </w:p>
    <w:p w:rsidR="005973B9" w:rsidRPr="00660A1E" w:rsidRDefault="005973B9" w:rsidP="005973B9">
      <w:pPr>
        <w:pStyle w:val="ListParagraph"/>
        <w:numPr>
          <w:ilvl w:val="0"/>
          <w:numId w:val="3"/>
        </w:numPr>
        <w:tabs>
          <w:tab w:val="left" w:pos="384"/>
        </w:tabs>
        <w:spacing w:line="216" w:lineRule="exact"/>
        <w:ind w:right="137" w:hanging="283"/>
        <w:rPr>
          <w:rFonts w:asciiTheme="minorHAnsi" w:hAnsiTheme="minorHAnsi" w:cstheme="minorHAnsi"/>
          <w:sz w:val="18"/>
          <w:szCs w:val="18"/>
        </w:rPr>
      </w:pPr>
      <w:r w:rsidRPr="00660A1E">
        <w:rPr>
          <w:rFonts w:asciiTheme="minorHAnsi" w:hAnsiTheme="minorHAnsi" w:cstheme="minorHAnsi"/>
          <w:sz w:val="18"/>
          <w:szCs w:val="18"/>
        </w:rPr>
        <w:t xml:space="preserve">Heilig M, Egli M (2006) Pharmacological treatment of alcohol dependence: </w:t>
      </w:r>
      <w:r w:rsidRPr="00660A1E">
        <w:rPr>
          <w:rFonts w:asciiTheme="minorHAnsi" w:hAnsiTheme="minorHAnsi" w:cstheme="minorHAnsi"/>
          <w:spacing w:val="-4"/>
          <w:sz w:val="18"/>
          <w:szCs w:val="18"/>
        </w:rPr>
        <w:t xml:space="preserve">Target </w:t>
      </w:r>
      <w:r w:rsidRPr="00660A1E">
        <w:rPr>
          <w:rFonts w:asciiTheme="minorHAnsi" w:hAnsiTheme="minorHAnsi" w:cstheme="minorHAnsi"/>
          <w:sz w:val="18"/>
          <w:szCs w:val="18"/>
        </w:rPr>
        <w:t>symptoms and target mechanisms. Pharmacology and therapeutics 111:855-876.</w:t>
      </w:r>
    </w:p>
    <w:p w:rsidR="005973B9" w:rsidRPr="00660A1E" w:rsidRDefault="005973B9" w:rsidP="005973B9">
      <w:pPr>
        <w:pStyle w:val="ListParagraph"/>
        <w:numPr>
          <w:ilvl w:val="0"/>
          <w:numId w:val="3"/>
        </w:numPr>
        <w:tabs>
          <w:tab w:val="left" w:pos="384"/>
        </w:tabs>
        <w:spacing w:line="216" w:lineRule="exact"/>
        <w:ind w:right="138" w:hanging="283"/>
        <w:rPr>
          <w:rFonts w:asciiTheme="minorHAnsi" w:hAnsiTheme="minorHAnsi" w:cstheme="minorHAnsi"/>
          <w:sz w:val="18"/>
          <w:szCs w:val="18"/>
        </w:rPr>
      </w:pPr>
      <w:r w:rsidRPr="00660A1E">
        <w:rPr>
          <w:rFonts w:asciiTheme="minorHAnsi" w:hAnsiTheme="minorHAnsi" w:cstheme="minorHAnsi"/>
          <w:sz w:val="18"/>
          <w:szCs w:val="18"/>
        </w:rPr>
        <w:t>LiX, SchwachaMG, ChaudryIH, ChoudhryMA (2008)Acutealcohol intoxication potentiates neutrophil-mediated intestinal tissue damage after burn injury. Shock 29:377.</w:t>
      </w:r>
    </w:p>
    <w:p w:rsidR="005973B9" w:rsidRPr="00660A1E" w:rsidRDefault="005973B9" w:rsidP="005973B9">
      <w:pPr>
        <w:pStyle w:val="ListParagraph"/>
        <w:numPr>
          <w:ilvl w:val="0"/>
          <w:numId w:val="3"/>
        </w:numPr>
        <w:tabs>
          <w:tab w:val="left" w:pos="384"/>
        </w:tabs>
        <w:spacing w:before="92" w:line="218" w:lineRule="exact"/>
        <w:ind w:hanging="283"/>
        <w:rPr>
          <w:rFonts w:asciiTheme="minorHAnsi" w:hAnsiTheme="minorHAnsi" w:cstheme="minorHAnsi"/>
          <w:sz w:val="18"/>
          <w:szCs w:val="18"/>
        </w:rPr>
      </w:pPr>
      <w:r w:rsidRPr="00660A1E">
        <w:rPr>
          <w:rFonts w:asciiTheme="minorHAnsi" w:hAnsiTheme="minorHAnsi" w:cstheme="minorHAnsi"/>
          <w:sz w:val="18"/>
          <w:szCs w:val="18"/>
        </w:rPr>
        <w:t>Room R, Babor</w:t>
      </w:r>
      <w:r w:rsidRPr="00660A1E">
        <w:rPr>
          <w:rFonts w:asciiTheme="minorHAnsi" w:hAnsiTheme="minorHAnsi" w:cstheme="minorHAnsi"/>
          <w:spacing w:val="-10"/>
          <w:sz w:val="18"/>
          <w:szCs w:val="18"/>
        </w:rPr>
        <w:t xml:space="preserve">T, </w:t>
      </w:r>
      <w:r w:rsidRPr="00660A1E">
        <w:rPr>
          <w:rFonts w:asciiTheme="minorHAnsi" w:hAnsiTheme="minorHAnsi" w:cstheme="minorHAnsi"/>
          <w:sz w:val="18"/>
          <w:szCs w:val="18"/>
        </w:rPr>
        <w:t>Rehm J (2005) Alcohol and public health. Lancet</w:t>
      </w:r>
    </w:p>
    <w:p w:rsidR="005973B9" w:rsidRPr="00660A1E" w:rsidRDefault="005973B9" w:rsidP="005973B9">
      <w:pPr>
        <w:pStyle w:val="BodyText"/>
        <w:spacing w:line="218" w:lineRule="exact"/>
        <w:ind w:left="383"/>
        <w:rPr>
          <w:rFonts w:asciiTheme="minorHAnsi" w:hAnsiTheme="minorHAnsi" w:cstheme="minorHAnsi"/>
        </w:rPr>
      </w:pPr>
      <w:r w:rsidRPr="00660A1E">
        <w:rPr>
          <w:rFonts w:asciiTheme="minorHAnsi" w:hAnsiTheme="minorHAnsi" w:cstheme="minorHAnsi"/>
        </w:rPr>
        <w:t>365: 519-530.</w:t>
      </w:r>
    </w:p>
    <w:p w:rsidR="005973B9" w:rsidRPr="00660A1E" w:rsidRDefault="005973B9" w:rsidP="005973B9">
      <w:pPr>
        <w:pStyle w:val="BodyText"/>
        <w:spacing w:before="85" w:line="216" w:lineRule="exact"/>
        <w:ind w:left="383" w:right="138" w:hanging="284"/>
        <w:jc w:val="both"/>
        <w:rPr>
          <w:rFonts w:asciiTheme="minorHAnsi" w:hAnsiTheme="minorHAnsi" w:cstheme="minorHAnsi"/>
        </w:rPr>
      </w:pPr>
      <w:r w:rsidRPr="00660A1E">
        <w:rPr>
          <w:rFonts w:asciiTheme="minorHAnsi" w:hAnsiTheme="minorHAnsi" w:cstheme="minorHAnsi"/>
        </w:rPr>
        <w:t xml:space="preserve">5. Sullivan </w:t>
      </w:r>
      <w:r w:rsidRPr="00660A1E">
        <w:rPr>
          <w:rFonts w:asciiTheme="minorHAnsi" w:hAnsiTheme="minorHAnsi" w:cstheme="minorHAnsi"/>
          <w:spacing w:val="-5"/>
        </w:rPr>
        <w:t xml:space="preserve">EV, </w:t>
      </w:r>
      <w:r w:rsidRPr="00660A1E">
        <w:rPr>
          <w:rFonts w:asciiTheme="minorHAnsi" w:hAnsiTheme="minorHAnsi" w:cstheme="minorHAnsi"/>
        </w:rPr>
        <w:t xml:space="preserve">Zahr NM (2008) Neuroinflammation as a neurotoxic mechanism in  alcoholism:  Commentary  on  “Increased  MCP-    1 and microglia in various regions of human alcoholic </w:t>
      </w:r>
      <w:r w:rsidRPr="00660A1E">
        <w:rPr>
          <w:rFonts w:asciiTheme="minorHAnsi" w:hAnsiTheme="minorHAnsi" w:cstheme="minorHAnsi"/>
          <w:spacing w:val="-4"/>
        </w:rPr>
        <w:t xml:space="preserve">brain”. </w:t>
      </w:r>
      <w:r w:rsidRPr="00660A1E">
        <w:rPr>
          <w:rFonts w:asciiTheme="minorHAnsi" w:hAnsiTheme="minorHAnsi" w:cstheme="minorHAnsi"/>
        </w:rPr>
        <w:t>Experimental neurology 213:10-17.</w:t>
      </w:r>
    </w:p>
    <w:p w:rsidR="00AE3E37" w:rsidRPr="00660A1E" w:rsidRDefault="00AE3E37" w:rsidP="008756E6">
      <w:pPr>
        <w:tabs>
          <w:tab w:val="left" w:pos="384"/>
        </w:tabs>
        <w:ind w:right="117"/>
        <w:rPr>
          <w:rFonts w:asciiTheme="minorHAnsi" w:hAnsiTheme="minorHAnsi" w:cstheme="minorHAnsi"/>
          <w:sz w:val="18"/>
          <w:szCs w:val="18"/>
        </w:rPr>
      </w:pPr>
    </w:p>
    <w:p w:rsidR="00AE3E37" w:rsidRPr="00660A1E" w:rsidRDefault="00AE3E37">
      <w:pPr>
        <w:spacing w:line="200" w:lineRule="exact"/>
        <w:jc w:val="both"/>
        <w:rPr>
          <w:rFonts w:asciiTheme="minorHAnsi" w:hAnsiTheme="minorHAnsi" w:cstheme="minorHAnsi"/>
          <w:sz w:val="18"/>
          <w:szCs w:val="18"/>
        </w:rPr>
        <w:sectPr w:rsidR="00AE3E37" w:rsidRPr="00660A1E">
          <w:type w:val="continuous"/>
          <w:pgSz w:w="11910" w:h="16840"/>
          <w:pgMar w:top="1740" w:right="600" w:bottom="840" w:left="620" w:header="720" w:footer="720" w:gutter="0"/>
          <w:cols w:num="2" w:space="720" w:equalWidth="0">
            <w:col w:w="5214" w:space="138"/>
            <w:col w:w="5338"/>
          </w:cols>
        </w:sectPr>
      </w:pPr>
    </w:p>
    <w:p w:rsidR="00AE3E37" w:rsidRPr="00660A1E" w:rsidRDefault="00AE3E37">
      <w:pPr>
        <w:pStyle w:val="BodyText"/>
        <w:rPr>
          <w:rFonts w:asciiTheme="minorHAnsi" w:hAnsiTheme="minorHAnsi" w:cstheme="minorHAnsi"/>
          <w:b/>
        </w:rPr>
      </w:pPr>
    </w:p>
    <w:p w:rsidR="00AE3E37" w:rsidRPr="00660A1E" w:rsidRDefault="00D32FA8" w:rsidP="00660A1E">
      <w:pPr>
        <w:pStyle w:val="BodyText"/>
        <w:spacing w:line="40" w:lineRule="exact"/>
        <w:ind w:left="2202"/>
        <w:jc w:val="both"/>
        <w:rPr>
          <w:rFonts w:asciiTheme="minorHAnsi" w:hAnsiTheme="minorHAnsi" w:cstheme="minorHAnsi"/>
        </w:rPr>
      </w:pPr>
      <w:r w:rsidRPr="00D32FA8">
        <w:rPr>
          <w:rFonts w:asciiTheme="minorHAnsi" w:hAnsiTheme="minorHAnsi" w:cstheme="minorHAnsi"/>
          <w:noProof/>
          <w:lang w:val="en-IN" w:eastAsia="en-IN"/>
        </w:rPr>
      </w:r>
      <w:r w:rsidRPr="00D32FA8">
        <w:rPr>
          <w:rFonts w:asciiTheme="minorHAnsi" w:hAnsiTheme="minorHAnsi" w:cstheme="minorHAnsi"/>
          <w:noProof/>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wrap type="none"/>
            <w10:anchorlock/>
          </v:group>
        </w:pict>
      </w:r>
    </w:p>
    <w:p w:rsidR="00AE3E37" w:rsidRDefault="00660A1E" w:rsidP="00660A1E">
      <w:pPr>
        <w:spacing w:before="92"/>
        <w:ind w:right="4234"/>
        <w:jc w:val="both"/>
        <w:rPr>
          <w:rFonts w:asciiTheme="minorHAnsi" w:hAnsiTheme="minorHAnsi" w:cstheme="minorHAnsi"/>
          <w:b/>
          <w:bCs/>
          <w:noProof/>
          <w:sz w:val="18"/>
          <w:szCs w:val="18"/>
        </w:rPr>
      </w:pPr>
      <w:r w:rsidRPr="00660A1E">
        <w:rPr>
          <w:rFonts w:asciiTheme="minorHAnsi" w:hAnsiTheme="minorHAnsi" w:cstheme="minorHAnsi"/>
          <w:b/>
          <w:bCs/>
          <w:noProof/>
        </w:rPr>
        <w:t>Biography:</w:t>
      </w:r>
    </w:p>
    <w:p w:rsidR="00660A1E" w:rsidRPr="00660A1E" w:rsidRDefault="00660A1E" w:rsidP="00660A1E">
      <w:pPr>
        <w:spacing w:before="92"/>
        <w:ind w:right="4234"/>
        <w:jc w:val="both"/>
        <w:rPr>
          <w:rFonts w:asciiTheme="minorHAnsi" w:hAnsiTheme="minorHAnsi" w:cstheme="minorHAnsi"/>
          <w:b/>
          <w:bCs/>
          <w:sz w:val="18"/>
          <w:szCs w:val="18"/>
        </w:rPr>
      </w:pPr>
    </w:p>
    <w:p w:rsidR="00AE3E37" w:rsidRDefault="00A9710C" w:rsidP="00660A1E">
      <w:pPr>
        <w:spacing w:before="41" w:line="154" w:lineRule="exact"/>
        <w:ind w:left="213" w:right="200"/>
        <w:jc w:val="both"/>
        <w:rPr>
          <w:rFonts w:asciiTheme="minorHAnsi" w:hAnsiTheme="minorHAnsi" w:cstheme="minorHAnsi"/>
          <w:noProof/>
          <w:sz w:val="18"/>
          <w:szCs w:val="18"/>
          <w:lang w:val="en-IN" w:eastAsia="en-IN"/>
        </w:rPr>
      </w:pPr>
      <w:r w:rsidRPr="00660A1E">
        <w:rPr>
          <w:rFonts w:asciiTheme="minorHAnsi" w:hAnsiTheme="minorHAnsi" w:cstheme="minorHAnsi"/>
          <w:sz w:val="18"/>
          <w:szCs w:val="18"/>
        </w:rPr>
        <w:t>D</w:t>
      </w:r>
      <w:r w:rsidR="0078738A" w:rsidRPr="00660A1E">
        <w:rPr>
          <w:rFonts w:asciiTheme="minorHAnsi" w:hAnsiTheme="minorHAnsi" w:cstheme="minorHAnsi"/>
          <w:sz w:val="18"/>
          <w:szCs w:val="18"/>
        </w:rPr>
        <w:t xml:space="preserve">r </w:t>
      </w:r>
      <w:r w:rsidRPr="00660A1E">
        <w:rPr>
          <w:rFonts w:asciiTheme="minorHAnsi" w:hAnsiTheme="minorHAnsi" w:cstheme="minorHAnsi"/>
          <w:sz w:val="18"/>
          <w:szCs w:val="18"/>
        </w:rPr>
        <w:t>has her expertise in evaluation and passion in improving the health and wellbeing. Her open and contextual evaluation model based on responsive constructivistscreatesnewpathwaysforimprovinghealthcare.Shehasbuiltthismodelafteryearsofexperienceinresearch,evaluation,teachingandadministration 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offocusing.</w:t>
      </w:r>
    </w:p>
    <w:p w:rsidR="00660A1E" w:rsidRPr="00660A1E" w:rsidRDefault="00660A1E" w:rsidP="00660A1E">
      <w:pPr>
        <w:spacing w:before="41" w:line="154" w:lineRule="exact"/>
        <w:ind w:left="213" w:right="200"/>
        <w:jc w:val="both"/>
        <w:rPr>
          <w:rFonts w:asciiTheme="minorHAnsi" w:hAnsiTheme="minorHAnsi" w:cstheme="minorHAnsi"/>
          <w:sz w:val="18"/>
          <w:szCs w:val="18"/>
        </w:rPr>
      </w:pPr>
      <w:bookmarkStart w:id="0" w:name="_GoBack"/>
      <w:bookmarkEnd w:id="0"/>
    </w:p>
    <w:p w:rsidR="00660A1E" w:rsidRDefault="00660A1E" w:rsidP="00660A1E">
      <w:pPr>
        <w:spacing w:before="62"/>
        <w:ind w:left="9356" w:right="200"/>
        <w:jc w:val="both"/>
        <w:rPr>
          <w:rFonts w:asciiTheme="minorHAnsi" w:hAnsiTheme="minorHAnsi" w:cstheme="minorHAnsi"/>
          <w:sz w:val="18"/>
          <w:szCs w:val="18"/>
        </w:rPr>
      </w:pPr>
      <w:r w:rsidRPr="00660A1E">
        <w:rPr>
          <w:rFonts w:asciiTheme="minorHAnsi" w:hAnsiTheme="minorHAnsi" w:cstheme="minorHAnsi"/>
          <w:noProof/>
          <w:sz w:val="18"/>
          <w:szCs w:val="18"/>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30069" cy="625069"/>
                    </a:xfrm>
                    <a:prstGeom prst="rect">
                      <a:avLst/>
                    </a:prstGeom>
                    <a:noFill/>
                    <a:ln>
                      <a:noFill/>
                    </a:ln>
                  </pic:spPr>
                </pic:pic>
              </a:graphicData>
            </a:graphic>
          </wp:inline>
        </w:drawing>
      </w:r>
    </w:p>
    <w:p w:rsidR="00660A1E" w:rsidRDefault="00660A1E" w:rsidP="00660A1E">
      <w:pPr>
        <w:spacing w:before="62"/>
        <w:ind w:left="8080" w:right="200"/>
        <w:rPr>
          <w:rFonts w:asciiTheme="minorHAnsi" w:hAnsiTheme="minorHAnsi" w:cstheme="minorHAnsi"/>
          <w:sz w:val="18"/>
          <w:szCs w:val="18"/>
        </w:rPr>
      </w:pPr>
    </w:p>
    <w:p w:rsidR="00AE3E37" w:rsidRPr="007E14E2" w:rsidRDefault="00A9710C" w:rsidP="007E14E2">
      <w:pPr>
        <w:spacing w:before="62"/>
        <w:ind w:left="8080" w:right="200"/>
        <w:rPr>
          <w:rFonts w:asciiTheme="minorHAnsi" w:hAnsiTheme="minorHAnsi" w:cstheme="minorHAnsi"/>
          <w:sz w:val="18"/>
          <w:szCs w:val="18"/>
        </w:rPr>
        <w:sectPr w:rsidR="00AE3E37" w:rsidRPr="007E14E2">
          <w:type w:val="continuous"/>
          <w:pgSz w:w="11910" w:h="16840"/>
          <w:pgMar w:top="1740" w:right="600" w:bottom="840" w:left="620" w:header="720" w:footer="720" w:gutter="0"/>
          <w:cols w:space="720"/>
        </w:sectPr>
      </w:pPr>
      <w:r w:rsidRPr="00660A1E">
        <w:rPr>
          <w:rFonts w:asciiTheme="minorHAnsi" w:hAnsiTheme="minorHAnsi" w:cstheme="minorHAnsi"/>
          <w:sz w:val="18"/>
          <w:szCs w:val="18"/>
        </w:rPr>
        <w:lastRenderedPageBreak/>
        <w:t>Email:</w:t>
      </w:r>
      <w:r w:rsidR="007E14E2">
        <w:rPr>
          <w:rFonts w:asciiTheme="minorHAnsi" w:hAnsiTheme="minorHAnsi" w:cstheme="minorHAnsi"/>
          <w:sz w:val="18"/>
          <w:szCs w:val="18"/>
        </w:rPr>
        <w:t>fnfmunna@gmail.com</w:t>
      </w:r>
    </w:p>
    <w:p w:rsidR="00AE3E37" w:rsidRDefault="00D32FA8" w:rsidP="00660A1E">
      <w:pPr>
        <w:pStyle w:val="BodyText"/>
        <w:spacing w:before="3"/>
        <w:rPr>
          <w:rFonts w:asciiTheme="minorHAnsi" w:hAnsiTheme="minorHAnsi" w:cstheme="minorHAnsi"/>
        </w:rPr>
      </w:pPr>
      <w:r w:rsidRPr="00D32FA8">
        <w:rPr>
          <w:rFonts w:ascii="Times New Roman" w:hAnsi="Times New Roman" w:cs="Times New Roman"/>
          <w:noProof/>
          <w:color w:val="222222"/>
          <w:sz w:val="20"/>
          <w:szCs w:val="20"/>
        </w:rPr>
        <w:pict>
          <v:line id="Line 3" o:spid="_x0000_s1030" style="position:absolute;z-index:251659776;visibility:visible;mso-wrap-distance-left:0;mso-wrap-distance-right:0;mso-position-horizontal-relative:page" from="162.1pt,10.5pt" to="433.1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7E14E2" w:rsidRPr="0051381E" w:rsidRDefault="007E14E2" w:rsidP="007E14E2">
      <w:pPr>
        <w:spacing w:line="360" w:lineRule="auto"/>
        <w:jc w:val="center"/>
        <w:rPr>
          <w:rFonts w:ascii="Times New Roman" w:hAnsi="Times New Roman"/>
          <w:b/>
          <w:sz w:val="28"/>
          <w:szCs w:val="28"/>
        </w:rPr>
      </w:pPr>
      <w:r w:rsidRPr="0051381E">
        <w:rPr>
          <w:rFonts w:ascii="Times New Roman" w:hAnsi="Times New Roman"/>
          <w:b/>
          <w:sz w:val="28"/>
          <w:szCs w:val="28"/>
        </w:rPr>
        <w:t>Effectiveness of Task Oriented Physiotherapy along with Conventional Physiotherapy for Patients with Stroke</w:t>
      </w:r>
    </w:p>
    <w:p w:rsidR="00D73F6D" w:rsidRPr="00D73F6D" w:rsidRDefault="007E14E2" w:rsidP="00122327">
      <w:pPr>
        <w:contextualSpacing/>
        <w:rPr>
          <w:rFonts w:ascii="Times New Roman" w:eastAsia="Times New Roman" w:hAnsi="Times New Roman" w:cs="Times New Roman"/>
        </w:rPr>
      </w:pPr>
      <w:r w:rsidRPr="00D73F6D">
        <w:rPr>
          <w:rFonts w:ascii="Times New Roman" w:hAnsi="Times New Roman" w:cs="Times New Roman"/>
        </w:rPr>
        <w:t xml:space="preserve">Shahinoor Bente Khan, </w:t>
      </w:r>
      <w:r w:rsidR="00D73F6D" w:rsidRPr="00D73F6D">
        <w:rPr>
          <w:rFonts w:ascii="Times New Roman" w:eastAsia="Times New Roman" w:hAnsi="Times New Roman" w:cs="Times New Roman"/>
        </w:rPr>
        <w:t xml:space="preserve">MSc in Physiotherapy, </w:t>
      </w:r>
    </w:p>
    <w:p w:rsidR="007D4B9C" w:rsidRDefault="00D73F6D" w:rsidP="00122327">
      <w:pPr>
        <w:contextualSpacing/>
        <w:rPr>
          <w:rFonts w:ascii="Times New Roman" w:hAnsi="Times New Roman" w:cs="Times New Roman"/>
        </w:rPr>
      </w:pPr>
      <w:r w:rsidRPr="00D73F6D">
        <w:rPr>
          <w:rFonts w:ascii="Times New Roman" w:hAnsi="Times New Roman" w:cs="Times New Roman"/>
        </w:rPr>
        <w:t xml:space="preserve">Faculty of Medicine, </w:t>
      </w:r>
      <w:r w:rsidR="007D4B9C">
        <w:rPr>
          <w:rFonts w:ascii="Times New Roman" w:hAnsi="Times New Roman" w:cs="Times New Roman"/>
        </w:rPr>
        <w:t xml:space="preserve">Dhaka University, </w:t>
      </w:r>
    </w:p>
    <w:p w:rsidR="00122327" w:rsidRDefault="00D73F6D" w:rsidP="00122327">
      <w:pPr>
        <w:spacing w:line="300" w:lineRule="atLeast"/>
        <w:rPr>
          <w:rStyle w:val="BodyText"/>
          <w:rFonts w:ascii="Arial" w:hAnsi="Arial" w:cs="Arial"/>
          <w:color w:val="2F5BA6"/>
          <w:sz w:val="20"/>
          <w:szCs w:val="20"/>
        </w:rPr>
      </w:pPr>
      <w:r w:rsidRPr="00D73F6D">
        <w:rPr>
          <w:rFonts w:ascii="Times New Roman" w:hAnsi="Times New Roman" w:cs="Times New Roman"/>
        </w:rPr>
        <w:t xml:space="preserve">Clinical Physiotherapist, Neurology Unit, </w:t>
      </w:r>
      <w:r w:rsidR="007D4B9C">
        <w:rPr>
          <w:rFonts w:ascii="Times New Roman" w:hAnsi="Times New Roman" w:cs="Times New Roman"/>
        </w:rPr>
        <w:t>Dept  of Physiotherapy</w:t>
      </w:r>
      <w:r w:rsidRPr="00D73F6D">
        <w:rPr>
          <w:rFonts w:ascii="Times New Roman" w:hAnsi="Times New Roman" w:cs="Times New Roman"/>
        </w:rPr>
        <w:t>, Centre for the Rehabilitation  of the paralysed, CRP, Savar. Dhaka, Bangladesh.</w:t>
      </w:r>
      <w:r w:rsidR="00122327" w:rsidRPr="00122327">
        <w:rPr>
          <w:rStyle w:val="BodyText"/>
          <w:rFonts w:ascii="Arial" w:hAnsi="Arial" w:cs="Arial"/>
          <w:color w:val="2F5BA6"/>
          <w:sz w:val="20"/>
          <w:szCs w:val="20"/>
        </w:rPr>
        <w:t xml:space="preserve"> </w:t>
      </w:r>
    </w:p>
    <w:p w:rsidR="00122327" w:rsidRPr="00122327" w:rsidRDefault="00122327" w:rsidP="00122327">
      <w:pPr>
        <w:spacing w:line="300" w:lineRule="atLeast"/>
        <w:rPr>
          <w:rFonts w:ascii="Times New Roman" w:eastAsia="Times New Roman" w:hAnsi="Times New Roman" w:cs="Times New Roman"/>
          <w:sz w:val="20"/>
          <w:szCs w:val="20"/>
        </w:rPr>
      </w:pPr>
      <w:r w:rsidRPr="00122327">
        <w:rPr>
          <w:rStyle w:val="autconin"/>
          <w:rFonts w:ascii="Times New Roman" w:hAnsi="Times New Roman" w:cs="Times New Roman"/>
          <w:sz w:val="20"/>
          <w:szCs w:val="20"/>
        </w:rPr>
        <w:t>Mohammad Habibur Rahman</w:t>
      </w:r>
      <w:r w:rsidRPr="00122327">
        <w:rPr>
          <w:rFonts w:ascii="Times New Roman" w:hAnsi="Times New Roman" w:cs="Times New Roman"/>
          <w:sz w:val="20"/>
          <w:szCs w:val="20"/>
        </w:rPr>
        <w:t xml:space="preserve">, School of Science and Technology, Bangladesh Open University, Gazipur, Bangladesh. </w:t>
      </w:r>
      <w:r w:rsidRPr="00122327">
        <w:rPr>
          <w:rFonts w:ascii="Times New Roman" w:eastAsia="Times New Roman" w:hAnsi="Times New Roman" w:cs="Times New Roman"/>
          <w:sz w:val="20"/>
        </w:rPr>
        <w:t>Md Obaidul Haque</w:t>
      </w:r>
      <w:r w:rsidRPr="00122327">
        <w:rPr>
          <w:rFonts w:ascii="Times New Roman" w:eastAsia="Times New Roman" w:hAnsi="Times New Roman" w:cs="Times New Roman"/>
          <w:sz w:val="20"/>
          <w:szCs w:val="20"/>
        </w:rPr>
        <w:t>, Bangladesh Health Professions Institute (BHPI), CRP, Savar, Dhaka, Bangladesh</w:t>
      </w:r>
    </w:p>
    <w:p w:rsidR="00122327" w:rsidRPr="00122327" w:rsidRDefault="00122327" w:rsidP="00122327">
      <w:pPr>
        <w:widowControl/>
        <w:spacing w:line="300" w:lineRule="atLeast"/>
        <w:rPr>
          <w:rFonts w:ascii="Times New Roman" w:eastAsia="Times New Roman" w:hAnsi="Times New Roman" w:cs="Times New Roman"/>
          <w:sz w:val="20"/>
          <w:szCs w:val="20"/>
        </w:rPr>
      </w:pPr>
      <w:r w:rsidRPr="00122327">
        <w:rPr>
          <w:rFonts w:ascii="Times New Roman" w:eastAsia="Times New Roman" w:hAnsi="Times New Roman" w:cs="Times New Roman"/>
          <w:sz w:val="20"/>
        </w:rPr>
        <w:t>Ehsanur Rahman</w:t>
      </w:r>
      <w:r w:rsidRPr="00122327">
        <w:rPr>
          <w:rFonts w:ascii="Times New Roman" w:eastAsia="Times New Roman" w:hAnsi="Times New Roman" w:cs="Times New Roman"/>
          <w:sz w:val="20"/>
          <w:szCs w:val="20"/>
        </w:rPr>
        <w:t>, Departmentof Physiotherapy, Bangladesh Health Professions Institute (BHPI), CRP, Savar, Dhaka, Bangladesh</w:t>
      </w:r>
    </w:p>
    <w:p w:rsidR="00D73F6D" w:rsidRPr="00122327" w:rsidRDefault="00D73F6D" w:rsidP="00D73F6D">
      <w:pPr>
        <w:ind w:left="360"/>
        <w:contextualSpacing/>
        <w:rPr>
          <w:rFonts w:ascii="Times New Roman" w:hAnsi="Times New Roman" w:cs="Times New Roman"/>
        </w:rPr>
      </w:pPr>
    </w:p>
    <w:p w:rsidR="007E14E2" w:rsidRPr="00122327" w:rsidRDefault="007E14E2" w:rsidP="00660A1E">
      <w:pPr>
        <w:pStyle w:val="BodyText"/>
        <w:spacing w:before="3"/>
        <w:rPr>
          <w:rFonts w:ascii="Times New Roman" w:hAnsi="Times New Roman" w:cs="Times New Roman"/>
        </w:rPr>
      </w:pPr>
    </w:p>
    <w:p w:rsidR="00D44220" w:rsidRPr="00122327" w:rsidRDefault="00D44220" w:rsidP="007E14E2">
      <w:pPr>
        <w:pStyle w:val="Default"/>
        <w:jc w:val="center"/>
        <w:rPr>
          <w:b/>
          <w:bCs/>
          <w:color w:val="auto"/>
          <w:sz w:val="26"/>
          <w:szCs w:val="26"/>
        </w:rPr>
      </w:pPr>
    </w:p>
    <w:p w:rsidR="00122327" w:rsidRPr="00122327" w:rsidRDefault="00122327" w:rsidP="007E14E2">
      <w:pPr>
        <w:pStyle w:val="Default"/>
        <w:jc w:val="center"/>
        <w:rPr>
          <w:b/>
          <w:bCs/>
          <w:color w:val="auto"/>
          <w:sz w:val="26"/>
          <w:szCs w:val="26"/>
        </w:rPr>
      </w:pPr>
    </w:p>
    <w:p w:rsidR="00D44220" w:rsidRPr="00122327" w:rsidRDefault="00D44220" w:rsidP="007E14E2">
      <w:pPr>
        <w:pStyle w:val="Default"/>
        <w:jc w:val="center"/>
        <w:rPr>
          <w:b/>
          <w:bCs/>
          <w:color w:val="auto"/>
          <w:sz w:val="26"/>
          <w:szCs w:val="26"/>
        </w:rPr>
      </w:pPr>
    </w:p>
    <w:p w:rsidR="007E14E2" w:rsidRDefault="007E14E2" w:rsidP="007E14E2">
      <w:pPr>
        <w:pStyle w:val="Default"/>
        <w:jc w:val="center"/>
        <w:rPr>
          <w:sz w:val="26"/>
          <w:szCs w:val="26"/>
        </w:rPr>
      </w:pPr>
      <w:r>
        <w:rPr>
          <w:b/>
          <w:bCs/>
          <w:sz w:val="26"/>
          <w:szCs w:val="26"/>
        </w:rPr>
        <w:t xml:space="preserve">Abstract </w:t>
      </w:r>
    </w:p>
    <w:p w:rsidR="007E14E2" w:rsidRDefault="007E14E2" w:rsidP="007E14E2">
      <w:pPr>
        <w:spacing w:line="360" w:lineRule="auto"/>
        <w:jc w:val="center"/>
        <w:rPr>
          <w:rFonts w:ascii="Times New Roman" w:hAnsi="Times New Roman"/>
          <w:b/>
          <w:sz w:val="32"/>
          <w:szCs w:val="32"/>
        </w:rPr>
      </w:pPr>
    </w:p>
    <w:p w:rsidR="007E14E2" w:rsidRPr="009051F1" w:rsidRDefault="007E14E2" w:rsidP="007E14E2">
      <w:pPr>
        <w:pStyle w:val="Default"/>
        <w:spacing w:line="360" w:lineRule="auto"/>
        <w:jc w:val="both"/>
      </w:pPr>
      <w:r w:rsidRPr="009051F1">
        <w:rPr>
          <w:b/>
          <w:bCs/>
          <w:i/>
          <w:iCs/>
        </w:rPr>
        <w:t>Background</w:t>
      </w:r>
      <w:r w:rsidRPr="009051F1">
        <w:rPr>
          <w:b/>
          <w:bCs/>
        </w:rPr>
        <w:t>:</w:t>
      </w:r>
      <w:r>
        <w:rPr>
          <w:b/>
          <w:bCs/>
        </w:rPr>
        <w:t xml:space="preserve"> </w:t>
      </w:r>
      <w:r w:rsidRPr="00CD6788">
        <w:t>Stroke is the disorder where brain is damaged either by blockage in the blood vessels or rupture of</w:t>
      </w:r>
      <w:r>
        <w:t xml:space="preserve"> the blood vessels of the brain</w:t>
      </w:r>
      <w:r w:rsidRPr="009051F1">
        <w:t xml:space="preserve">. </w:t>
      </w:r>
      <w:r>
        <w:t>It is the approximately no five-leading cause of</w:t>
      </w:r>
      <w:r w:rsidRPr="00CD6788">
        <w:t xml:space="preserve"> death.  It is also the leading cause of long</w:t>
      </w:r>
      <w:r>
        <w:t xml:space="preserve">er period </w:t>
      </w:r>
      <w:r w:rsidRPr="00CD6788">
        <w:t>disability as well as preventable cause of disability as 80% of stroke is preventable.</w:t>
      </w:r>
      <w:r>
        <w:t xml:space="preserve"> </w:t>
      </w:r>
      <w:r w:rsidRPr="009051F1">
        <w:rPr>
          <w:b/>
          <w:bCs/>
          <w:i/>
          <w:iCs/>
        </w:rPr>
        <w:t>Objectives</w:t>
      </w:r>
      <w:r w:rsidRPr="009051F1">
        <w:rPr>
          <w:b/>
          <w:bCs/>
        </w:rPr>
        <w:t xml:space="preserve">: </w:t>
      </w:r>
      <w:r w:rsidRPr="009051F1">
        <w:t xml:space="preserve">To determine and compare </w:t>
      </w:r>
      <w:r>
        <w:t xml:space="preserve">balance, functional status a mobility improvement and </w:t>
      </w:r>
      <w:r w:rsidRPr="009051F1">
        <w:t>befo</w:t>
      </w:r>
      <w:r>
        <w:t>re and after application TOP along</w:t>
      </w:r>
      <w:r w:rsidRPr="009051F1">
        <w:t xml:space="preserve"> with </w:t>
      </w:r>
      <w:r>
        <w:t xml:space="preserve">CP </w:t>
      </w:r>
      <w:r w:rsidRPr="009051F1">
        <w:t>among patients with</w:t>
      </w:r>
      <w:r>
        <w:t xml:space="preserve"> Stroke</w:t>
      </w:r>
      <w:r w:rsidRPr="009051F1">
        <w:t xml:space="preserve">. </w:t>
      </w:r>
      <w:r w:rsidRPr="009051F1">
        <w:rPr>
          <w:b/>
          <w:bCs/>
          <w:i/>
          <w:iCs/>
        </w:rPr>
        <w:t>Methodology</w:t>
      </w:r>
      <w:r w:rsidRPr="009051F1">
        <w:rPr>
          <w:b/>
          <w:bCs/>
        </w:rPr>
        <w:t xml:space="preserve">: </w:t>
      </w:r>
      <w:r w:rsidRPr="009051F1">
        <w:t>Classic experimental study d</w:t>
      </w:r>
      <w:r>
        <w:t xml:space="preserve">esign was used in this study. 30 patients with Stroke </w:t>
      </w:r>
      <w:r w:rsidRPr="009051F1">
        <w:t xml:space="preserve">were randomly assigned into two groups from outdoor </w:t>
      </w:r>
      <w:r>
        <w:t xml:space="preserve">Neurology </w:t>
      </w:r>
      <w:r w:rsidRPr="009051F1">
        <w:t>unit, CRP. Among</w:t>
      </w:r>
      <w:r>
        <w:t xml:space="preserve"> them 15</w:t>
      </w:r>
      <w:r w:rsidRPr="009051F1">
        <w:t xml:space="preserve"> patients were assigned into control group received </w:t>
      </w:r>
      <w:r>
        <w:t xml:space="preserve">TOP </w:t>
      </w:r>
      <w:r w:rsidRPr="009051F1">
        <w:t xml:space="preserve">with </w:t>
      </w:r>
      <w:r>
        <w:t>CP and another 15</w:t>
      </w:r>
      <w:r w:rsidRPr="009051F1">
        <w:t xml:space="preserve"> into</w:t>
      </w:r>
      <w:r>
        <w:t xml:space="preserve"> experimental group received only CP</w:t>
      </w:r>
      <w:r w:rsidRPr="009051F1">
        <w:t>. T</w:t>
      </w:r>
      <w:r>
        <w:t>otal treatment sessions were twenty-four comprising of 3 sessions per week for 8</w:t>
      </w:r>
      <w:r w:rsidRPr="009051F1">
        <w:t xml:space="preserve"> weeks. Single blinding procedure was used during data collection. </w:t>
      </w:r>
      <w:r w:rsidRPr="009051F1">
        <w:rPr>
          <w:b/>
          <w:bCs/>
          <w:i/>
          <w:iCs/>
        </w:rPr>
        <w:t>Outcome measurement tools</w:t>
      </w:r>
      <w:r w:rsidRPr="009051F1">
        <w:rPr>
          <w:b/>
          <w:bCs/>
        </w:rPr>
        <w:t xml:space="preserve">: </w:t>
      </w:r>
      <w:r>
        <w:t xml:space="preserve">Berg Balance Scale (BBS) used to measure balance, Functional independence measurement Scale (FIM) used to measure functional status, and Timed Up and Go test (TUG) used to measure mobility. </w:t>
      </w:r>
      <w:r w:rsidRPr="009051F1">
        <w:rPr>
          <w:b/>
          <w:bCs/>
          <w:i/>
          <w:iCs/>
        </w:rPr>
        <w:t xml:space="preserve">Analysis of data: </w:t>
      </w:r>
      <w:r w:rsidRPr="009051F1">
        <w:t>Inferential statistics such as Mann-Whitney U test, unpaired t, Paired t and Wilcoxon tes</w:t>
      </w:r>
      <w:r>
        <w:t>t was done using SPSS version 22</w:t>
      </w:r>
      <w:r w:rsidRPr="009051F1">
        <w:t xml:space="preserve">. </w:t>
      </w:r>
      <w:r w:rsidRPr="009051F1">
        <w:rPr>
          <w:b/>
          <w:bCs/>
          <w:i/>
          <w:iCs/>
        </w:rPr>
        <w:t>Results</w:t>
      </w:r>
      <w:r w:rsidRPr="009051F1">
        <w:rPr>
          <w:b/>
          <w:bCs/>
        </w:rPr>
        <w:t xml:space="preserve">: </w:t>
      </w:r>
      <w:r w:rsidRPr="009051F1">
        <w:t xml:space="preserve">It was observed that </w:t>
      </w:r>
      <w:r>
        <w:t xml:space="preserve">balance improved </w:t>
      </w:r>
      <w:r w:rsidRPr="009051F1">
        <w:t xml:space="preserve">and </w:t>
      </w:r>
      <w:r>
        <w:t xml:space="preserve">functional status improved </w:t>
      </w:r>
      <w:r w:rsidRPr="009051F1">
        <w:t xml:space="preserve">and </w:t>
      </w:r>
      <w:r>
        <w:t xml:space="preserve">mobility </w:t>
      </w:r>
      <w:r w:rsidRPr="009051F1">
        <w:t xml:space="preserve">improved both between and within group results except </w:t>
      </w:r>
      <w:r>
        <w:t xml:space="preserve">some variables </w:t>
      </w:r>
      <w:r w:rsidRPr="009051F1">
        <w:t xml:space="preserve">(P&gt;.05). </w:t>
      </w:r>
      <w:r w:rsidRPr="009051F1">
        <w:rPr>
          <w:b/>
          <w:bCs/>
          <w:i/>
          <w:iCs/>
        </w:rPr>
        <w:t xml:space="preserve">Conclusion: </w:t>
      </w:r>
      <w:r w:rsidRPr="009051F1">
        <w:t xml:space="preserve">This research showed that </w:t>
      </w:r>
      <w:r>
        <w:t xml:space="preserve">Task Oriented Physiotherapy along with Conventional physiotherapy </w:t>
      </w:r>
      <w:r w:rsidRPr="009051F1">
        <w:t xml:space="preserve">was more effective than only </w:t>
      </w:r>
      <w:r>
        <w:t xml:space="preserve">conventional physiotherapy </w:t>
      </w:r>
      <w:r w:rsidRPr="009051F1">
        <w:t xml:space="preserve">for patients with </w:t>
      </w:r>
      <w:r>
        <w:t>stroke.</w:t>
      </w:r>
    </w:p>
    <w:p w:rsidR="007E14E2" w:rsidRPr="009051F1" w:rsidRDefault="007E14E2" w:rsidP="007E14E2">
      <w:pPr>
        <w:pStyle w:val="Default"/>
        <w:spacing w:line="360" w:lineRule="auto"/>
        <w:jc w:val="both"/>
      </w:pPr>
      <w:r w:rsidRPr="009051F1">
        <w:rPr>
          <w:b/>
          <w:bCs/>
          <w:i/>
          <w:iCs/>
        </w:rPr>
        <w:t xml:space="preserve">Key words: </w:t>
      </w:r>
      <w:r>
        <w:t xml:space="preserve">Task oriented physiotherapy, Conventional physiotherapy, Stroke. </w:t>
      </w:r>
    </w:p>
    <w:p w:rsidR="007E14E2" w:rsidRDefault="003152C5" w:rsidP="00660A1E">
      <w:pPr>
        <w:pStyle w:val="BodyText"/>
        <w:spacing w:before="3"/>
        <w:rPr>
          <w:rFonts w:asciiTheme="minorHAnsi" w:hAnsiTheme="minorHAnsi" w:cstheme="minorHAnsi"/>
        </w:rPr>
      </w:pPr>
      <w:r>
        <w:rPr>
          <w:rFonts w:ascii="Times New Roman" w:hAnsi="Times New Roman"/>
          <w:b/>
          <w:sz w:val="24"/>
          <w:szCs w:val="24"/>
        </w:rPr>
        <w:t>Reference:</w:t>
      </w:r>
    </w:p>
    <w:p w:rsidR="003152C5" w:rsidRDefault="003152C5" w:rsidP="00660A1E">
      <w:pPr>
        <w:pStyle w:val="BodyText"/>
        <w:spacing w:before="3"/>
        <w:rPr>
          <w:rFonts w:asciiTheme="minorHAnsi" w:hAnsiTheme="minorHAnsi" w:cstheme="minorHAnsi"/>
        </w:rPr>
      </w:pPr>
    </w:p>
    <w:p w:rsidR="003152C5" w:rsidRPr="00D44220" w:rsidRDefault="007E14E2" w:rsidP="003152C5">
      <w:pPr>
        <w:pStyle w:val="BodyText"/>
        <w:numPr>
          <w:ilvl w:val="0"/>
          <w:numId w:val="4"/>
        </w:numPr>
        <w:spacing w:before="3"/>
        <w:jc w:val="both"/>
        <w:rPr>
          <w:rFonts w:ascii="Times New Roman" w:hAnsi="Times New Roman" w:cs="Times New Roman"/>
          <w:sz w:val="20"/>
          <w:szCs w:val="20"/>
        </w:rPr>
      </w:pPr>
      <w:r w:rsidRPr="003152C5">
        <w:rPr>
          <w:rFonts w:ascii="Times New Roman" w:hAnsi="Times New Roman" w:cs="Times New Roman"/>
          <w:sz w:val="20"/>
          <w:szCs w:val="20"/>
        </w:rPr>
        <w:t xml:space="preserve">Cha, H. G., Shin, Y. J., &amp; Kim, M. K. (2017). Effects of the Bad Ragaz Ring Method on Muscle Activation of the Lower Limbs and Balance Ability in Chronic Stroke. A Randomized Control Trail. </w:t>
      </w:r>
      <w:r w:rsidRPr="003152C5">
        <w:rPr>
          <w:rFonts w:ascii="Times New Roman" w:hAnsi="Times New Roman" w:cs="Times New Roman"/>
          <w:i/>
          <w:sz w:val="20"/>
          <w:szCs w:val="20"/>
        </w:rPr>
        <w:t>Hong Kong Physiotherapy Journal, 37</w:t>
      </w:r>
      <w:r w:rsidRPr="003152C5">
        <w:rPr>
          <w:rFonts w:ascii="Times New Roman" w:hAnsi="Times New Roman" w:cs="Times New Roman"/>
          <w:sz w:val="20"/>
          <w:szCs w:val="20"/>
        </w:rPr>
        <w:t>, 39-45</w:t>
      </w:r>
      <w:r w:rsidR="003152C5">
        <w:rPr>
          <w:rFonts w:ascii="Times New Roman" w:hAnsi="Times New Roman" w:cs="Times New Roman"/>
          <w:sz w:val="20"/>
          <w:szCs w:val="20"/>
        </w:rPr>
        <w:t>.</w:t>
      </w:r>
    </w:p>
    <w:p w:rsidR="003152C5" w:rsidRPr="001051CB" w:rsidRDefault="003152C5" w:rsidP="00D44220">
      <w:pPr>
        <w:pStyle w:val="ListParagraph"/>
        <w:numPr>
          <w:ilvl w:val="0"/>
          <w:numId w:val="4"/>
        </w:numPr>
        <w:spacing w:after="100" w:afterAutospacing="1" w:line="240" w:lineRule="auto"/>
        <w:rPr>
          <w:rFonts w:ascii="Times New Roman" w:hAnsi="Times New Roman" w:cs="Times New Roman"/>
          <w:color w:val="222222"/>
          <w:sz w:val="20"/>
          <w:szCs w:val="20"/>
          <w:shd w:val="clear" w:color="auto" w:fill="FFFFFF"/>
        </w:rPr>
      </w:pPr>
      <w:r w:rsidRPr="001051CB">
        <w:rPr>
          <w:rFonts w:ascii="Times New Roman" w:hAnsi="Times New Roman" w:cs="Times New Roman"/>
          <w:color w:val="222222"/>
          <w:sz w:val="20"/>
          <w:szCs w:val="20"/>
          <w:shd w:val="clear" w:color="auto" w:fill="FFFFFF"/>
        </w:rPr>
        <w:t>Choi, J. U., &amp; Kang, S. H. (2015). The effects of patient-centered task-oriented training on balance activities of daily living and self-efficacy following stroke. </w:t>
      </w:r>
      <w:r w:rsidRPr="001051CB">
        <w:rPr>
          <w:rFonts w:ascii="Times New Roman" w:hAnsi="Times New Roman" w:cs="Times New Roman"/>
          <w:i/>
          <w:iCs/>
          <w:color w:val="222222"/>
          <w:sz w:val="20"/>
          <w:szCs w:val="20"/>
          <w:shd w:val="clear" w:color="auto" w:fill="FFFFFF"/>
        </w:rPr>
        <w:t>Journal of physical therapy science</w:t>
      </w:r>
      <w:r w:rsidRPr="001051CB">
        <w:rPr>
          <w:rFonts w:ascii="Times New Roman" w:hAnsi="Times New Roman" w:cs="Times New Roman"/>
          <w:color w:val="222222"/>
          <w:sz w:val="20"/>
          <w:szCs w:val="20"/>
          <w:shd w:val="clear" w:color="auto" w:fill="FFFFFF"/>
        </w:rPr>
        <w:t>, </w:t>
      </w:r>
      <w:r w:rsidRPr="001051CB">
        <w:rPr>
          <w:rFonts w:ascii="Times New Roman" w:hAnsi="Times New Roman" w:cs="Times New Roman"/>
          <w:i/>
          <w:iCs/>
          <w:color w:val="222222"/>
          <w:sz w:val="20"/>
          <w:szCs w:val="20"/>
          <w:shd w:val="clear" w:color="auto" w:fill="FFFFFF"/>
        </w:rPr>
        <w:t>27</w:t>
      </w:r>
      <w:r w:rsidRPr="001051CB">
        <w:rPr>
          <w:rFonts w:ascii="Times New Roman" w:hAnsi="Times New Roman" w:cs="Times New Roman"/>
          <w:color w:val="222222"/>
          <w:sz w:val="20"/>
          <w:szCs w:val="20"/>
          <w:shd w:val="clear" w:color="auto" w:fill="FFFFFF"/>
        </w:rPr>
        <w:t>(9), 2985-2988.</w:t>
      </w:r>
    </w:p>
    <w:p w:rsidR="003152C5" w:rsidRPr="001051CB" w:rsidRDefault="003152C5" w:rsidP="001051CB">
      <w:pPr>
        <w:pStyle w:val="ListParagraph"/>
        <w:numPr>
          <w:ilvl w:val="0"/>
          <w:numId w:val="4"/>
        </w:numPr>
        <w:spacing w:after="100" w:afterAutospacing="1"/>
        <w:rPr>
          <w:rFonts w:ascii="Times New Roman" w:hAnsi="Times New Roman" w:cs="Times New Roman"/>
          <w:sz w:val="20"/>
          <w:szCs w:val="20"/>
        </w:rPr>
      </w:pPr>
      <w:r w:rsidRPr="001051CB">
        <w:rPr>
          <w:rFonts w:ascii="Times New Roman" w:hAnsi="Times New Roman" w:cs="Times New Roman"/>
          <w:color w:val="222222"/>
          <w:sz w:val="20"/>
          <w:szCs w:val="20"/>
          <w:shd w:val="clear" w:color="auto" w:fill="FFFFFF"/>
        </w:rPr>
        <w:t>Cunha, R. G., Da-Silva, P. J. G., Paz, C. C. D. S. C., da Silva Ferreira, A. C., &amp; Tierra-Criollo, C. J. (2017). Influence of functional task-oriented mental practice on the gait of transtibial amputees: a randomized, clinical trial. </w:t>
      </w:r>
      <w:r w:rsidRPr="001051CB">
        <w:rPr>
          <w:rFonts w:ascii="Times New Roman" w:hAnsi="Times New Roman" w:cs="Times New Roman"/>
          <w:i/>
          <w:iCs/>
          <w:color w:val="222222"/>
          <w:sz w:val="20"/>
          <w:szCs w:val="20"/>
          <w:shd w:val="clear" w:color="auto" w:fill="FFFFFF"/>
        </w:rPr>
        <w:t>Journal of neuroengineering and rehabilitation</w:t>
      </w:r>
      <w:r w:rsidRPr="001051CB">
        <w:rPr>
          <w:rFonts w:ascii="Times New Roman" w:hAnsi="Times New Roman" w:cs="Times New Roman"/>
          <w:color w:val="222222"/>
          <w:sz w:val="20"/>
          <w:szCs w:val="20"/>
          <w:shd w:val="clear" w:color="auto" w:fill="FFFFFF"/>
        </w:rPr>
        <w:t>, </w:t>
      </w:r>
      <w:r w:rsidRPr="001051CB">
        <w:rPr>
          <w:rFonts w:ascii="Times New Roman" w:hAnsi="Times New Roman" w:cs="Times New Roman"/>
          <w:i/>
          <w:iCs/>
          <w:color w:val="222222"/>
          <w:sz w:val="20"/>
          <w:szCs w:val="20"/>
          <w:shd w:val="clear" w:color="auto" w:fill="FFFFFF"/>
        </w:rPr>
        <w:t>14</w:t>
      </w:r>
      <w:r w:rsidRPr="001051CB">
        <w:rPr>
          <w:rFonts w:ascii="Times New Roman" w:hAnsi="Times New Roman" w:cs="Times New Roman"/>
          <w:color w:val="222222"/>
          <w:sz w:val="20"/>
          <w:szCs w:val="20"/>
          <w:shd w:val="clear" w:color="auto" w:fill="FFFFFF"/>
        </w:rPr>
        <w:t>(1), 28.</w:t>
      </w:r>
    </w:p>
    <w:p w:rsidR="003152C5" w:rsidRDefault="003152C5" w:rsidP="00D44220">
      <w:pPr>
        <w:pStyle w:val="ListParagraph"/>
        <w:numPr>
          <w:ilvl w:val="0"/>
          <w:numId w:val="4"/>
        </w:numPr>
        <w:spacing w:after="100" w:afterAutospacing="1" w:line="240" w:lineRule="auto"/>
        <w:rPr>
          <w:rFonts w:ascii="Times New Roman" w:hAnsi="Times New Roman" w:cs="Times New Roman"/>
          <w:color w:val="222222"/>
          <w:sz w:val="20"/>
          <w:szCs w:val="20"/>
          <w:shd w:val="clear" w:color="auto" w:fill="FFFFFF"/>
        </w:rPr>
      </w:pPr>
      <w:r w:rsidRPr="001051CB">
        <w:rPr>
          <w:rFonts w:ascii="Times New Roman" w:hAnsi="Times New Roman" w:cs="Times New Roman"/>
          <w:color w:val="222222"/>
          <w:sz w:val="20"/>
          <w:szCs w:val="20"/>
          <w:shd w:val="clear" w:color="auto" w:fill="FFFFFF"/>
        </w:rPr>
        <w:lastRenderedPageBreak/>
        <w:t>Ghous, M., Malik, A. N., Amjad, M. I., &amp; Kanwal, M. (2017). Effects of activity repetition training with Salat (prayer) versus task oriented training on functional outcomes of stroke. </w:t>
      </w:r>
      <w:r w:rsidRPr="001051CB">
        <w:rPr>
          <w:rFonts w:ascii="Times New Roman" w:hAnsi="Times New Roman" w:cs="Times New Roman"/>
          <w:i/>
          <w:iCs/>
          <w:color w:val="222222"/>
          <w:sz w:val="20"/>
          <w:szCs w:val="20"/>
          <w:shd w:val="clear" w:color="auto" w:fill="FFFFFF"/>
        </w:rPr>
        <w:t>JPMA. The Journal of the Pakistan Medical Association</w:t>
      </w:r>
      <w:r w:rsidRPr="001051CB">
        <w:rPr>
          <w:rFonts w:ascii="Times New Roman" w:hAnsi="Times New Roman" w:cs="Times New Roman"/>
          <w:color w:val="222222"/>
          <w:sz w:val="20"/>
          <w:szCs w:val="20"/>
          <w:shd w:val="clear" w:color="auto" w:fill="FFFFFF"/>
        </w:rPr>
        <w:t>, </w:t>
      </w:r>
      <w:r w:rsidRPr="001051CB">
        <w:rPr>
          <w:rFonts w:ascii="Times New Roman" w:hAnsi="Times New Roman" w:cs="Times New Roman"/>
          <w:i/>
          <w:iCs/>
          <w:color w:val="222222"/>
          <w:sz w:val="20"/>
          <w:szCs w:val="20"/>
          <w:shd w:val="clear" w:color="auto" w:fill="FFFFFF"/>
        </w:rPr>
        <w:t>67</w:t>
      </w:r>
      <w:r w:rsidRPr="001051CB">
        <w:rPr>
          <w:rFonts w:ascii="Times New Roman" w:hAnsi="Times New Roman" w:cs="Times New Roman"/>
          <w:color w:val="222222"/>
          <w:sz w:val="20"/>
          <w:szCs w:val="20"/>
          <w:shd w:val="clear" w:color="auto" w:fill="FFFFFF"/>
        </w:rPr>
        <w:t>(7), 1091-1093.</w:t>
      </w:r>
    </w:p>
    <w:p w:rsidR="001051CB" w:rsidRPr="001051CB" w:rsidRDefault="001051CB" w:rsidP="00D44220">
      <w:pPr>
        <w:pStyle w:val="ListParagraph"/>
        <w:numPr>
          <w:ilvl w:val="0"/>
          <w:numId w:val="4"/>
        </w:numPr>
        <w:spacing w:after="100" w:afterAutospacing="1" w:line="240" w:lineRule="auto"/>
        <w:rPr>
          <w:rFonts w:ascii="Times New Roman" w:hAnsi="Times New Roman" w:cs="Times New Roman"/>
          <w:sz w:val="20"/>
          <w:szCs w:val="20"/>
        </w:rPr>
      </w:pPr>
      <w:r w:rsidRPr="001051CB">
        <w:rPr>
          <w:rFonts w:ascii="Times New Roman" w:hAnsi="Times New Roman" w:cs="Times New Roman"/>
          <w:color w:val="222222"/>
          <w:sz w:val="20"/>
          <w:szCs w:val="20"/>
          <w:shd w:val="clear" w:color="auto" w:fill="FFFFFF"/>
        </w:rPr>
        <w:t>Kim, K., Jung, S. I., &amp; Lee, D. K. (2017). Effects of task-oriented circuit training on balance and gait ability in subacute stroke patients: a randomized controlled trial. </w:t>
      </w:r>
      <w:r w:rsidRPr="001051CB">
        <w:rPr>
          <w:rFonts w:ascii="Times New Roman" w:hAnsi="Times New Roman" w:cs="Times New Roman"/>
          <w:i/>
          <w:iCs/>
          <w:color w:val="222222"/>
          <w:sz w:val="20"/>
          <w:szCs w:val="20"/>
          <w:shd w:val="clear" w:color="auto" w:fill="FFFFFF"/>
        </w:rPr>
        <w:t>Journal of physical therapy science</w:t>
      </w:r>
      <w:r w:rsidRPr="001051CB">
        <w:rPr>
          <w:rFonts w:ascii="Times New Roman" w:hAnsi="Times New Roman" w:cs="Times New Roman"/>
          <w:color w:val="222222"/>
          <w:sz w:val="20"/>
          <w:szCs w:val="20"/>
          <w:shd w:val="clear" w:color="auto" w:fill="FFFFFF"/>
        </w:rPr>
        <w:t>, </w:t>
      </w:r>
      <w:r w:rsidRPr="001051CB">
        <w:rPr>
          <w:rFonts w:ascii="Times New Roman" w:hAnsi="Times New Roman" w:cs="Times New Roman"/>
          <w:i/>
          <w:iCs/>
          <w:color w:val="222222"/>
          <w:sz w:val="20"/>
          <w:szCs w:val="20"/>
          <w:shd w:val="clear" w:color="auto" w:fill="FFFFFF"/>
        </w:rPr>
        <w:t>29</w:t>
      </w:r>
      <w:r w:rsidRPr="001051CB">
        <w:rPr>
          <w:rFonts w:ascii="Times New Roman" w:hAnsi="Times New Roman" w:cs="Times New Roman"/>
          <w:color w:val="222222"/>
          <w:sz w:val="20"/>
          <w:szCs w:val="20"/>
          <w:shd w:val="clear" w:color="auto" w:fill="FFFFFF"/>
        </w:rPr>
        <w:t>(6), 989-992.</w:t>
      </w:r>
    </w:p>
    <w:p w:rsidR="001051CB" w:rsidRPr="001051CB" w:rsidRDefault="003D1926" w:rsidP="001051CB">
      <w:pPr>
        <w:pStyle w:val="ListParagraph"/>
        <w:spacing w:after="100" w:afterAutospacing="1" w:line="360" w:lineRule="auto"/>
        <w:ind w:left="720" w:firstLine="0"/>
        <w:rPr>
          <w:rFonts w:ascii="Times New Roman" w:hAnsi="Times New Roman" w:cs="Times New Roman"/>
          <w:color w:val="222222"/>
          <w:sz w:val="20"/>
          <w:szCs w:val="20"/>
          <w:shd w:val="clear" w:color="auto" w:fill="FFFFFF"/>
        </w:rPr>
      </w:pPr>
      <w:r>
        <w:rPr>
          <w:rFonts w:ascii="Times New Roman" w:hAnsi="Times New Roman" w:cs="Times New Roman"/>
          <w:color w:val="222222"/>
          <w:sz w:val="20"/>
          <w:szCs w:val="20"/>
          <w:shd w:val="clear" w:color="auto" w:fill="FFFFFF"/>
        </w:rPr>
        <w:t xml:space="preserve"> </w:t>
      </w:r>
    </w:p>
    <w:p w:rsidR="001051CB" w:rsidRPr="001051CB" w:rsidRDefault="001051CB" w:rsidP="001051CB">
      <w:pPr>
        <w:spacing w:after="100" w:afterAutospacing="1" w:line="360" w:lineRule="auto"/>
        <w:ind w:left="360"/>
        <w:rPr>
          <w:rFonts w:ascii="Times New Roman" w:hAnsi="Times New Roman" w:cs="Times New Roman"/>
          <w:color w:val="222222"/>
          <w:sz w:val="20"/>
          <w:szCs w:val="20"/>
          <w:shd w:val="clear" w:color="auto" w:fill="FFFFFF"/>
        </w:rPr>
      </w:pPr>
    </w:p>
    <w:p w:rsidR="003152C5" w:rsidRPr="003152C5" w:rsidRDefault="003152C5" w:rsidP="003152C5">
      <w:pPr>
        <w:spacing w:after="100" w:afterAutospacing="1" w:line="360" w:lineRule="auto"/>
        <w:jc w:val="both"/>
        <w:rPr>
          <w:rFonts w:ascii="Times New Roman" w:hAnsi="Times New Roman" w:cs="Times New Roman"/>
          <w:sz w:val="20"/>
          <w:szCs w:val="20"/>
        </w:rPr>
      </w:pPr>
    </w:p>
    <w:p w:rsidR="003152C5" w:rsidRDefault="00E10583" w:rsidP="003152C5">
      <w:pPr>
        <w:pStyle w:val="BodyText"/>
        <w:spacing w:before="3"/>
        <w:jc w:val="center"/>
        <w:rPr>
          <w:rFonts w:ascii="Times New Roman" w:hAnsi="Times New Roman" w:cs="Times New Roman"/>
          <w:sz w:val="20"/>
          <w:szCs w:val="20"/>
        </w:rPr>
      </w:pPr>
      <w:r>
        <w:rPr>
          <w:rFonts w:ascii="Times New Roman" w:hAnsi="Times New Roman" w:cs="Times New Roman"/>
          <w:sz w:val="20"/>
          <w:szCs w:val="20"/>
        </w:rPr>
        <w:t xml:space="preserve">                                                   </w:t>
      </w:r>
      <w:r w:rsidRPr="00E10583">
        <w:rPr>
          <w:rFonts w:ascii="Times New Roman" w:hAnsi="Times New Roman" w:cs="Times New Roman"/>
          <w:sz w:val="20"/>
          <w:szCs w:val="20"/>
        </w:rPr>
        <w:drawing>
          <wp:inline distT="0" distB="0" distL="0" distR="0">
            <wp:extent cx="2409825" cy="1606550"/>
            <wp:effectExtent l="19050" t="0" r="9525" b="0"/>
            <wp:docPr id="8" name="Picture 2" descr="C:\Users\acer\Desktop\MDMR\Niraj\IMG_58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cer\Desktop\MDMR\Niraj\IMG_5844.JPG"/>
                    <pic:cNvPicPr>
                      <a:picLocks noChangeAspect="1" noChangeArrowheads="1"/>
                    </pic:cNvPicPr>
                  </pic:nvPicPr>
                  <pic:blipFill>
                    <a:blip r:embed="rId10" cstate="print"/>
                    <a:srcRect/>
                    <a:stretch>
                      <a:fillRect/>
                    </a:stretch>
                  </pic:blipFill>
                  <pic:spPr bwMode="auto">
                    <a:xfrm>
                      <a:off x="0" y="0"/>
                      <a:ext cx="2409825" cy="1606550"/>
                    </a:xfrm>
                    <a:prstGeom prst="rect">
                      <a:avLst/>
                    </a:prstGeom>
                    <a:noFill/>
                    <a:ln w="9525">
                      <a:noFill/>
                      <a:miter lim="800000"/>
                      <a:headEnd/>
                      <a:tailEnd/>
                    </a:ln>
                  </pic:spPr>
                </pic:pic>
              </a:graphicData>
            </a:graphic>
          </wp:inline>
        </w:drawing>
      </w:r>
      <w:r>
        <w:rPr>
          <w:rFonts w:ascii="Times New Roman" w:hAnsi="Times New Roman" w:cs="Times New Roman"/>
          <w:sz w:val="20"/>
          <w:szCs w:val="20"/>
        </w:rPr>
        <w:t xml:space="preserve">                                                </w:t>
      </w:r>
    </w:p>
    <w:p w:rsidR="00E10583" w:rsidRPr="003152C5" w:rsidRDefault="00E10583" w:rsidP="00E10583">
      <w:pPr>
        <w:pStyle w:val="BodyText"/>
        <w:spacing w:before="3"/>
        <w:rPr>
          <w:rFonts w:ascii="Times New Roman" w:hAnsi="Times New Roman" w:cs="Times New Roman"/>
          <w:sz w:val="20"/>
          <w:szCs w:val="20"/>
        </w:rPr>
      </w:pPr>
      <w:r>
        <w:rPr>
          <w:rFonts w:ascii="Times New Roman" w:hAnsi="Times New Roman" w:cs="Times New Roman"/>
          <w:sz w:val="20"/>
          <w:szCs w:val="20"/>
        </w:rPr>
        <w:t xml:space="preserve">                        Dr Shahinoor Bente Khan, PT.  </w:t>
      </w:r>
    </w:p>
    <w:sectPr w:rsidR="00E10583" w:rsidRPr="003152C5"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A45C4" w:rsidRDefault="009A45C4">
      <w:r>
        <w:separator/>
      </w:r>
    </w:p>
  </w:endnote>
  <w:endnote w:type="continuationSeparator" w:id="1">
    <w:p w:rsidR="009A45C4" w:rsidRDefault="009A45C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A45C4" w:rsidRDefault="009A45C4">
      <w:r>
        <w:separator/>
      </w:r>
    </w:p>
  </w:footnote>
  <w:footnote w:type="continuationSeparator" w:id="1">
    <w:p w:rsidR="009A45C4" w:rsidRDefault="009A45C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Pr="00660A1E" w:rsidRDefault="00660A1E" w:rsidP="00660A1E">
    <w:pPr>
      <w:pStyle w:val="Header"/>
    </w:pPr>
    <w:r>
      <w:rPr>
        <w:noProof/>
      </w:rPr>
      <w:drawing>
        <wp:inline distT="0" distB="0" distL="0" distR="0">
          <wp:extent cx="6788150" cy="1078865"/>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788150" cy="1078865"/>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9075C8"/>
    <w:multiLevelType w:val="hybridMultilevel"/>
    <w:tmpl w:val="BCE889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11266"/>
  </w:hdrShapeDefaults>
  <w:footnotePr>
    <w:footnote w:id="0"/>
    <w:footnote w:id="1"/>
  </w:footnotePr>
  <w:endnotePr>
    <w:endnote w:id="0"/>
    <w:endnote w:id="1"/>
  </w:endnotePr>
  <w:compat>
    <w:ulTrailSpace/>
  </w:compat>
  <w:rsids>
    <w:rsidRoot w:val="00AE3E37"/>
    <w:rsid w:val="000E2911"/>
    <w:rsid w:val="001051CB"/>
    <w:rsid w:val="00122327"/>
    <w:rsid w:val="001263DF"/>
    <w:rsid w:val="001873F2"/>
    <w:rsid w:val="001E763C"/>
    <w:rsid w:val="001F4CE2"/>
    <w:rsid w:val="002317A7"/>
    <w:rsid w:val="00292ED9"/>
    <w:rsid w:val="00314AFB"/>
    <w:rsid w:val="003152C5"/>
    <w:rsid w:val="003B76D9"/>
    <w:rsid w:val="003D1926"/>
    <w:rsid w:val="00403442"/>
    <w:rsid w:val="00404E5B"/>
    <w:rsid w:val="00414F7B"/>
    <w:rsid w:val="004355DC"/>
    <w:rsid w:val="004749B4"/>
    <w:rsid w:val="00494130"/>
    <w:rsid w:val="004F3523"/>
    <w:rsid w:val="005973B9"/>
    <w:rsid w:val="005B3A56"/>
    <w:rsid w:val="006060CE"/>
    <w:rsid w:val="00634581"/>
    <w:rsid w:val="0063497F"/>
    <w:rsid w:val="00660A1E"/>
    <w:rsid w:val="00717BC6"/>
    <w:rsid w:val="007736DF"/>
    <w:rsid w:val="0078738A"/>
    <w:rsid w:val="007D4B9C"/>
    <w:rsid w:val="007E14E2"/>
    <w:rsid w:val="00873DF0"/>
    <w:rsid w:val="008756E6"/>
    <w:rsid w:val="009A45C4"/>
    <w:rsid w:val="009B2D44"/>
    <w:rsid w:val="00A07E82"/>
    <w:rsid w:val="00A9710C"/>
    <w:rsid w:val="00AE3E37"/>
    <w:rsid w:val="00B21A57"/>
    <w:rsid w:val="00C33602"/>
    <w:rsid w:val="00CD6F55"/>
    <w:rsid w:val="00D32FA8"/>
    <w:rsid w:val="00D44220"/>
    <w:rsid w:val="00D62425"/>
    <w:rsid w:val="00D73F6D"/>
    <w:rsid w:val="00DE3104"/>
    <w:rsid w:val="00E10583"/>
    <w:rsid w:val="00E17FB3"/>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660A1E"/>
    <w:rPr>
      <w:color w:val="605E5C"/>
      <w:shd w:val="clear" w:color="auto" w:fill="E1DFDD"/>
    </w:rPr>
  </w:style>
  <w:style w:type="paragraph" w:customStyle="1" w:styleId="Default">
    <w:name w:val="Default"/>
    <w:rsid w:val="007E14E2"/>
    <w:pPr>
      <w:widowControl/>
      <w:autoSpaceDE w:val="0"/>
      <w:autoSpaceDN w:val="0"/>
      <w:adjustRightInd w:val="0"/>
    </w:pPr>
    <w:rPr>
      <w:rFonts w:ascii="Times New Roman" w:eastAsiaTheme="minorEastAsia" w:hAnsi="Times New Roman" w:cs="Times New Roman"/>
      <w:color w:val="000000"/>
      <w:sz w:val="24"/>
      <w:szCs w:val="24"/>
    </w:rPr>
  </w:style>
  <w:style w:type="character" w:customStyle="1" w:styleId="autconin">
    <w:name w:val="aut_con_in"/>
    <w:basedOn w:val="DefaultParagraphFont"/>
    <w:rsid w:val="00122327"/>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2002150746">
      <w:bodyDiv w:val="1"/>
      <w:marLeft w:val="0"/>
      <w:marRight w:val="0"/>
      <w:marTop w:val="0"/>
      <w:marBottom w:val="0"/>
      <w:divBdr>
        <w:top w:val="none" w:sz="0" w:space="0" w:color="auto"/>
        <w:left w:val="none" w:sz="0" w:space="0" w:color="auto"/>
        <w:bottom w:val="none" w:sz="0" w:space="0" w:color="auto"/>
        <w:right w:val="none" w:sz="0" w:space="0" w:color="auto"/>
      </w:divBdr>
      <w:divsChild>
        <w:div w:id="1664121325">
          <w:marLeft w:val="0"/>
          <w:marRight w:val="0"/>
          <w:marTop w:val="150"/>
          <w:marBottom w:val="0"/>
          <w:divBdr>
            <w:top w:val="none" w:sz="0" w:space="0" w:color="auto"/>
            <w:left w:val="none" w:sz="0" w:space="0" w:color="auto"/>
            <w:bottom w:val="none" w:sz="0" w:space="0" w:color="auto"/>
            <w:right w:val="none" w:sz="0" w:space="0" w:color="auto"/>
          </w:divBdr>
        </w:div>
        <w:div w:id="409431411">
          <w:marLeft w:val="0"/>
          <w:marRight w:val="0"/>
          <w:marTop w:val="15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3</Pages>
  <Words>1089</Words>
  <Characters>6211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acer</cp:lastModifiedBy>
  <cp:revision>17</cp:revision>
  <dcterms:created xsi:type="dcterms:W3CDTF">2016-08-31T13:10:00Z</dcterms:created>
  <dcterms:modified xsi:type="dcterms:W3CDTF">2020-01-30T10:10:00Z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