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20A56" w14:textId="7D5786CB" w:rsidR="00AE3E37" w:rsidRDefault="00D016ED" w:rsidP="00494130">
      <w:pPr>
        <w:pStyle w:val="Heading1"/>
        <w:spacing w:before="170"/>
        <w:ind w:left="0"/>
      </w:pPr>
      <w:r>
        <w:rPr>
          <w:color w:val="337AB7"/>
        </w:rPr>
        <w:t>Complement system in Neonatal Hypoxia-Ischemia</w:t>
      </w:r>
      <w:r w:rsidRPr="00D016ED">
        <w:rPr>
          <w:color w:val="337AB7"/>
        </w:rPr>
        <w:t xml:space="preserve"> injury: the role of the alternative pathway</w:t>
      </w:r>
    </w:p>
    <w:p w14:paraId="3425255A" w14:textId="2989906F" w:rsidR="005973B9" w:rsidRDefault="00D016ED" w:rsidP="005973B9">
      <w:pPr>
        <w:pStyle w:val="BodyText"/>
        <w:spacing w:before="73" w:line="198" w:lineRule="exact"/>
        <w:ind w:left="100" w:right="5987"/>
        <w:rPr>
          <w:rFonts w:ascii="Arial"/>
        </w:rPr>
      </w:pPr>
      <w:r>
        <w:rPr>
          <w:rFonts w:ascii="Arial"/>
        </w:rPr>
        <w:t>Claudia Sisa, BBSRC LIDO PhD student, Institute for Women</w:t>
      </w:r>
      <w:r>
        <w:rPr>
          <w:rFonts w:ascii="Arial"/>
        </w:rPr>
        <w:t>’</w:t>
      </w:r>
      <w:r>
        <w:rPr>
          <w:rFonts w:ascii="Arial"/>
        </w:rPr>
        <w:t>s Health, UCL.</w:t>
      </w:r>
    </w:p>
    <w:p w14:paraId="1016B7A7" w14:textId="77777777" w:rsidR="00AE3E37" w:rsidRDefault="00AE3E37">
      <w:pPr>
        <w:pStyle w:val="BodyText"/>
        <w:rPr>
          <w:rFonts w:ascii="Arial"/>
          <w:sz w:val="20"/>
        </w:rPr>
      </w:pPr>
    </w:p>
    <w:p w14:paraId="52903FDC" w14:textId="77777777" w:rsidR="00AE3E37" w:rsidRDefault="00AE3E37">
      <w:pPr>
        <w:pStyle w:val="BodyText"/>
        <w:spacing w:before="3"/>
        <w:rPr>
          <w:rFonts w:ascii="Arial"/>
          <w:sz w:val="21"/>
        </w:rPr>
      </w:pPr>
    </w:p>
    <w:p w14:paraId="02EEABA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93ABE4B" w14:textId="2347FB94" w:rsidR="00AE3E37" w:rsidRDefault="00A9710C">
      <w:pPr>
        <w:pStyle w:val="Heading3"/>
        <w:spacing w:before="147"/>
        <w:jc w:val="both"/>
      </w:pPr>
      <w:r>
        <w:rPr>
          <w:color w:val="BF5A14"/>
        </w:rPr>
        <w:lastRenderedPageBreak/>
        <w:t>Abstract</w:t>
      </w:r>
      <w:r w:rsidR="00404E5B">
        <w:rPr>
          <w:color w:val="BF5A14"/>
        </w:rPr>
        <w:t xml:space="preserve"> </w:t>
      </w:r>
      <w:bookmarkStart w:id="0" w:name="_GoBack"/>
      <w:bookmarkEnd w:id="0"/>
    </w:p>
    <w:p w14:paraId="7DA2FA51" w14:textId="4B622CCE" w:rsidR="000D24E9" w:rsidRPr="000D24E9" w:rsidRDefault="000D24E9" w:rsidP="000D24E9">
      <w:pPr>
        <w:pStyle w:val="Heading3"/>
        <w:spacing w:before="74"/>
        <w:rPr>
          <w:b w:val="0"/>
        </w:rPr>
      </w:pPr>
      <w:r w:rsidRPr="000D24E9">
        <w:rPr>
          <w:b w:val="0"/>
        </w:rPr>
        <w:t xml:space="preserve">The interruption of oxygen and blood flow to the brain of the infant during pregnancy or at the time of </w:t>
      </w:r>
      <w:r w:rsidR="0057087F">
        <w:rPr>
          <w:b w:val="0"/>
        </w:rPr>
        <w:t>birth leads to neonatal hypoxia-</w:t>
      </w:r>
      <w:r w:rsidR="0057087F" w:rsidRPr="000D24E9">
        <w:rPr>
          <w:b w:val="0"/>
        </w:rPr>
        <w:t>ischemia</w:t>
      </w:r>
      <w:r w:rsidRPr="000D24E9">
        <w:rPr>
          <w:b w:val="0"/>
        </w:rPr>
        <w:t xml:space="preserve"> (HI). This pathology has high morbidity and mortality, causing 4 million neonatal deaths per year and affecting up to 26 every 1000 live births in the developing countries. Moreover, the presence of an intrauterine bacterial infection </w:t>
      </w:r>
      <w:r w:rsidR="0057087F" w:rsidRPr="000D24E9">
        <w:rPr>
          <w:b w:val="0"/>
        </w:rPr>
        <w:t>sensitizes</w:t>
      </w:r>
      <w:r w:rsidRPr="000D24E9">
        <w:rPr>
          <w:b w:val="0"/>
        </w:rPr>
        <w:t xml:space="preserve"> the brain of the baby to the HI insult.</w:t>
      </w:r>
    </w:p>
    <w:p w14:paraId="7069F9AC" w14:textId="15AD9D58" w:rsidR="000D24E9" w:rsidRPr="000D24E9" w:rsidRDefault="0057087F" w:rsidP="000D24E9">
      <w:pPr>
        <w:pStyle w:val="Heading3"/>
        <w:spacing w:before="74"/>
        <w:rPr>
          <w:b w:val="0"/>
        </w:rPr>
      </w:pPr>
      <w:r>
        <w:rPr>
          <w:b w:val="0"/>
        </w:rPr>
        <w:t>The</w:t>
      </w:r>
      <w:r w:rsidR="000D24E9" w:rsidRPr="000D24E9">
        <w:rPr>
          <w:b w:val="0"/>
        </w:rPr>
        <w:t xml:space="preserve"> complicated pathological course makes neonatal HI difficult to treat. The current standard treatment is therapeutic hypothermia, which is effective only in the 40% of cases, and it is not applicable in infection-</w:t>
      </w:r>
      <w:r w:rsidRPr="000D24E9">
        <w:rPr>
          <w:b w:val="0"/>
        </w:rPr>
        <w:t>sensitized</w:t>
      </w:r>
      <w:r w:rsidR="000D24E9" w:rsidRPr="000D24E9">
        <w:rPr>
          <w:b w:val="0"/>
        </w:rPr>
        <w:t xml:space="preserve"> conditions. Therefore, the need to develop new treatments for neonatal HI is urgent. </w:t>
      </w:r>
    </w:p>
    <w:p w14:paraId="2C9C2C41" w14:textId="20B87FDB" w:rsidR="000D24E9" w:rsidRPr="000D24E9" w:rsidRDefault="000D24E9" w:rsidP="000D24E9">
      <w:pPr>
        <w:pStyle w:val="Heading3"/>
        <w:spacing w:before="74"/>
        <w:rPr>
          <w:b w:val="0"/>
        </w:rPr>
      </w:pPr>
      <w:r w:rsidRPr="000D24E9">
        <w:rPr>
          <w:b w:val="0"/>
        </w:rPr>
        <w:t xml:space="preserve">The complement system as part of the innate immune system, contributes to pathogens elimination and mediation of the inflammation. The classical pathway is activated in neonatal HI, maintaining a pro-inflammatory state. The involvement of the alternative pathway has not been explored in HI. </w:t>
      </w:r>
      <w:proofErr w:type="spellStart"/>
      <w:r w:rsidRPr="000D24E9">
        <w:rPr>
          <w:b w:val="0"/>
        </w:rPr>
        <w:t>Properdin</w:t>
      </w:r>
      <w:proofErr w:type="spellEnd"/>
      <w:r w:rsidRPr="000D24E9">
        <w:rPr>
          <w:b w:val="0"/>
        </w:rPr>
        <w:t xml:space="preserve"> is known as the only positive regulator of the complement system, constitutively activating the alternative pathway. This project aims to explore the effects of the inhibition of such pathway in a mouse model of neonatal HI. P7 mice knocked-out for </w:t>
      </w:r>
      <w:proofErr w:type="spellStart"/>
      <w:r w:rsidRPr="000D24E9">
        <w:rPr>
          <w:b w:val="0"/>
        </w:rPr>
        <w:t>properdin</w:t>
      </w:r>
      <w:proofErr w:type="spellEnd"/>
      <w:r w:rsidRPr="000D24E9">
        <w:rPr>
          <w:b w:val="0"/>
        </w:rPr>
        <w:t xml:space="preserve"> gene underwent either neonatal HI insult alone or HI in the presence of LPS </w:t>
      </w:r>
      <w:r w:rsidR="0057087F" w:rsidRPr="000D24E9">
        <w:rPr>
          <w:b w:val="0"/>
        </w:rPr>
        <w:t>sensitization</w:t>
      </w:r>
      <w:r w:rsidRPr="000D24E9">
        <w:rPr>
          <w:b w:val="0"/>
        </w:rPr>
        <w:t>.</w:t>
      </w:r>
    </w:p>
    <w:p w14:paraId="7E5A7B52" w14:textId="77777777" w:rsidR="000D24E9" w:rsidRPr="000D24E9" w:rsidRDefault="000D24E9" w:rsidP="000D24E9">
      <w:pPr>
        <w:pStyle w:val="Heading3"/>
        <w:spacing w:before="74"/>
        <w:rPr>
          <w:b w:val="0"/>
        </w:rPr>
      </w:pPr>
      <w:r w:rsidRPr="000D24E9">
        <w:rPr>
          <w:b w:val="0"/>
        </w:rPr>
        <w:t xml:space="preserve">Histological assessment of brain tissue extracted from the two experimental models showed a reduction in microglial activation and cell death in </w:t>
      </w:r>
      <w:proofErr w:type="spellStart"/>
      <w:r w:rsidRPr="000D24E9">
        <w:rPr>
          <w:b w:val="0"/>
        </w:rPr>
        <w:t>properdin</w:t>
      </w:r>
      <w:proofErr w:type="spellEnd"/>
      <w:r w:rsidRPr="000D24E9">
        <w:rPr>
          <w:b w:val="0"/>
        </w:rPr>
        <w:t xml:space="preserve"> knock-out mice compared to the wild type littermates. In conclusion, within the complement system, the alternative pathway alone plays a crucial role for the pathological development of neonatal HI. In addition, we can speculate that to have neuroprotection in this model, it might be necessary to act on both peripheral and central immune system at the same time.</w:t>
      </w:r>
    </w:p>
    <w:p w14:paraId="703A0474" w14:textId="77777777" w:rsidR="00AE3E37" w:rsidRDefault="00A9710C">
      <w:pPr>
        <w:pStyle w:val="Heading3"/>
        <w:spacing w:before="74"/>
      </w:pPr>
      <w:r>
        <w:rPr>
          <w:b w:val="0"/>
        </w:rPr>
        <w:br w:type="column"/>
      </w:r>
      <w:r>
        <w:rPr>
          <w:color w:val="BF5A14"/>
        </w:rPr>
        <w:lastRenderedPageBreak/>
        <w:t>Image</w:t>
      </w:r>
    </w:p>
    <w:p w14:paraId="7CC9C628" w14:textId="77777777" w:rsidR="00AE3E37" w:rsidRDefault="00546EA5">
      <w:pPr>
        <w:pStyle w:val="BodyText"/>
        <w:spacing w:before="2"/>
        <w:rPr>
          <w:rFonts w:ascii="Arial"/>
          <w:b/>
          <w:sz w:val="16"/>
        </w:rPr>
      </w:pPr>
      <w:r w:rsidRPr="00546EA5">
        <w:rPr>
          <w:rFonts w:ascii="Arial"/>
          <w:b/>
          <w:noProof/>
          <w:sz w:val="16"/>
          <w:lang w:val="en-GB" w:eastAsia="en-GB"/>
        </w:rPr>
        <w:drawing>
          <wp:inline distT="0" distB="0" distL="0" distR="0" wp14:anchorId="54FB26BF" wp14:editId="420A438E">
            <wp:extent cx="3165475" cy="2758440"/>
            <wp:effectExtent l="0" t="0" r="9525" b="1016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758440"/>
                    </a:xfrm>
                    <a:prstGeom prst="rect">
                      <a:avLst/>
                    </a:prstGeom>
                  </pic:spPr>
                </pic:pic>
              </a:graphicData>
            </a:graphic>
          </wp:inline>
        </w:drawing>
      </w:r>
    </w:p>
    <w:p w14:paraId="63C3DBA6" w14:textId="0F2B4ACC" w:rsidR="00546EA5" w:rsidRPr="00546EA5" w:rsidRDefault="00546EA5">
      <w:pPr>
        <w:pStyle w:val="BodyText"/>
        <w:spacing w:before="2"/>
        <w:rPr>
          <w:rFonts w:ascii="Arial"/>
          <w:sz w:val="16"/>
        </w:rPr>
      </w:pPr>
      <w:r>
        <w:rPr>
          <w:rFonts w:ascii="Arial"/>
          <w:b/>
          <w:sz w:val="16"/>
        </w:rPr>
        <w:t>Fig.1 Activation of the complement cascade.</w:t>
      </w:r>
      <w:r>
        <w:rPr>
          <w:rFonts w:ascii="Arial"/>
          <w:sz w:val="16"/>
        </w:rPr>
        <w:t xml:space="preserve"> The image shows the activation and modulatory mechanisms of each pathway involved in the complement system. </w:t>
      </w:r>
      <w:r w:rsidR="0057087F">
        <w:rPr>
          <w:rFonts w:ascii="Arial"/>
          <w:sz w:val="16"/>
        </w:rPr>
        <w:t xml:space="preserve">In particular, this project focuses on the alternative pathway activator, </w:t>
      </w:r>
      <w:proofErr w:type="spellStart"/>
      <w:r w:rsidR="0057087F">
        <w:rPr>
          <w:rFonts w:ascii="Arial"/>
          <w:sz w:val="16"/>
        </w:rPr>
        <w:t>properdin</w:t>
      </w:r>
      <w:proofErr w:type="spellEnd"/>
      <w:r w:rsidR="0057087F">
        <w:rPr>
          <w:rFonts w:ascii="Arial"/>
          <w:sz w:val="16"/>
        </w:rPr>
        <w:t xml:space="preserve"> (figure from Rocha-Ferreira and </w:t>
      </w:r>
      <w:proofErr w:type="spellStart"/>
      <w:r w:rsidR="0057087F">
        <w:rPr>
          <w:rFonts w:ascii="Arial"/>
          <w:sz w:val="16"/>
        </w:rPr>
        <w:t>Hristova</w:t>
      </w:r>
      <w:proofErr w:type="spellEnd"/>
      <w:r w:rsidR="0057087F">
        <w:rPr>
          <w:rFonts w:ascii="Arial"/>
          <w:sz w:val="16"/>
        </w:rPr>
        <w:t>, 2016).</w:t>
      </w:r>
    </w:p>
    <w:p w14:paraId="6BCE5787" w14:textId="1D76C1AD" w:rsidR="005973B9" w:rsidRDefault="005973B9" w:rsidP="005973B9">
      <w:pPr>
        <w:spacing w:line="204" w:lineRule="exact"/>
        <w:rPr>
          <w:rFonts w:ascii="Arial"/>
          <w:b/>
          <w:sz w:val="20"/>
        </w:rPr>
      </w:pPr>
      <w:r>
        <w:rPr>
          <w:rFonts w:ascii="Arial"/>
          <w:b/>
          <w:color w:val="BF5A14"/>
          <w:sz w:val="20"/>
        </w:rPr>
        <w:br/>
        <w:t xml:space="preserve">Recent Publications </w:t>
      </w:r>
    </w:p>
    <w:p w14:paraId="7570D58A" w14:textId="77417D25" w:rsidR="00C16CF2" w:rsidRPr="00C16CF2" w:rsidRDefault="00C16CF2" w:rsidP="00C16CF2">
      <w:pPr>
        <w:pStyle w:val="ListParagraph"/>
        <w:widowControl/>
        <w:numPr>
          <w:ilvl w:val="0"/>
          <w:numId w:val="3"/>
        </w:numPr>
        <w:rPr>
          <w:rFonts w:eastAsia="Times New Roman" w:cs="Times New Roman"/>
          <w:sz w:val="18"/>
          <w:szCs w:val="18"/>
          <w:lang w:val="en-GB" w:eastAsia="en-GB"/>
        </w:rPr>
      </w:pPr>
      <w:r w:rsidRPr="00C16CF2">
        <w:rPr>
          <w:rFonts w:eastAsia="Times New Roman" w:cs="Arial"/>
          <w:color w:val="222222"/>
          <w:sz w:val="18"/>
          <w:szCs w:val="18"/>
          <w:shd w:val="clear" w:color="auto" w:fill="FFFFFF"/>
          <w:lang w:val="en-GB" w:eastAsia="en-GB"/>
        </w:rPr>
        <w:t xml:space="preserve">Davis, Benjamin M., et al. "Topical Curcumin </w:t>
      </w:r>
      <w:proofErr w:type="spellStart"/>
      <w:r w:rsidRPr="00C16CF2">
        <w:rPr>
          <w:rFonts w:eastAsia="Times New Roman" w:cs="Arial"/>
          <w:color w:val="222222"/>
          <w:sz w:val="18"/>
          <w:szCs w:val="18"/>
          <w:shd w:val="clear" w:color="auto" w:fill="FFFFFF"/>
          <w:lang w:val="en-GB" w:eastAsia="en-GB"/>
        </w:rPr>
        <w:t>Nanocarriers</w:t>
      </w:r>
      <w:proofErr w:type="spellEnd"/>
      <w:r w:rsidRPr="00C16CF2">
        <w:rPr>
          <w:rFonts w:eastAsia="Times New Roman" w:cs="Arial"/>
          <w:color w:val="222222"/>
          <w:sz w:val="18"/>
          <w:szCs w:val="18"/>
          <w:shd w:val="clear" w:color="auto" w:fill="FFFFFF"/>
          <w:lang w:val="en-GB" w:eastAsia="en-GB"/>
        </w:rPr>
        <w:t xml:space="preserve"> are Neuroprotective in Eye Disease." </w:t>
      </w:r>
      <w:r w:rsidRPr="00C16CF2">
        <w:rPr>
          <w:rFonts w:eastAsia="Times New Roman" w:cs="Arial"/>
          <w:i/>
          <w:iCs/>
          <w:color w:val="222222"/>
          <w:sz w:val="18"/>
          <w:szCs w:val="18"/>
          <w:lang w:val="en-GB" w:eastAsia="en-GB"/>
        </w:rPr>
        <w:t>Scientific reports</w:t>
      </w:r>
      <w:r w:rsidRPr="00C16CF2">
        <w:rPr>
          <w:rFonts w:eastAsia="Times New Roman" w:cs="Arial"/>
          <w:color w:val="222222"/>
          <w:sz w:val="18"/>
          <w:szCs w:val="18"/>
          <w:shd w:val="clear" w:color="auto" w:fill="FFFFFF"/>
          <w:lang w:val="en-GB" w:eastAsia="en-GB"/>
        </w:rPr>
        <w:t> 8.1 (2018): 11066.</w:t>
      </w:r>
      <w:r w:rsidR="00D86202" w:rsidRPr="00C16CF2">
        <w:rPr>
          <w:sz w:val="18"/>
          <w:szCs w:val="18"/>
        </w:rPr>
        <w:t xml:space="preserve"> </w:t>
      </w:r>
    </w:p>
    <w:p w14:paraId="3F0FA68F" w14:textId="04BCFB68" w:rsidR="00C16CF2" w:rsidRPr="00C16CF2" w:rsidRDefault="00C16CF2" w:rsidP="00832A24">
      <w:pPr>
        <w:pStyle w:val="ListParagraph"/>
        <w:widowControl/>
        <w:numPr>
          <w:ilvl w:val="0"/>
          <w:numId w:val="3"/>
        </w:numPr>
        <w:tabs>
          <w:tab w:val="left" w:pos="384"/>
        </w:tabs>
        <w:spacing w:before="103" w:line="216" w:lineRule="exact"/>
        <w:ind w:right="138"/>
        <w:rPr>
          <w:rFonts w:asciiTheme="minorHAnsi" w:eastAsia="Times New Roman" w:hAnsiTheme="minorHAnsi" w:cs="Times New Roman"/>
          <w:sz w:val="18"/>
          <w:szCs w:val="18"/>
          <w:lang w:val="en-GB" w:eastAsia="en-GB"/>
        </w:rPr>
      </w:pPr>
      <w:r w:rsidRPr="00C16CF2">
        <w:rPr>
          <w:sz w:val="18"/>
        </w:rPr>
        <w:t xml:space="preserve">Davis, Benjamin Michael, et al. "Modulation of the membrane dipole potential: a prospective mechanism to differentiate </w:t>
      </w:r>
      <w:proofErr w:type="spellStart"/>
      <w:r w:rsidRPr="00C16CF2">
        <w:rPr>
          <w:sz w:val="18"/>
        </w:rPr>
        <w:t>anaesthetic</w:t>
      </w:r>
      <w:proofErr w:type="spellEnd"/>
      <w:r w:rsidRPr="00C16CF2">
        <w:rPr>
          <w:sz w:val="18"/>
        </w:rPr>
        <w:t>/non-</w:t>
      </w:r>
      <w:proofErr w:type="spellStart"/>
      <w:r w:rsidRPr="00C16CF2">
        <w:rPr>
          <w:sz w:val="18"/>
        </w:rPr>
        <w:t>anaesthetic</w:t>
      </w:r>
      <w:proofErr w:type="spellEnd"/>
      <w:r w:rsidRPr="00C16CF2">
        <w:rPr>
          <w:sz w:val="18"/>
        </w:rPr>
        <w:t xml:space="preserve"> activity and a tool to assess susceptibility." Journal of Lipid Research (2017): jlr-M073932.</w:t>
      </w:r>
    </w:p>
    <w:p w14:paraId="45B57B72" w14:textId="1148DE3B" w:rsidR="00C16CF2" w:rsidRPr="00C16CF2" w:rsidRDefault="00C16CF2" w:rsidP="00832A24">
      <w:pPr>
        <w:pStyle w:val="ListParagraph"/>
        <w:widowControl/>
        <w:numPr>
          <w:ilvl w:val="0"/>
          <w:numId w:val="3"/>
        </w:numPr>
        <w:tabs>
          <w:tab w:val="left" w:pos="384"/>
        </w:tabs>
        <w:spacing w:before="103" w:line="216" w:lineRule="exact"/>
        <w:ind w:right="138"/>
        <w:rPr>
          <w:rFonts w:asciiTheme="minorHAnsi" w:eastAsia="Times New Roman" w:hAnsiTheme="minorHAnsi" w:cs="Times New Roman"/>
          <w:sz w:val="18"/>
          <w:szCs w:val="18"/>
          <w:lang w:val="en-GB" w:eastAsia="en-GB"/>
        </w:rPr>
      </w:pPr>
      <w:r w:rsidRPr="00C16CF2">
        <w:rPr>
          <w:rFonts w:asciiTheme="minorHAnsi" w:eastAsia="Times New Roman" w:hAnsiTheme="minorHAnsi" w:cs="Arial"/>
          <w:color w:val="222222"/>
          <w:sz w:val="18"/>
          <w:szCs w:val="18"/>
          <w:lang w:val="en-GB" w:eastAsia="en-GB"/>
        </w:rPr>
        <w:t>Sisa, Claudia, et al. "Potential role of the gut microbiota in synthetic torpor and therapeutic hypothermia." </w:t>
      </w:r>
      <w:r w:rsidRPr="00C16CF2">
        <w:rPr>
          <w:rFonts w:asciiTheme="minorHAnsi" w:eastAsia="Times New Roman" w:hAnsiTheme="minorHAnsi" w:cs="Arial"/>
          <w:i/>
          <w:iCs/>
          <w:color w:val="222222"/>
          <w:sz w:val="18"/>
          <w:szCs w:val="18"/>
          <w:lang w:val="en-GB" w:eastAsia="en-GB"/>
        </w:rPr>
        <w:t>World journal of gastroenterology</w:t>
      </w:r>
      <w:r w:rsidRPr="00C16CF2">
        <w:rPr>
          <w:rFonts w:asciiTheme="minorHAnsi" w:eastAsia="Times New Roman" w:hAnsiTheme="minorHAnsi" w:cs="Arial"/>
          <w:color w:val="222222"/>
          <w:sz w:val="18"/>
          <w:szCs w:val="18"/>
          <w:lang w:val="en-GB" w:eastAsia="en-GB"/>
        </w:rPr>
        <w:t> 23.3 (2017): 406</w:t>
      </w:r>
      <w:r w:rsidRPr="00C16CF2">
        <w:rPr>
          <w:rFonts w:ascii="Arial" w:eastAsia="Times New Roman" w:hAnsi="Arial" w:cs="Arial"/>
          <w:color w:val="222222"/>
          <w:sz w:val="20"/>
          <w:szCs w:val="20"/>
          <w:lang w:val="en-GB" w:eastAsia="en-GB"/>
        </w:rPr>
        <w:t>.</w:t>
      </w:r>
    </w:p>
    <w:p w14:paraId="367CCF7E" w14:textId="77777777" w:rsidR="00AE3E37" w:rsidRPr="008756E6" w:rsidRDefault="00AE3E37" w:rsidP="008756E6">
      <w:pPr>
        <w:tabs>
          <w:tab w:val="left" w:pos="384"/>
        </w:tabs>
        <w:ind w:right="117"/>
      </w:pPr>
    </w:p>
    <w:p w14:paraId="6D30D62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595B8DF"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5BE1F6C9"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2CCEBEF6" wp14:editId="1280A8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6C56A92" w14:textId="77777777" w:rsidR="00AE3E37" w:rsidRDefault="00546EA5" w:rsidP="00404E5B">
      <w:pPr>
        <w:spacing w:before="92"/>
        <w:ind w:right="4234"/>
        <w:rPr>
          <w:rFonts w:ascii="Arial"/>
        </w:rPr>
      </w:pPr>
      <w:r>
        <w:rPr>
          <w:noProof/>
          <w:lang w:val="en-GB" w:eastAsia="en-GB"/>
        </w:rPr>
        <w:drawing>
          <wp:anchor distT="0" distB="0" distL="114300" distR="114300" simplePos="0" relativeHeight="251658240" behindDoc="0" locked="0" layoutInCell="1" allowOverlap="1" wp14:anchorId="1ECE7415" wp14:editId="714806C5">
            <wp:simplePos x="0" y="0"/>
            <wp:positionH relativeFrom="column">
              <wp:posOffset>406400</wp:posOffset>
            </wp:positionH>
            <wp:positionV relativeFrom="paragraph">
              <wp:posOffset>74295</wp:posOffset>
            </wp:positionV>
            <wp:extent cx="807720" cy="826770"/>
            <wp:effectExtent l="0" t="0" r="5080" b="11430"/>
            <wp:wrapSquare wrapText="bothSides"/>
            <wp:docPr id="2" name="Picture 2" descr="../../../../../Desktop/CRop%20primo%20pi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CRop%20primo%20pian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7720"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14:paraId="5E960594" w14:textId="77777777" w:rsidR="00AE3E37" w:rsidRDefault="00095C6A">
      <w:pPr>
        <w:spacing w:before="41" w:line="154" w:lineRule="exact"/>
        <w:ind w:left="213" w:right="231"/>
        <w:jc w:val="both"/>
        <w:rPr>
          <w:rFonts w:ascii="Arial"/>
          <w:sz w:val="14"/>
        </w:rPr>
      </w:pPr>
      <w:r w:rsidRPr="00095C6A">
        <w:rPr>
          <w:rFonts w:ascii="Arial"/>
          <w:sz w:val="14"/>
        </w:rPr>
        <w:t>Claudia is a BBSRC funded PhD Student based at Institute for Women</w:t>
      </w:r>
      <w:r w:rsidRPr="00095C6A">
        <w:rPr>
          <w:rFonts w:ascii="Arial"/>
          <w:sz w:val="14"/>
        </w:rPr>
        <w:t>’</w:t>
      </w:r>
      <w:r w:rsidRPr="00095C6A">
        <w:rPr>
          <w:rFonts w:ascii="Arial"/>
          <w:sz w:val="14"/>
        </w:rPr>
        <w:t>s Health at University College London. Passionate about neuroscience, Claudia is working on finding new therapeutic approaches for neonatal hypoxia-ischemia brain damage. Exploring several options</w:t>
      </w:r>
      <w:r>
        <w:rPr>
          <w:rFonts w:ascii="Arial"/>
          <w:sz w:val="14"/>
        </w:rPr>
        <w:t xml:space="preserve"> to solve this burden</w:t>
      </w:r>
      <w:r w:rsidRPr="00095C6A">
        <w:rPr>
          <w:rFonts w:ascii="Arial"/>
          <w:sz w:val="14"/>
        </w:rPr>
        <w:t>, Claudia has worked with nanoparticles, peptides and knock-out mice</w:t>
      </w:r>
      <w:r>
        <w:rPr>
          <w:rFonts w:ascii="Arial"/>
          <w:sz w:val="14"/>
        </w:rPr>
        <w:t>, collaborating with other universities and UCL departments</w:t>
      </w:r>
      <w:r w:rsidRPr="00095C6A">
        <w:rPr>
          <w:rFonts w:ascii="Arial"/>
          <w:sz w:val="14"/>
        </w:rPr>
        <w:t>.</w:t>
      </w:r>
    </w:p>
    <w:p w14:paraId="3C60F4DA" w14:textId="77777777" w:rsidR="00546EA5" w:rsidRDefault="00546EA5">
      <w:pPr>
        <w:spacing w:before="41" w:line="154" w:lineRule="exact"/>
        <w:ind w:left="213" w:right="231"/>
        <w:jc w:val="both"/>
        <w:rPr>
          <w:rFonts w:ascii="Arial"/>
          <w:sz w:val="14"/>
        </w:rPr>
      </w:pPr>
    </w:p>
    <w:p w14:paraId="6E9E3339" w14:textId="77777777" w:rsidR="00AE3E37" w:rsidRDefault="00A9710C">
      <w:pPr>
        <w:spacing w:before="62"/>
        <w:ind w:left="4217" w:right="4235"/>
        <w:jc w:val="center"/>
        <w:rPr>
          <w:rFonts w:ascii="Arial"/>
          <w:sz w:val="14"/>
        </w:rPr>
      </w:pPr>
      <w:r>
        <w:rPr>
          <w:rFonts w:ascii="Arial"/>
          <w:sz w:val="14"/>
        </w:rPr>
        <w:t xml:space="preserve">Email: </w:t>
      </w:r>
      <w:r w:rsidR="00095C6A">
        <w:rPr>
          <w:rFonts w:ascii="Arial"/>
          <w:sz w:val="14"/>
        </w:rPr>
        <w:t>claudia.sisa.16@ucl.ac.uk</w:t>
      </w:r>
    </w:p>
    <w:p w14:paraId="461FFE5A"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30CFCE48" wp14:editId="2F296E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46DAB38" w14:textId="77777777" w:rsidR="00AE3E37" w:rsidRDefault="00AE3E37">
      <w:pPr>
        <w:pStyle w:val="BodyText"/>
        <w:rPr>
          <w:rFonts w:ascii="Arial"/>
          <w:sz w:val="20"/>
        </w:rPr>
      </w:pPr>
    </w:p>
    <w:p w14:paraId="0E4E6C19" w14:textId="77777777" w:rsidR="00AE3E37" w:rsidRDefault="00AE3E37">
      <w:pPr>
        <w:pStyle w:val="BodyText"/>
        <w:rPr>
          <w:rFonts w:ascii="Arial"/>
          <w:sz w:val="20"/>
        </w:rPr>
      </w:pPr>
    </w:p>
    <w:p w14:paraId="7195AC02" w14:textId="77777777" w:rsidR="00AE3E37" w:rsidRDefault="00AE3E37">
      <w:pPr>
        <w:pStyle w:val="BodyText"/>
        <w:spacing w:before="7"/>
        <w:rPr>
          <w:rFonts w:ascii="Arial"/>
          <w:sz w:val="29"/>
        </w:rPr>
      </w:pPr>
    </w:p>
    <w:p w14:paraId="15F4BA05" w14:textId="77777777" w:rsidR="00AE3E37" w:rsidRPr="00B21A57" w:rsidRDefault="00A9710C">
      <w:pPr>
        <w:spacing w:before="39"/>
        <w:ind w:left="100"/>
        <w:rPr>
          <w:rFonts w:ascii="Minion Pro"/>
          <w:b/>
          <w:sz w:val="20"/>
        </w:rPr>
      </w:pPr>
      <w:r w:rsidRPr="00B21A57">
        <w:rPr>
          <w:rFonts w:ascii="Minion Pro"/>
          <w:b/>
          <w:sz w:val="20"/>
        </w:rPr>
        <w:t>Notes/Comments:</w:t>
      </w:r>
    </w:p>
    <w:p w14:paraId="68911DD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33B58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CFBB0" w14:textId="77777777" w:rsidR="00B345F7" w:rsidRDefault="00B345F7">
      <w:r>
        <w:separator/>
      </w:r>
    </w:p>
  </w:endnote>
  <w:endnote w:type="continuationSeparator" w:id="0">
    <w:p w14:paraId="0721181C" w14:textId="77777777" w:rsidR="00B345F7" w:rsidRDefault="00B34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7EA573"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20AC093C" wp14:editId="02EAF59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D50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98E34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C093C"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91D50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98E34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ADCCE45" wp14:editId="53E1DE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E01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BBAF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CCE4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549E01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BBAF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B2E0023" wp14:editId="4EC811C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9135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766DF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E002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DF9135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766DF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34701" w14:textId="77777777" w:rsidR="00B345F7" w:rsidRDefault="00B345F7">
      <w:r>
        <w:separator/>
      </w:r>
    </w:p>
  </w:footnote>
  <w:footnote w:type="continuationSeparator" w:id="0">
    <w:p w14:paraId="70416C2C" w14:textId="77777777" w:rsidR="00B345F7" w:rsidRDefault="00B345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C6944"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2C0DFF1" wp14:editId="5C5BEC3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01CE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C0DFF1"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C601CE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4D825871" wp14:editId="1C87CC0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A74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C8A54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2587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6F7A74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C8A54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5C6A"/>
    <w:rsid w:val="000D24E9"/>
    <w:rsid w:val="000E2911"/>
    <w:rsid w:val="001263DF"/>
    <w:rsid w:val="001E763C"/>
    <w:rsid w:val="00292ED9"/>
    <w:rsid w:val="00314AFB"/>
    <w:rsid w:val="003B76D9"/>
    <w:rsid w:val="00404E5B"/>
    <w:rsid w:val="00414F7B"/>
    <w:rsid w:val="004355DC"/>
    <w:rsid w:val="004749B4"/>
    <w:rsid w:val="00494130"/>
    <w:rsid w:val="004F3523"/>
    <w:rsid w:val="00546EA5"/>
    <w:rsid w:val="0057087F"/>
    <w:rsid w:val="005973B9"/>
    <w:rsid w:val="005B3A56"/>
    <w:rsid w:val="006060CE"/>
    <w:rsid w:val="0063497F"/>
    <w:rsid w:val="00715FF4"/>
    <w:rsid w:val="0078738A"/>
    <w:rsid w:val="00803DFD"/>
    <w:rsid w:val="00873DF0"/>
    <w:rsid w:val="008756E6"/>
    <w:rsid w:val="009B2D44"/>
    <w:rsid w:val="00A07E82"/>
    <w:rsid w:val="00A9710C"/>
    <w:rsid w:val="00AE3E37"/>
    <w:rsid w:val="00B21A57"/>
    <w:rsid w:val="00B345F7"/>
    <w:rsid w:val="00B85F9A"/>
    <w:rsid w:val="00BC324D"/>
    <w:rsid w:val="00C16CF2"/>
    <w:rsid w:val="00C33602"/>
    <w:rsid w:val="00CD6F55"/>
    <w:rsid w:val="00D016ED"/>
    <w:rsid w:val="00D62425"/>
    <w:rsid w:val="00D86202"/>
    <w:rsid w:val="00DE3104"/>
    <w:rsid w:val="00F72EEA"/>
    <w:rsid w:val="00F8136A"/>
    <w:rsid w:val="00F84CAE"/>
    <w:rsid w:val="00F864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122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86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2410">
      <w:bodyDiv w:val="1"/>
      <w:marLeft w:val="0"/>
      <w:marRight w:val="0"/>
      <w:marTop w:val="0"/>
      <w:marBottom w:val="0"/>
      <w:divBdr>
        <w:top w:val="none" w:sz="0" w:space="0" w:color="auto"/>
        <w:left w:val="none" w:sz="0" w:space="0" w:color="auto"/>
        <w:bottom w:val="none" w:sz="0" w:space="0" w:color="auto"/>
        <w:right w:val="none" w:sz="0" w:space="0" w:color="auto"/>
      </w:divBdr>
    </w:div>
    <w:div w:id="462426647">
      <w:bodyDiv w:val="1"/>
      <w:marLeft w:val="0"/>
      <w:marRight w:val="0"/>
      <w:marTop w:val="0"/>
      <w:marBottom w:val="0"/>
      <w:divBdr>
        <w:top w:val="none" w:sz="0" w:space="0" w:color="auto"/>
        <w:left w:val="none" w:sz="0" w:space="0" w:color="auto"/>
        <w:bottom w:val="none" w:sz="0" w:space="0" w:color="auto"/>
        <w:right w:val="none" w:sz="0" w:space="0" w:color="auto"/>
      </w:divBdr>
      <w:divsChild>
        <w:div w:id="1851410565">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6025253">
      <w:bodyDiv w:val="1"/>
      <w:marLeft w:val="0"/>
      <w:marRight w:val="0"/>
      <w:marTop w:val="0"/>
      <w:marBottom w:val="0"/>
      <w:divBdr>
        <w:top w:val="none" w:sz="0" w:space="0" w:color="auto"/>
        <w:left w:val="none" w:sz="0" w:space="0" w:color="auto"/>
        <w:bottom w:val="none" w:sz="0" w:space="0" w:color="auto"/>
        <w:right w:val="none" w:sz="0" w:space="0" w:color="auto"/>
      </w:divBdr>
    </w:div>
    <w:div w:id="834733640">
      <w:bodyDiv w:val="1"/>
      <w:marLeft w:val="0"/>
      <w:marRight w:val="0"/>
      <w:marTop w:val="0"/>
      <w:marBottom w:val="0"/>
      <w:divBdr>
        <w:top w:val="none" w:sz="0" w:space="0" w:color="auto"/>
        <w:left w:val="none" w:sz="0" w:space="0" w:color="auto"/>
        <w:bottom w:val="none" w:sz="0" w:space="0" w:color="auto"/>
        <w:right w:val="none" w:sz="0" w:space="0" w:color="auto"/>
      </w:divBdr>
      <w:divsChild>
        <w:div w:id="1036782221">
          <w:marLeft w:val="0"/>
          <w:marRight w:val="0"/>
          <w:marTop w:val="0"/>
          <w:marBottom w:val="0"/>
          <w:divBdr>
            <w:top w:val="none" w:sz="0" w:space="0" w:color="auto"/>
            <w:left w:val="none" w:sz="0" w:space="0" w:color="auto"/>
            <w:bottom w:val="none" w:sz="0" w:space="0" w:color="auto"/>
            <w:right w:val="none" w:sz="0" w:space="0" w:color="auto"/>
          </w:divBdr>
        </w:div>
      </w:divsChild>
    </w:div>
    <w:div w:id="1181772658">
      <w:bodyDiv w:val="1"/>
      <w:marLeft w:val="0"/>
      <w:marRight w:val="0"/>
      <w:marTop w:val="0"/>
      <w:marBottom w:val="0"/>
      <w:divBdr>
        <w:top w:val="none" w:sz="0" w:space="0" w:color="auto"/>
        <w:left w:val="none" w:sz="0" w:space="0" w:color="auto"/>
        <w:bottom w:val="none" w:sz="0" w:space="0" w:color="auto"/>
        <w:right w:val="none" w:sz="0" w:space="0" w:color="auto"/>
      </w:divBdr>
    </w:div>
    <w:div w:id="132057235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367451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77E7478-BE69-6647-8FA9-AD56993F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2018-09-14T10:48:00Z</dcterms:created>
  <dcterms:modified xsi:type="dcterms:W3CDTF">2018-09-14T10:48:00Z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43eea34f-5439-3481-94ee-db403013c472</vt:lpwstr>
  </property>
</Properties>
</file>