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4204B" w14:textId="4114A959" w:rsidR="00E5741F" w:rsidRDefault="00847AAA" w:rsidP="00847AAA">
      <w:pPr>
        <w:widowControl w:val="0"/>
        <w:spacing w:line="480" w:lineRule="auto"/>
        <w:rPr>
          <w:rFonts w:asciiTheme="majorHAnsi" w:hAnsiTheme="majorHAnsi"/>
          <w:b/>
          <w:iCs/>
          <w:noProof w:val="0"/>
          <w:lang w:val="en-US"/>
        </w:rPr>
      </w:pPr>
      <w:r w:rsidRPr="00EA4538">
        <w:rPr>
          <w:rFonts w:ascii="Arial" w:hAnsi="Arial" w:cs="Arial"/>
          <w:b/>
          <w:lang w:val="en-US"/>
        </w:rPr>
        <w:t xml:space="preserve">Stem cell therapies in preclinical models of stroke. </w:t>
      </w:r>
      <w:r w:rsidR="009304B7">
        <w:rPr>
          <w:rFonts w:asciiTheme="majorHAnsi" w:hAnsiTheme="majorHAnsi"/>
          <w:b/>
          <w:iCs/>
          <w:noProof w:val="0"/>
          <w:lang w:val="en-US"/>
        </w:rPr>
        <w:t xml:space="preserve">Is the aged brain microenvironment refractory to cell therapy? </w:t>
      </w:r>
    </w:p>
    <w:p w14:paraId="6C47BD3A" w14:textId="0B146C22" w:rsidR="008B5662" w:rsidRPr="001E5699" w:rsidRDefault="008B5662" w:rsidP="008B5662">
      <w:pPr>
        <w:jc w:val="both"/>
        <w:rPr>
          <w:rFonts w:ascii="Calibri" w:hAnsi="Calibri"/>
          <w:b/>
          <w:bCs/>
          <w:lang w:val="en-GB"/>
        </w:rPr>
      </w:pPr>
      <w:r w:rsidRPr="00380E32">
        <w:rPr>
          <w:rFonts w:ascii="Calibri" w:hAnsi="Calibri"/>
          <w:lang w:val="en-GB"/>
        </w:rPr>
        <w:t>Aurel Popa-Wagner</w:t>
      </w:r>
      <w:r w:rsidRPr="00380E32">
        <w:rPr>
          <w:rFonts w:ascii="Calibri" w:hAnsi="Calibri"/>
          <w:vertAlign w:val="superscript"/>
          <w:lang w:val="en-GB"/>
        </w:rPr>
        <w:t>1</w:t>
      </w:r>
    </w:p>
    <w:p w14:paraId="17334E23" w14:textId="77777777" w:rsidR="008B5662" w:rsidRPr="00380E32" w:rsidRDefault="008B5662" w:rsidP="008B5662">
      <w:pPr>
        <w:jc w:val="both"/>
        <w:rPr>
          <w:rFonts w:ascii="Calibri" w:hAnsi="Calibri"/>
          <w:b/>
          <w:bCs/>
          <w:lang w:val="en-GB"/>
        </w:rPr>
      </w:pPr>
      <w:r w:rsidRPr="00380E32">
        <w:rPr>
          <w:rFonts w:ascii="Calibri" w:hAnsi="Calibri"/>
          <w:vertAlign w:val="superscript"/>
          <w:lang w:val="en-GB"/>
        </w:rPr>
        <w:t>1</w:t>
      </w:r>
      <w:r w:rsidRPr="00380E32">
        <w:rPr>
          <w:rFonts w:ascii="Calibri" w:hAnsi="Calibri"/>
          <w:lang w:val="en-GB"/>
        </w:rPr>
        <w:t>Department of Psychiatry, University Medicine of Rostock, Rostock, Germany</w:t>
      </w:r>
    </w:p>
    <w:p w14:paraId="26495621" w14:textId="77777777" w:rsidR="008B5662" w:rsidRDefault="008B5662" w:rsidP="008B5662">
      <w:pPr>
        <w:spacing w:line="480" w:lineRule="auto"/>
        <w:contextualSpacing/>
        <w:rPr>
          <w:rFonts w:asciiTheme="majorHAnsi" w:hAnsiTheme="majorHAnsi"/>
          <w:b/>
          <w:bCs/>
          <w:noProof w:val="0"/>
          <w:lang w:val="en-US"/>
        </w:rPr>
      </w:pPr>
    </w:p>
    <w:p w14:paraId="6679F96A" w14:textId="1A96EB1A" w:rsidR="008B5662" w:rsidRPr="00380E32" w:rsidRDefault="008B5662" w:rsidP="008B5662">
      <w:pPr>
        <w:jc w:val="both"/>
        <w:rPr>
          <w:rFonts w:ascii="Calibri" w:hAnsi="Calibri" w:cs="Calibri"/>
          <w:lang w:val="en-GB"/>
        </w:rPr>
      </w:pPr>
      <w:r w:rsidRPr="00380E32">
        <w:rPr>
          <w:rFonts w:ascii="Calibri" w:hAnsi="Calibri" w:cs="Calibri"/>
          <w:lang w:val="en-GB"/>
        </w:rPr>
        <w:t xml:space="preserve">*Correspondence to: </w:t>
      </w:r>
      <w:r w:rsidR="00260989">
        <w:rPr>
          <w:rFonts w:ascii="Calibri" w:hAnsi="Calibri" w:cs="Calibri"/>
          <w:lang w:val="en-GB"/>
        </w:rPr>
        <w:t xml:space="preserve">Prof. dr. </w:t>
      </w:r>
      <w:r w:rsidRPr="00380E32">
        <w:rPr>
          <w:rFonts w:ascii="Calibri" w:hAnsi="Calibri" w:cs="Calibri"/>
          <w:lang w:val="en-GB"/>
        </w:rPr>
        <w:t>Aurel Popa-Wagner</w:t>
      </w:r>
    </w:p>
    <w:p w14:paraId="75DB7349" w14:textId="77777777" w:rsidR="00EA4538" w:rsidRDefault="008B5662" w:rsidP="008B5662">
      <w:pPr>
        <w:jc w:val="both"/>
        <w:rPr>
          <w:rFonts w:ascii="Calibri" w:hAnsi="Calibri" w:cs="Calibri"/>
          <w:lang w:val="en-GB"/>
        </w:rPr>
      </w:pPr>
      <w:r w:rsidRPr="00380E32">
        <w:rPr>
          <w:rFonts w:ascii="Calibri" w:hAnsi="Calibri" w:cs="Calibri"/>
          <w:lang w:val="en-GB"/>
        </w:rPr>
        <w:t xml:space="preserve">Department of </w:t>
      </w:r>
      <w:r w:rsidR="00EA4538">
        <w:rPr>
          <w:rFonts w:ascii="Calibri" w:hAnsi="Calibri" w:cs="Calibri"/>
          <w:lang w:val="en-GB"/>
        </w:rPr>
        <w:t>Neurology</w:t>
      </w:r>
    </w:p>
    <w:p w14:paraId="70625802" w14:textId="418BCD09" w:rsidR="008B5662" w:rsidRPr="00380E32" w:rsidRDefault="00EA4538" w:rsidP="008B5662">
      <w:pPr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University of </w:t>
      </w:r>
      <w:r w:rsidR="008B5662" w:rsidRPr="00380E32">
        <w:rPr>
          <w:rFonts w:ascii="Calibri" w:hAnsi="Calibri" w:cs="Calibri"/>
          <w:lang w:val="en-GB"/>
        </w:rPr>
        <w:t xml:space="preserve">Medicine </w:t>
      </w:r>
      <w:r>
        <w:rPr>
          <w:rFonts w:ascii="Calibri" w:hAnsi="Calibri" w:cs="Calibri"/>
          <w:lang w:val="en-GB"/>
        </w:rPr>
        <w:t>Essen</w:t>
      </w:r>
    </w:p>
    <w:p w14:paraId="07D73247" w14:textId="530AE268" w:rsidR="008B5662" w:rsidRPr="00380E32" w:rsidRDefault="00EA4538" w:rsidP="008B5662">
      <w:pPr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Hufenlandstr.</w:t>
      </w:r>
      <w:r w:rsidR="008B5662" w:rsidRPr="00380E32">
        <w:rPr>
          <w:rFonts w:ascii="Calibri" w:hAnsi="Calibri" w:cs="Calibri"/>
          <w:lang w:val="en-GB"/>
        </w:rPr>
        <w:t xml:space="preserve"> 20</w:t>
      </w:r>
    </w:p>
    <w:p w14:paraId="65B0707C" w14:textId="06898AC0" w:rsidR="008B5662" w:rsidRPr="00380E32" w:rsidRDefault="00EA4538" w:rsidP="008B5662">
      <w:pPr>
        <w:jc w:val="both"/>
        <w:rPr>
          <w:rFonts w:ascii="Calibri" w:hAnsi="Calibri" w:cs="Calibri"/>
          <w:b/>
          <w:lang w:val="en-GB"/>
        </w:rPr>
      </w:pPr>
      <w:r>
        <w:rPr>
          <w:rFonts w:ascii="Calibri" w:hAnsi="Calibri" w:cs="Calibri"/>
          <w:lang w:val="en-GB"/>
        </w:rPr>
        <w:t>Essen</w:t>
      </w:r>
      <w:r w:rsidR="008B5662" w:rsidRPr="00380E32">
        <w:rPr>
          <w:rFonts w:ascii="Calibri" w:hAnsi="Calibri" w:cs="Calibri"/>
          <w:lang w:val="en-GB"/>
        </w:rPr>
        <w:t>, Germany</w:t>
      </w:r>
    </w:p>
    <w:p w14:paraId="1FD42861" w14:textId="77777777" w:rsidR="008B5662" w:rsidRPr="008B5662" w:rsidRDefault="008B5662" w:rsidP="008B5662">
      <w:pPr>
        <w:spacing w:line="480" w:lineRule="auto"/>
        <w:contextualSpacing/>
        <w:rPr>
          <w:rFonts w:asciiTheme="majorHAnsi" w:hAnsiTheme="majorHAnsi"/>
          <w:b/>
          <w:bCs/>
          <w:noProof w:val="0"/>
          <w:lang w:val="en-US"/>
        </w:rPr>
      </w:pPr>
    </w:p>
    <w:p w14:paraId="291DC2D8" w14:textId="77777777" w:rsidR="00E5741F" w:rsidRPr="008B5662" w:rsidRDefault="00E5741F" w:rsidP="00E5741F">
      <w:pPr>
        <w:spacing w:line="480" w:lineRule="auto"/>
        <w:contextualSpacing/>
        <w:rPr>
          <w:rFonts w:asciiTheme="majorHAnsi" w:hAnsiTheme="majorHAnsi"/>
          <w:b/>
          <w:noProof w:val="0"/>
          <w:lang w:val="en-US"/>
        </w:rPr>
      </w:pPr>
      <w:r w:rsidRPr="008B5662">
        <w:rPr>
          <w:rFonts w:asciiTheme="majorHAnsi" w:hAnsiTheme="majorHAnsi"/>
          <w:b/>
          <w:noProof w:val="0"/>
          <w:lang w:val="en-US"/>
        </w:rPr>
        <w:t>ABST</w:t>
      </w:r>
      <w:r w:rsidR="00E75592">
        <w:rPr>
          <w:rFonts w:asciiTheme="majorHAnsi" w:hAnsiTheme="majorHAnsi"/>
          <w:b/>
          <w:noProof w:val="0"/>
          <w:lang w:val="en-US"/>
        </w:rPr>
        <w:t>R</w:t>
      </w:r>
      <w:r w:rsidRPr="008B5662">
        <w:rPr>
          <w:rFonts w:asciiTheme="majorHAnsi" w:hAnsiTheme="majorHAnsi"/>
          <w:b/>
          <w:noProof w:val="0"/>
          <w:lang w:val="en-US"/>
        </w:rPr>
        <w:t>ACT</w:t>
      </w:r>
    </w:p>
    <w:p w14:paraId="2B17C44B" w14:textId="76AC1006" w:rsidR="00E5741F" w:rsidRPr="008B5662" w:rsidRDefault="00743DE7" w:rsidP="001C19B9">
      <w:pPr>
        <w:autoSpaceDE w:val="0"/>
        <w:autoSpaceDN w:val="0"/>
        <w:spacing w:line="480" w:lineRule="auto"/>
        <w:contextualSpacing/>
        <w:jc w:val="both"/>
        <w:rPr>
          <w:rFonts w:asciiTheme="majorHAnsi" w:hAnsiTheme="majorHAnsi"/>
          <w:noProof w:val="0"/>
          <w:lang w:val="en-US"/>
        </w:rPr>
      </w:pPr>
      <w:r w:rsidRPr="008B5662">
        <w:rPr>
          <w:rFonts w:asciiTheme="majorHAnsi" w:hAnsiTheme="majorHAnsi"/>
          <w:lang w:val="en-GB"/>
        </w:rPr>
        <w:t>Attractive therapeutic strategies to enhance post-stroke recovery of aged brains include methods of cellular therapy that can enhance the endogenous restorative mechanisms of the injured brain</w:t>
      </w:r>
      <w:r w:rsidR="00E5741F" w:rsidRPr="008B5662">
        <w:rPr>
          <w:rFonts w:asciiTheme="majorHAnsi" w:hAnsiTheme="majorHAnsi"/>
          <w:noProof w:val="0"/>
          <w:lang w:val="en-US"/>
        </w:rPr>
        <w:t xml:space="preserve">. The translational failure of experimental therapies </w:t>
      </w:r>
      <w:r w:rsidR="009304B7">
        <w:rPr>
          <w:rFonts w:asciiTheme="majorHAnsi" w:hAnsiTheme="majorHAnsi"/>
          <w:noProof w:val="0"/>
          <w:lang w:val="en-US"/>
        </w:rPr>
        <w:t xml:space="preserve">in </w:t>
      </w:r>
      <w:r w:rsidR="00F15F4F">
        <w:rPr>
          <w:rFonts w:asciiTheme="majorHAnsi" w:hAnsiTheme="majorHAnsi"/>
          <w:noProof w:val="0"/>
          <w:lang w:val="en-US"/>
        </w:rPr>
        <w:t xml:space="preserve">post-stroke </w:t>
      </w:r>
      <w:r w:rsidR="009304B7">
        <w:rPr>
          <w:rFonts w:asciiTheme="majorHAnsi" w:hAnsiTheme="majorHAnsi"/>
          <w:noProof w:val="0"/>
          <w:lang w:val="en-US"/>
        </w:rPr>
        <w:t>aged subjects migh</w:t>
      </w:r>
      <w:r w:rsidR="009B00E5">
        <w:rPr>
          <w:rFonts w:asciiTheme="majorHAnsi" w:hAnsiTheme="majorHAnsi"/>
          <w:noProof w:val="0"/>
          <w:lang w:val="en-US"/>
        </w:rPr>
        <w:t xml:space="preserve">t </w:t>
      </w:r>
      <w:r w:rsidR="00E5741F" w:rsidRPr="008B5662">
        <w:rPr>
          <w:rFonts w:asciiTheme="majorHAnsi" w:hAnsiTheme="majorHAnsi"/>
          <w:noProof w:val="0"/>
          <w:lang w:val="en-US"/>
        </w:rPr>
        <w:t xml:space="preserve">at least partially be related to </w:t>
      </w:r>
      <w:r w:rsidR="009B00E5">
        <w:rPr>
          <w:rFonts w:asciiTheme="majorHAnsi" w:hAnsiTheme="majorHAnsi"/>
          <w:noProof w:val="0"/>
          <w:lang w:val="en-US"/>
        </w:rPr>
        <w:t>the aged brain microenvironment.</w:t>
      </w:r>
      <w:r w:rsidR="00E5741F" w:rsidRPr="008B5662">
        <w:rPr>
          <w:rFonts w:asciiTheme="majorHAnsi" w:hAnsiTheme="majorHAnsi"/>
          <w:noProof w:val="0"/>
          <w:lang w:val="en-US"/>
        </w:rPr>
        <w:t xml:space="preserve"> </w:t>
      </w:r>
      <w:r w:rsidR="00F15F4F">
        <w:rPr>
          <w:rFonts w:asciiTheme="majorHAnsi" w:hAnsiTheme="majorHAnsi"/>
          <w:noProof w:val="0"/>
          <w:lang w:val="en-US"/>
        </w:rPr>
        <w:t>However,</w:t>
      </w:r>
      <w:r w:rsidR="00E75592">
        <w:rPr>
          <w:rFonts w:asciiTheme="majorHAnsi" w:hAnsiTheme="majorHAnsi"/>
          <w:noProof w:val="0"/>
          <w:lang w:val="en-US"/>
        </w:rPr>
        <w:t xml:space="preserve"> we have shown that G-CSF alone is effective in </w:t>
      </w:r>
      <w:r w:rsidR="008565B6">
        <w:rPr>
          <w:rFonts w:asciiTheme="majorHAnsi" w:hAnsiTheme="majorHAnsi"/>
          <w:noProof w:val="0"/>
          <w:lang w:val="en-US"/>
        </w:rPr>
        <w:t xml:space="preserve">improving behavioral recovery after stroke in aged rats. </w:t>
      </w:r>
      <w:r w:rsidR="001C19B9">
        <w:rPr>
          <w:rFonts w:asciiTheme="majorHAnsi" w:hAnsiTheme="majorHAnsi"/>
          <w:noProof w:val="0"/>
          <w:lang w:val="en-US"/>
        </w:rPr>
        <w:t xml:space="preserve">In subsequent </w:t>
      </w:r>
      <w:proofErr w:type="gramStart"/>
      <w:r w:rsidR="001C19B9">
        <w:rPr>
          <w:rFonts w:asciiTheme="majorHAnsi" w:hAnsiTheme="majorHAnsi"/>
          <w:noProof w:val="0"/>
          <w:lang w:val="en-US"/>
        </w:rPr>
        <w:t>experiments</w:t>
      </w:r>
      <w:proofErr w:type="gramEnd"/>
      <w:r w:rsidR="00E5741F" w:rsidRPr="008B5662">
        <w:rPr>
          <w:rFonts w:asciiTheme="majorHAnsi" w:hAnsiTheme="majorHAnsi"/>
          <w:noProof w:val="0"/>
          <w:lang w:val="en-US"/>
        </w:rPr>
        <w:t xml:space="preserve"> we tested the hypothesis that treating post-stroke aged rats with the combination of bone marrow-derived mononuclear cells (BM MNC) </w:t>
      </w:r>
      <w:r w:rsidR="00023C96" w:rsidRPr="008B5662">
        <w:rPr>
          <w:rFonts w:asciiTheme="majorHAnsi" w:hAnsiTheme="majorHAnsi"/>
          <w:noProof w:val="0"/>
          <w:lang w:val="en-US"/>
        </w:rPr>
        <w:t xml:space="preserve">or bone marrow-derived mesenchymal cells BM MSC </w:t>
      </w:r>
      <w:r w:rsidR="00E5741F" w:rsidRPr="008B5662">
        <w:rPr>
          <w:rFonts w:asciiTheme="majorHAnsi" w:hAnsiTheme="majorHAnsi"/>
          <w:noProof w:val="0"/>
          <w:lang w:val="en-US"/>
        </w:rPr>
        <w:t xml:space="preserve">and G-CSF </w:t>
      </w:r>
      <w:r w:rsidR="008565B6">
        <w:rPr>
          <w:rFonts w:asciiTheme="majorHAnsi" w:hAnsiTheme="majorHAnsi"/>
          <w:noProof w:val="0"/>
          <w:lang w:val="en-US"/>
        </w:rPr>
        <w:t>migh</w:t>
      </w:r>
      <w:r w:rsidR="00B32696">
        <w:rPr>
          <w:rFonts w:asciiTheme="majorHAnsi" w:hAnsiTheme="majorHAnsi"/>
          <w:noProof w:val="0"/>
          <w:lang w:val="en-US"/>
        </w:rPr>
        <w:t>t</w:t>
      </w:r>
      <w:r w:rsidR="008565B6">
        <w:rPr>
          <w:rFonts w:asciiTheme="majorHAnsi" w:hAnsiTheme="majorHAnsi"/>
          <w:noProof w:val="0"/>
          <w:lang w:val="en-US"/>
        </w:rPr>
        <w:t xml:space="preserve"> improve</w:t>
      </w:r>
      <w:r w:rsidR="00E5741F" w:rsidRPr="008B5662">
        <w:rPr>
          <w:rFonts w:asciiTheme="majorHAnsi" w:hAnsiTheme="majorHAnsi"/>
          <w:noProof w:val="0"/>
          <w:lang w:val="en-US"/>
        </w:rPr>
        <w:t xml:space="preserve"> the long term (56 days) functional outcome. </w:t>
      </w:r>
      <w:r w:rsidR="00E5741F" w:rsidRPr="008B5662">
        <w:rPr>
          <w:rFonts w:asciiTheme="majorHAnsi" w:hAnsiTheme="majorHAnsi"/>
          <w:noProof w:val="0"/>
          <w:color w:val="000000"/>
          <w:lang w:val="en-US"/>
        </w:rPr>
        <w:t>To this end, 1x10</w:t>
      </w:r>
      <w:r w:rsidR="00E5741F" w:rsidRPr="008B5662">
        <w:rPr>
          <w:rFonts w:asciiTheme="majorHAnsi" w:hAnsiTheme="majorHAnsi"/>
          <w:noProof w:val="0"/>
          <w:color w:val="000000"/>
          <w:vertAlign w:val="superscript"/>
          <w:lang w:val="en-US"/>
        </w:rPr>
        <w:t>6</w:t>
      </w:r>
      <w:r w:rsidR="00E5741F" w:rsidRPr="008B5662">
        <w:rPr>
          <w:rFonts w:asciiTheme="majorHAnsi" w:hAnsiTheme="majorHAnsi"/>
          <w:noProof w:val="0"/>
          <w:color w:val="000000"/>
          <w:lang w:val="en-US"/>
        </w:rPr>
        <w:t xml:space="preserve"> syngeneic </w:t>
      </w:r>
      <w:r w:rsidRPr="008B5662">
        <w:rPr>
          <w:rFonts w:asciiTheme="majorHAnsi" w:hAnsiTheme="majorHAnsi"/>
          <w:noProof w:val="0"/>
          <w:color w:val="000000"/>
          <w:lang w:val="en-US"/>
        </w:rPr>
        <w:t xml:space="preserve">BM MSC and </w:t>
      </w:r>
      <w:r w:rsidR="00E5741F" w:rsidRPr="008B5662">
        <w:rPr>
          <w:rFonts w:asciiTheme="majorHAnsi" w:hAnsiTheme="majorHAnsi"/>
          <w:noProof w:val="0"/>
          <w:color w:val="000000"/>
          <w:lang w:val="en-US"/>
        </w:rPr>
        <w:t xml:space="preserve">BM MNC per kg bodyweight (BW) in combination with G-CSF (50µg/kg, continued for 28 days) were administered via the jugular vein to Sprague-Dawley rats six hours post-stroke. Infarct volume was measured by magnetic resonance imaging 3 and 48 days post-stroke and additionally by </w:t>
      </w:r>
      <w:proofErr w:type="spellStart"/>
      <w:r w:rsidR="00E5741F" w:rsidRPr="008B5662">
        <w:rPr>
          <w:rFonts w:asciiTheme="majorHAnsi" w:hAnsiTheme="majorHAnsi"/>
          <w:noProof w:val="0"/>
          <w:color w:val="000000"/>
          <w:lang w:val="en-US"/>
        </w:rPr>
        <w:t>immunhistochemistry</w:t>
      </w:r>
      <w:proofErr w:type="spellEnd"/>
      <w:r w:rsidR="00E5741F" w:rsidRPr="008B5662">
        <w:rPr>
          <w:rFonts w:asciiTheme="majorHAnsi" w:hAnsiTheme="majorHAnsi"/>
          <w:noProof w:val="0"/>
          <w:color w:val="000000"/>
          <w:lang w:val="en-US"/>
        </w:rPr>
        <w:t xml:space="preserve"> at day 56. Functional recovery was tested during the e</w:t>
      </w:r>
      <w:r w:rsidR="008B5662" w:rsidRPr="008B5662">
        <w:rPr>
          <w:rFonts w:asciiTheme="majorHAnsi" w:hAnsiTheme="majorHAnsi"/>
          <w:noProof w:val="0"/>
          <w:color w:val="000000"/>
          <w:lang w:val="en-US"/>
        </w:rPr>
        <w:t>ntire recovery period.</w:t>
      </w:r>
      <w:r w:rsidR="00E5741F" w:rsidRPr="008B5662">
        <w:rPr>
          <w:rFonts w:asciiTheme="majorHAnsi" w:hAnsiTheme="majorHAnsi"/>
          <w:noProof w:val="0"/>
          <w:lang w:val="en-US"/>
        </w:rPr>
        <w:t xml:space="preserve"> Daily G-CSF treatment led to robust and consistent improvement of neurological function, but did not alter final infarct volumes. The combination of G-CSF and </w:t>
      </w:r>
      <w:r w:rsidR="00E5741F" w:rsidRPr="008B5662">
        <w:rPr>
          <w:rFonts w:asciiTheme="majorHAnsi" w:hAnsiTheme="majorHAnsi"/>
          <w:noProof w:val="0"/>
          <w:color w:val="000000"/>
          <w:lang w:val="en-US"/>
        </w:rPr>
        <w:t>BM MNC</w:t>
      </w:r>
      <w:r w:rsidR="00E5741F" w:rsidRPr="008B5662">
        <w:rPr>
          <w:rFonts w:asciiTheme="majorHAnsi" w:hAnsiTheme="majorHAnsi"/>
          <w:noProof w:val="0"/>
          <w:lang w:val="en-US"/>
        </w:rPr>
        <w:t xml:space="preserve">, did not further improve post-stroke recovery. The lack of an additional benefit </w:t>
      </w:r>
      <w:r w:rsidR="00E5741F" w:rsidRPr="008B5662">
        <w:rPr>
          <w:rFonts w:asciiTheme="majorHAnsi" w:hAnsiTheme="majorHAnsi"/>
          <w:noProof w:val="0"/>
          <w:lang w:val="en-US"/>
        </w:rPr>
        <w:lastRenderedPageBreak/>
        <w:t xml:space="preserve">may be due to </w:t>
      </w:r>
      <w:proofErr w:type="gramStart"/>
      <w:r w:rsidR="00E5741F" w:rsidRPr="008B5662">
        <w:rPr>
          <w:rFonts w:asciiTheme="majorHAnsi" w:hAnsiTheme="majorHAnsi"/>
          <w:noProof w:val="0"/>
          <w:lang w:val="en-US"/>
        </w:rPr>
        <w:t>an</w:t>
      </w:r>
      <w:proofErr w:type="gramEnd"/>
      <w:r w:rsidR="00E5741F" w:rsidRPr="008B5662">
        <w:rPr>
          <w:rFonts w:asciiTheme="majorHAnsi" w:hAnsiTheme="majorHAnsi"/>
          <w:noProof w:val="0"/>
          <w:lang w:val="en-US"/>
        </w:rPr>
        <w:t xml:space="preserve"> hitherto not well investigated interaction between both approaches and, to a minor extent, to the insensitivity of the aged brains to regenerative mechanisms.</w:t>
      </w:r>
      <w:r w:rsidR="00A61BF0">
        <w:rPr>
          <w:rFonts w:asciiTheme="majorHAnsi" w:hAnsiTheme="majorHAnsi"/>
          <w:noProof w:val="0"/>
          <w:lang w:val="en-US"/>
        </w:rPr>
        <w:t xml:space="preserve"> </w:t>
      </w:r>
      <w:r w:rsidR="00E5741F" w:rsidRPr="008B5662">
        <w:rPr>
          <w:rFonts w:asciiTheme="majorHAnsi" w:hAnsiTheme="majorHAnsi"/>
          <w:noProof w:val="0"/>
          <w:lang w:val="en-US"/>
        </w:rPr>
        <w:t xml:space="preserve">Also considering recent findings on other approaches involving </w:t>
      </w:r>
      <w:r w:rsidR="00525AE6">
        <w:rPr>
          <w:rFonts w:asciiTheme="majorHAnsi" w:hAnsiTheme="majorHAnsi"/>
          <w:noProof w:val="0"/>
          <w:lang w:val="en-US"/>
        </w:rPr>
        <w:t xml:space="preserve">the use of </w:t>
      </w:r>
      <w:proofErr w:type="spellStart"/>
      <w:r w:rsidR="00525AE6">
        <w:rPr>
          <w:rFonts w:asciiTheme="majorHAnsi" w:hAnsiTheme="majorHAnsi"/>
          <w:noProof w:val="0"/>
          <w:lang w:val="en-US"/>
        </w:rPr>
        <w:t>iPS</w:t>
      </w:r>
      <w:proofErr w:type="spellEnd"/>
      <w:r w:rsidR="00525AE6">
        <w:rPr>
          <w:rFonts w:asciiTheme="majorHAnsi" w:hAnsiTheme="majorHAnsi"/>
          <w:noProof w:val="0"/>
          <w:lang w:val="en-US"/>
        </w:rPr>
        <w:t xml:space="preserve"> cells for treatment of post-stroke aged</w:t>
      </w:r>
      <w:r w:rsidR="00E5741F" w:rsidRPr="008B5662">
        <w:rPr>
          <w:rFonts w:asciiTheme="majorHAnsi" w:hAnsiTheme="majorHAnsi"/>
          <w:noProof w:val="0"/>
          <w:lang w:val="en-US"/>
        </w:rPr>
        <w:t xml:space="preserve"> animal models featuring relevant co-morbidities, we</w:t>
      </w:r>
      <w:r w:rsidR="00525AE6">
        <w:rPr>
          <w:rFonts w:asciiTheme="majorHAnsi" w:hAnsiTheme="majorHAnsi"/>
          <w:noProof w:val="0"/>
          <w:lang w:val="en-US"/>
        </w:rPr>
        <w:t xml:space="preserve"> conclude that such </w:t>
      </w:r>
      <w:r w:rsidR="00E5741F" w:rsidRPr="008B5662">
        <w:rPr>
          <w:rFonts w:asciiTheme="majorHAnsi" w:hAnsiTheme="majorHAnsi"/>
          <w:noProof w:val="0"/>
          <w:lang w:val="en-US"/>
        </w:rPr>
        <w:t xml:space="preserve">therapies </w:t>
      </w:r>
      <w:r w:rsidR="00525AE6">
        <w:rPr>
          <w:rFonts w:asciiTheme="majorHAnsi" w:hAnsiTheme="majorHAnsi"/>
          <w:noProof w:val="0"/>
          <w:lang w:val="en-US"/>
        </w:rPr>
        <w:t>need to be optimized in order to achieve more efficiency</w:t>
      </w:r>
      <w:bookmarkStart w:id="0" w:name="_GoBack"/>
      <w:bookmarkEnd w:id="0"/>
      <w:r w:rsidR="00E5741F" w:rsidRPr="008B5662">
        <w:rPr>
          <w:rFonts w:asciiTheme="majorHAnsi" w:hAnsiTheme="majorHAnsi"/>
          <w:noProof w:val="0"/>
          <w:lang w:val="en-US"/>
        </w:rPr>
        <w:t xml:space="preserve"> to treat the acutely injured aged brain. </w:t>
      </w:r>
    </w:p>
    <w:p w14:paraId="49D2361B" w14:textId="77777777" w:rsidR="00E5741F" w:rsidRPr="008B5662" w:rsidRDefault="00E5741F" w:rsidP="00E5741F">
      <w:pPr>
        <w:autoSpaceDE w:val="0"/>
        <w:autoSpaceDN w:val="0"/>
        <w:spacing w:line="480" w:lineRule="auto"/>
        <w:ind w:firstLine="708"/>
        <w:contextualSpacing/>
        <w:jc w:val="both"/>
        <w:rPr>
          <w:rFonts w:asciiTheme="majorHAnsi" w:hAnsiTheme="majorHAnsi"/>
          <w:noProof w:val="0"/>
          <w:color w:val="000000"/>
          <w:lang w:val="en-US"/>
        </w:rPr>
      </w:pPr>
      <w:r w:rsidRPr="008B5662">
        <w:rPr>
          <w:rFonts w:asciiTheme="majorHAnsi" w:hAnsiTheme="majorHAnsi"/>
          <w:noProof w:val="0"/>
          <w:color w:val="000000"/>
          <w:lang w:val="en-US"/>
        </w:rPr>
        <w:t xml:space="preserve"> </w:t>
      </w:r>
    </w:p>
    <w:p w14:paraId="207280E1" w14:textId="77777777" w:rsidR="00946BAF" w:rsidRPr="00EA4538" w:rsidRDefault="00946BAF">
      <w:pPr>
        <w:rPr>
          <w:rFonts w:asciiTheme="majorHAnsi" w:hAnsiTheme="majorHAnsi"/>
          <w:lang w:val="en-US"/>
        </w:rPr>
      </w:pPr>
    </w:p>
    <w:sectPr w:rsidR="00946BAF" w:rsidRPr="00EA4538" w:rsidSect="00E243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41F"/>
    <w:rsid w:val="00023C96"/>
    <w:rsid w:val="00076B69"/>
    <w:rsid w:val="00123231"/>
    <w:rsid w:val="001C19B9"/>
    <w:rsid w:val="001E5699"/>
    <w:rsid w:val="00260989"/>
    <w:rsid w:val="00525AE6"/>
    <w:rsid w:val="00743DE7"/>
    <w:rsid w:val="00847AAA"/>
    <w:rsid w:val="008565B6"/>
    <w:rsid w:val="008B5662"/>
    <w:rsid w:val="00916BBB"/>
    <w:rsid w:val="009304B7"/>
    <w:rsid w:val="00946BAF"/>
    <w:rsid w:val="009B00E5"/>
    <w:rsid w:val="00A61BF0"/>
    <w:rsid w:val="00B14A15"/>
    <w:rsid w:val="00B32696"/>
    <w:rsid w:val="00E24307"/>
    <w:rsid w:val="00E5741F"/>
    <w:rsid w:val="00E75592"/>
    <w:rsid w:val="00EA4538"/>
    <w:rsid w:val="00F1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9C2A4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/>
        <w:bCs/>
        <w:color w:val="000000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E5741F"/>
    <w:rPr>
      <w:rFonts w:eastAsia="Times New Roman"/>
      <w:b w:val="0"/>
      <w:bCs w:val="0"/>
      <w:noProof/>
      <w:color w:val="auto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6BBB"/>
    <w:rPr>
      <w:rFonts w:ascii="Lucida Grande" w:hAnsi="Lucida Grande" w:cs="Lucida Grande"/>
      <w:b/>
      <w:bCs/>
      <w:noProof w:val="0"/>
      <w:color w:val="000000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6BBB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1924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Rostock Medical School</Company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 Popa-Wagner</dc:creator>
  <cp:keywords/>
  <dc:description/>
  <cp:lastModifiedBy>Aurel Popa-Wagner</cp:lastModifiedBy>
  <cp:revision>4</cp:revision>
  <dcterms:created xsi:type="dcterms:W3CDTF">2017-12-13T08:40:00Z</dcterms:created>
  <dcterms:modified xsi:type="dcterms:W3CDTF">2017-12-13T08:50:00Z</dcterms:modified>
</cp:coreProperties>
</file>