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5C628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84F06FD" wp14:editId="6ACC0CCC">
            <wp:simplePos x="0" y="0"/>
            <wp:positionH relativeFrom="column">
              <wp:posOffset>5471668</wp:posOffset>
            </wp:positionH>
            <wp:positionV relativeFrom="paragraph">
              <wp:posOffset>-657047</wp:posOffset>
            </wp:positionV>
            <wp:extent cx="1041400" cy="1186180"/>
            <wp:effectExtent l="0" t="0" r="6350" b="0"/>
            <wp:wrapNone/>
            <wp:docPr id="1" name="Image 1" descr="\\VW2008fich\redirections_tse$\Documents\eloczuba\Desktop\perso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VW2008fich\redirections_tse$\Documents\eloczuba\Desktop\perso\phot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</w:p>
    <w:p w:rsidR="004D4A62" w:rsidRPr="00EB4DEB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</w:t>
      </w:r>
    </w:p>
    <w:p w:rsidR="004D4A62" w:rsidRPr="00EB4DEB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val="en-GB" w:eastAsia="en-IN"/>
        </w:rPr>
      </w:pPr>
    </w:p>
    <w:p w:rsidR="00EB4DEB" w:rsidRPr="00181BBD" w:rsidRDefault="00FC37DB" w:rsidP="00EB4DEB">
      <w:pPr>
        <w:rPr>
          <w:b/>
          <w:bCs/>
          <w:sz w:val="26"/>
          <w:szCs w:val="26"/>
          <w:lang w:val="en-US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EB4DEB" w:rsidRPr="00EB4DEB">
        <w:rPr>
          <w:b/>
          <w:bCs/>
          <w:sz w:val="26"/>
          <w:szCs w:val="26"/>
          <w:lang w:val="en-US"/>
        </w:rPr>
        <w:t xml:space="preserve"> </w:t>
      </w:r>
      <w:r w:rsidR="00EB4DEB" w:rsidRPr="00181BBD">
        <w:rPr>
          <w:b/>
          <w:bCs/>
          <w:sz w:val="26"/>
          <w:szCs w:val="26"/>
          <w:lang w:val="en-US"/>
        </w:rPr>
        <w:t xml:space="preserve">The charge effect of insulin PLGA nanoparticles on cell uptake </w:t>
      </w:r>
      <w:r w:rsidR="00EB4DEB" w:rsidRPr="00181BBD">
        <w:rPr>
          <w:b/>
          <w:bCs/>
          <w:i/>
          <w:iCs/>
          <w:sz w:val="26"/>
          <w:szCs w:val="26"/>
          <w:lang w:val="en-US"/>
        </w:rPr>
        <w:t xml:space="preserve">in vitro </w:t>
      </w:r>
      <w:r w:rsidR="00EB4DEB" w:rsidRPr="00181BBD">
        <w:rPr>
          <w:b/>
          <w:bCs/>
          <w:sz w:val="26"/>
          <w:szCs w:val="26"/>
          <w:lang w:val="en-US"/>
        </w:rPr>
        <w:t xml:space="preserve">and bioavailability </w:t>
      </w:r>
      <w:r w:rsidR="00EB4DEB" w:rsidRPr="00181BBD">
        <w:rPr>
          <w:b/>
          <w:bCs/>
          <w:i/>
          <w:iCs/>
          <w:sz w:val="26"/>
          <w:szCs w:val="26"/>
          <w:lang w:val="en-US"/>
        </w:rPr>
        <w:t>in vivo</w:t>
      </w:r>
    </w:p>
    <w:p w:rsidR="00FC37DB" w:rsidRPr="00EB4DE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</w:p>
    <w:p w:rsidR="00FC37DB" w:rsidRPr="00EB4DE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fr-FR" w:eastAsia="en-IN"/>
        </w:rPr>
      </w:pPr>
      <w:proofErr w:type="spellStart"/>
      <w:r w:rsidRPr="00EB4DEB">
        <w:rPr>
          <w:rFonts w:ascii="Times New Roman" w:eastAsia="Times New Roman" w:hAnsi="Times New Roman" w:cs="Times New Roman"/>
          <w:i/>
          <w:sz w:val="25"/>
          <w:szCs w:val="25"/>
          <w:lang w:val="fr-FR" w:eastAsia="en-IN"/>
        </w:rPr>
        <w:t>Author</w:t>
      </w:r>
      <w:proofErr w:type="spellEnd"/>
      <w:r w:rsidRPr="00EB4DEB">
        <w:rPr>
          <w:rFonts w:ascii="Times New Roman" w:eastAsia="Times New Roman" w:hAnsi="Times New Roman" w:cs="Times New Roman"/>
          <w:i/>
          <w:sz w:val="25"/>
          <w:szCs w:val="25"/>
          <w:lang w:val="fr-FR" w:eastAsia="en-IN"/>
        </w:rPr>
        <w:t xml:space="preserve"> Name</w:t>
      </w:r>
      <w:r w:rsidRPr="00EB4DEB">
        <w:rPr>
          <w:rFonts w:ascii="Times New Roman" w:eastAsia="Times New Roman" w:hAnsi="Times New Roman" w:cs="Times New Roman"/>
          <w:sz w:val="25"/>
          <w:szCs w:val="25"/>
          <w:lang w:val="fr-FR" w:eastAsia="en-IN"/>
        </w:rPr>
        <w:t>:</w:t>
      </w:r>
      <w:r w:rsidR="00EB4DEB" w:rsidRPr="00EB4DEB">
        <w:rPr>
          <w:rFonts w:ascii="Times New Roman" w:eastAsia="Times New Roman" w:hAnsi="Times New Roman" w:cs="Times New Roman"/>
          <w:sz w:val="25"/>
          <w:szCs w:val="25"/>
          <w:lang w:val="fr-FR" w:eastAsia="en-IN"/>
        </w:rPr>
        <w:t xml:space="preserve"> Elodie Czuba</w:t>
      </w:r>
    </w:p>
    <w:p w:rsidR="00FC37DB" w:rsidRPr="00EB4DEB" w:rsidRDefault="00FC37DB" w:rsidP="00EB4DEB">
      <w:pPr>
        <w:rPr>
          <w:rFonts w:ascii="Garamond" w:hAnsi="Garamond"/>
          <w:sz w:val="20"/>
          <w:lang w:val="fr-FR"/>
        </w:rPr>
      </w:pPr>
      <w:r w:rsidRPr="00EB4DEB">
        <w:rPr>
          <w:rFonts w:ascii="Times New Roman" w:eastAsia="Times New Roman" w:hAnsi="Times New Roman" w:cs="Times New Roman"/>
          <w:i/>
          <w:sz w:val="25"/>
          <w:szCs w:val="25"/>
          <w:lang w:val="fr-FR" w:eastAsia="en-IN"/>
        </w:rPr>
        <w:t>Affiliation</w:t>
      </w:r>
      <w:r w:rsidRPr="00EB4DEB">
        <w:rPr>
          <w:rFonts w:ascii="Times New Roman" w:eastAsia="Times New Roman" w:hAnsi="Times New Roman" w:cs="Times New Roman"/>
          <w:sz w:val="25"/>
          <w:szCs w:val="25"/>
          <w:lang w:val="fr-FR" w:eastAsia="en-IN"/>
        </w:rPr>
        <w:t>:</w:t>
      </w:r>
      <w:r w:rsidR="00EB4DEB" w:rsidRPr="00EB4DEB">
        <w:rPr>
          <w:rFonts w:ascii="Times New Roman" w:eastAsia="Times New Roman" w:hAnsi="Times New Roman" w:cs="Times New Roman"/>
          <w:sz w:val="25"/>
          <w:szCs w:val="25"/>
          <w:lang w:val="fr-FR" w:eastAsia="en-IN"/>
        </w:rPr>
        <w:t xml:space="preserve"> </w:t>
      </w:r>
      <w:r w:rsidR="00EB4DEB" w:rsidRPr="00EB4DEB">
        <w:rPr>
          <w:rFonts w:ascii="Garamond" w:hAnsi="Garamond"/>
          <w:sz w:val="20"/>
          <w:lang w:val="fr-FR"/>
        </w:rPr>
        <w:t>UMR DIATHEC, EA 7294, Centre Européen d’Etude du Diabète, Université de Strasbourg (</w:t>
      </w:r>
      <w:proofErr w:type="spellStart"/>
      <w:r w:rsidR="00EB4DEB" w:rsidRPr="00EB4DEB">
        <w:rPr>
          <w:rFonts w:ascii="Garamond" w:hAnsi="Garamond"/>
          <w:sz w:val="20"/>
          <w:lang w:val="fr-FR"/>
        </w:rPr>
        <w:t>UdS</w:t>
      </w:r>
      <w:proofErr w:type="spellEnd"/>
      <w:r w:rsidR="00EB4DEB" w:rsidRPr="00EB4DEB">
        <w:rPr>
          <w:rFonts w:ascii="Garamond" w:hAnsi="Garamond"/>
          <w:sz w:val="20"/>
          <w:lang w:val="fr-FR"/>
        </w:rPr>
        <w:t>), Boulevard René Le</w:t>
      </w:r>
      <w:r w:rsidR="00EB4DEB">
        <w:rPr>
          <w:rFonts w:ascii="Garamond" w:hAnsi="Garamond"/>
          <w:sz w:val="20"/>
          <w:lang w:val="fr-FR"/>
        </w:rPr>
        <w:t xml:space="preserve">riche 67200 Strasbourg, France 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EB4DE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Strasbourg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EB4DE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France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EB4DEB" w:rsidRPr="00347970" w:rsidRDefault="006829C9" w:rsidP="00EB4DEB">
      <w:pPr>
        <w:pStyle w:val="cSectiontitle"/>
        <w:rPr>
          <w:rFonts w:asciiTheme="minorHAnsi" w:hAnsiTheme="minorHAnsi"/>
          <w:color w:val="000000" w:themeColor="text1"/>
          <w:sz w:val="22"/>
          <w:lang w:val="en-US"/>
        </w:rPr>
      </w:pPr>
      <w:r w:rsidRPr="00EB4DEB">
        <w:rPr>
          <w:rFonts w:ascii="Times New Roman" w:eastAsia="Times New Roman" w:hAnsi="Times New Roman"/>
          <w:i/>
          <w:sz w:val="25"/>
          <w:szCs w:val="25"/>
          <w:u w:val="single"/>
          <w:lang w:val="en-US" w:eastAsia="en-IN"/>
        </w:rPr>
        <w:t>Abstract:</w:t>
      </w:r>
      <w:r w:rsidR="00EB4DEB" w:rsidRPr="00EB4DEB">
        <w:rPr>
          <w:rFonts w:asciiTheme="minorHAnsi" w:hAnsiTheme="minorHAnsi" w:cs="Arial"/>
          <w:sz w:val="22"/>
          <w:lang w:val="en-CA"/>
        </w:rPr>
        <w:t xml:space="preserve"> </w:t>
      </w:r>
    </w:p>
    <w:p w:rsidR="00EB4DEB" w:rsidRPr="00EB4DEB" w:rsidRDefault="00EB4DEB" w:rsidP="00EB4DEB">
      <w:pPr>
        <w:pStyle w:val="En-tte"/>
        <w:jc w:val="both"/>
        <w:rPr>
          <w:rFonts w:ascii="Arial" w:hAnsi="Arial" w:cs="Arial"/>
          <w:sz w:val="24"/>
          <w:szCs w:val="24"/>
          <w:lang w:val="en-GB"/>
        </w:rPr>
      </w:pPr>
      <w:r w:rsidRPr="00EB4DEB">
        <w:rPr>
          <w:rFonts w:ascii="Arial" w:hAnsi="Arial" w:cs="Arial"/>
          <w:b/>
          <w:sz w:val="24"/>
          <w:szCs w:val="24"/>
          <w:lang w:val="en-GB"/>
        </w:rPr>
        <w:t>Introduction</w:t>
      </w:r>
      <w:r w:rsidRPr="00EB4DEB">
        <w:rPr>
          <w:rFonts w:ascii="Arial" w:hAnsi="Arial" w:cs="Arial"/>
          <w:sz w:val="24"/>
          <w:szCs w:val="24"/>
          <w:lang w:val="en-GB"/>
        </w:rPr>
        <w:t>: Poly (</w:t>
      </w:r>
      <w:proofErr w:type="spellStart"/>
      <w:r w:rsidRPr="00EB4DEB">
        <w:rPr>
          <w:rFonts w:ascii="Arial" w:hAnsi="Arial" w:cs="Arial"/>
          <w:sz w:val="24"/>
          <w:szCs w:val="24"/>
          <w:lang w:val="en-GB"/>
        </w:rPr>
        <w:t>D</w:t>
      </w:r>
      <w:proofErr w:type="gramStart"/>
      <w:r w:rsidRPr="00EB4DEB">
        <w:rPr>
          <w:rFonts w:ascii="Arial" w:hAnsi="Arial" w:cs="Arial"/>
          <w:sz w:val="24"/>
          <w:szCs w:val="24"/>
          <w:lang w:val="en-GB"/>
        </w:rPr>
        <w:t>,lactic</w:t>
      </w:r>
      <w:proofErr w:type="spellEnd"/>
      <w:proofErr w:type="gramEnd"/>
      <w:r w:rsidRPr="00EB4DEB">
        <w:rPr>
          <w:rFonts w:ascii="Arial" w:hAnsi="Arial" w:cs="Arial"/>
          <w:sz w:val="24"/>
          <w:szCs w:val="24"/>
          <w:lang w:val="en-GB"/>
        </w:rPr>
        <w:t>-co-glycolic) acid</w:t>
      </w:r>
      <w:r w:rsidRPr="00EB4DEB" w:rsidDel="00124C48">
        <w:rPr>
          <w:rFonts w:ascii="Arial" w:hAnsi="Arial" w:cs="Arial"/>
          <w:sz w:val="24"/>
          <w:szCs w:val="24"/>
          <w:lang w:val="en-GB"/>
        </w:rPr>
        <w:t xml:space="preserve"> </w:t>
      </w:r>
      <w:r w:rsidRPr="00EB4DEB">
        <w:rPr>
          <w:rFonts w:ascii="Arial" w:hAnsi="Arial" w:cs="Arial"/>
          <w:sz w:val="24"/>
          <w:szCs w:val="24"/>
          <w:lang w:val="en-GB"/>
        </w:rPr>
        <w:t xml:space="preserve">(PLGA) particles (NP) are known to be effective drug carrier with a long acting profile, but have less than 20% of bioavailability. The aim of this work was to increase encapsulated insulin bioavailability modifying the surface properties like charge of NPs to improve their interaction with cell membrane. </w:t>
      </w:r>
    </w:p>
    <w:p w:rsidR="00EB4DEB" w:rsidRPr="00EB4DEB" w:rsidRDefault="00EB4DEB" w:rsidP="00EB4DEB">
      <w:pPr>
        <w:pStyle w:val="En-tte"/>
        <w:jc w:val="both"/>
        <w:rPr>
          <w:rFonts w:ascii="Arial" w:hAnsi="Arial" w:cs="Arial"/>
          <w:sz w:val="24"/>
          <w:szCs w:val="24"/>
          <w:lang w:val="en-GB"/>
        </w:rPr>
      </w:pPr>
    </w:p>
    <w:p w:rsidR="00EB4DEB" w:rsidRPr="00EB4DEB" w:rsidRDefault="00EB4DEB" w:rsidP="00EB4DEB">
      <w:pPr>
        <w:pStyle w:val="En-tte"/>
        <w:jc w:val="both"/>
        <w:rPr>
          <w:rFonts w:ascii="Arial" w:hAnsi="Arial" w:cs="Arial"/>
          <w:sz w:val="24"/>
          <w:szCs w:val="24"/>
          <w:lang w:val="en-GB"/>
        </w:rPr>
      </w:pPr>
      <w:r w:rsidRPr="00EB4DEB">
        <w:rPr>
          <w:rFonts w:ascii="Arial" w:hAnsi="Arial" w:cs="Arial"/>
          <w:b/>
          <w:sz w:val="24"/>
          <w:szCs w:val="24"/>
          <w:lang w:val="en-GB"/>
        </w:rPr>
        <w:t>Material and method</w:t>
      </w:r>
      <w:r w:rsidRPr="00EB4DEB">
        <w:rPr>
          <w:rFonts w:ascii="Arial" w:hAnsi="Arial" w:cs="Arial"/>
          <w:sz w:val="24"/>
          <w:szCs w:val="24"/>
          <w:lang w:val="en-GB"/>
        </w:rPr>
        <w:t xml:space="preserve">: Particles were prepared in presence or not of polyvinyl alcohol (PVA), with Sodium dodecyl </w:t>
      </w:r>
      <w:proofErr w:type="spellStart"/>
      <w:r w:rsidRPr="00EB4DEB">
        <w:rPr>
          <w:rFonts w:ascii="Arial" w:hAnsi="Arial" w:cs="Arial"/>
          <w:sz w:val="24"/>
          <w:szCs w:val="24"/>
          <w:lang w:val="en-GB"/>
        </w:rPr>
        <w:t>sulfate</w:t>
      </w:r>
      <w:proofErr w:type="spellEnd"/>
      <w:r w:rsidRPr="00EB4DEB">
        <w:rPr>
          <w:rFonts w:ascii="Arial" w:hAnsi="Arial" w:cs="Arial"/>
          <w:sz w:val="24"/>
          <w:szCs w:val="24"/>
          <w:lang w:val="en-GB"/>
        </w:rPr>
        <w:t xml:space="preserve"> or coated with chitosan chloride in order to play on NPs charge. </w:t>
      </w:r>
      <w:r w:rsidRPr="00EB4DEB">
        <w:rPr>
          <w:rFonts w:ascii="Arial" w:hAnsi="Arial" w:cs="Arial"/>
          <w:i/>
          <w:sz w:val="24"/>
          <w:szCs w:val="24"/>
          <w:lang w:val="en-GB"/>
        </w:rPr>
        <w:t>In vitro</w:t>
      </w:r>
      <w:r w:rsidRPr="00EB4DEB">
        <w:rPr>
          <w:rFonts w:ascii="Arial" w:hAnsi="Arial" w:cs="Arial"/>
          <w:sz w:val="24"/>
          <w:szCs w:val="24"/>
          <w:lang w:val="en-GB"/>
        </w:rPr>
        <w:t xml:space="preserve"> internalization was tested on epithelial </w:t>
      </w:r>
      <w:proofErr w:type="spellStart"/>
      <w:r w:rsidRPr="00EB4DEB">
        <w:rPr>
          <w:rFonts w:ascii="Arial" w:hAnsi="Arial" w:cs="Arial"/>
          <w:sz w:val="24"/>
          <w:szCs w:val="24"/>
          <w:lang w:val="en-GB"/>
        </w:rPr>
        <w:t>coculture</w:t>
      </w:r>
      <w:proofErr w:type="spellEnd"/>
      <w:r w:rsidRPr="00EB4DEB">
        <w:rPr>
          <w:rFonts w:ascii="Arial" w:hAnsi="Arial" w:cs="Arial"/>
          <w:sz w:val="24"/>
          <w:szCs w:val="24"/>
          <w:lang w:val="en-GB"/>
        </w:rPr>
        <w:t xml:space="preserve"> (Caco-2/RevHT29MTX) by flow cytometry. NPs were then administrated thanks to a pharmaceutical complex vector </w:t>
      </w:r>
      <w:r w:rsidRPr="00EB4DEB">
        <w:rPr>
          <w:rFonts w:ascii="Arial" w:hAnsi="Arial" w:cs="Arial"/>
          <w:i/>
          <w:sz w:val="24"/>
          <w:szCs w:val="24"/>
          <w:lang w:val="en-GB"/>
        </w:rPr>
        <w:t>in vivo</w:t>
      </w:r>
      <w:r w:rsidRPr="00EB4DEB">
        <w:rPr>
          <w:rFonts w:ascii="Arial" w:hAnsi="Arial" w:cs="Arial"/>
          <w:sz w:val="24"/>
          <w:szCs w:val="24"/>
          <w:lang w:val="en-GB"/>
        </w:rPr>
        <w:t xml:space="preserve"> by oral route (10, 20 and 50UI) in diabetic rats. </w:t>
      </w:r>
    </w:p>
    <w:p w:rsidR="00EB4DEB" w:rsidRPr="00EB4DEB" w:rsidRDefault="00EB4DEB" w:rsidP="00EB4DEB">
      <w:pPr>
        <w:pStyle w:val="En-tte"/>
        <w:jc w:val="both"/>
        <w:rPr>
          <w:rFonts w:ascii="Arial" w:hAnsi="Arial" w:cs="Arial"/>
          <w:sz w:val="24"/>
          <w:szCs w:val="24"/>
          <w:lang w:val="en-GB"/>
        </w:rPr>
      </w:pPr>
    </w:p>
    <w:p w:rsidR="00EB4DEB" w:rsidRPr="00EB4DEB" w:rsidRDefault="00EB4DEB" w:rsidP="00EB4DEB">
      <w:pPr>
        <w:pStyle w:val="En-tte"/>
        <w:jc w:val="both"/>
        <w:rPr>
          <w:rFonts w:ascii="Arial" w:hAnsi="Arial" w:cs="Arial"/>
          <w:sz w:val="24"/>
          <w:szCs w:val="24"/>
          <w:lang w:val="en-GB"/>
        </w:rPr>
      </w:pPr>
      <w:r w:rsidRPr="00EB4DEB">
        <w:rPr>
          <w:rFonts w:ascii="Arial" w:hAnsi="Arial" w:cs="Arial"/>
          <w:b/>
          <w:sz w:val="24"/>
          <w:szCs w:val="24"/>
          <w:lang w:val="en-GB"/>
        </w:rPr>
        <w:t>Results</w:t>
      </w:r>
      <w:r w:rsidRPr="00EB4DEB">
        <w:rPr>
          <w:rFonts w:ascii="Arial" w:hAnsi="Arial" w:cs="Arial"/>
          <w:sz w:val="24"/>
          <w:szCs w:val="24"/>
          <w:lang w:val="en-GB"/>
        </w:rPr>
        <w:t xml:space="preserve">: SDS-NPs and 1% PVA-NPs were smaller (141± 3 and 154 ± 24 nm) than chitosan coated NPs with size (236 ± 29 nm) which is increased in comparison to the control (200 ± 9 nm). Compared to classical NPs (PVA+), cells uptake was improved by SDS-NPs, in contrast to without PVA and chitosan coated NPs. Administration by oral route of vehicle contained SDS-NPs 20 and 50UI) reduced glycaemia faster than empty vehicles and vehicles with standard NPs. Negative charge of NPs could interact with cell membrane which is negatively charged too. </w:t>
      </w:r>
    </w:p>
    <w:p w:rsidR="00EB4DEB" w:rsidRPr="00EB4DEB" w:rsidRDefault="00EB4DEB" w:rsidP="00EB4DEB">
      <w:pPr>
        <w:pStyle w:val="En-tte"/>
        <w:jc w:val="both"/>
        <w:rPr>
          <w:rFonts w:ascii="Arial" w:hAnsi="Arial" w:cs="Arial"/>
          <w:sz w:val="24"/>
          <w:szCs w:val="24"/>
          <w:lang w:val="en-GB"/>
        </w:rPr>
      </w:pPr>
    </w:p>
    <w:p w:rsidR="005116CB" w:rsidRPr="00EB4DEB" w:rsidRDefault="00EB4DEB" w:rsidP="00EB4DEB">
      <w:pPr>
        <w:jc w:val="both"/>
        <w:rPr>
          <w:sz w:val="24"/>
          <w:szCs w:val="24"/>
          <w:lang w:val="en-GB"/>
        </w:rPr>
      </w:pPr>
      <w:r w:rsidRPr="00EB4DEB">
        <w:rPr>
          <w:rFonts w:ascii="Arial" w:hAnsi="Arial" w:cs="Arial"/>
          <w:b/>
          <w:sz w:val="24"/>
          <w:szCs w:val="24"/>
          <w:lang w:val="en-GB"/>
        </w:rPr>
        <w:t>Conclusion</w:t>
      </w:r>
      <w:r w:rsidRPr="00EB4DEB">
        <w:rPr>
          <w:rFonts w:ascii="Arial" w:hAnsi="Arial" w:cs="Arial"/>
          <w:sz w:val="24"/>
          <w:szCs w:val="24"/>
          <w:lang w:val="en-GB"/>
        </w:rPr>
        <w:t xml:space="preserve">: </w:t>
      </w:r>
      <w:proofErr w:type="spellStart"/>
      <w:r w:rsidRPr="00EB4DEB">
        <w:rPr>
          <w:rFonts w:ascii="Arial" w:hAnsi="Arial" w:cs="Arial"/>
          <w:sz w:val="24"/>
          <w:szCs w:val="24"/>
          <w:lang w:val="en-GB"/>
        </w:rPr>
        <w:t>Mucoadhesive</w:t>
      </w:r>
      <w:proofErr w:type="spellEnd"/>
      <w:r w:rsidRPr="00EB4DEB">
        <w:rPr>
          <w:rFonts w:ascii="Arial" w:hAnsi="Arial" w:cs="Arial"/>
          <w:sz w:val="24"/>
          <w:szCs w:val="24"/>
          <w:lang w:val="en-GB"/>
        </w:rPr>
        <w:t xml:space="preserve"> particles (chitosan) formulation is definitely not the good approach to improve the bioavailability of encapsulated insulin contrary to negative NPs are the most efficient both </w:t>
      </w:r>
      <w:r w:rsidRPr="00EB4DEB">
        <w:rPr>
          <w:rFonts w:ascii="Arial" w:hAnsi="Arial" w:cs="Arial"/>
          <w:i/>
          <w:sz w:val="24"/>
          <w:szCs w:val="24"/>
          <w:lang w:val="en-GB"/>
        </w:rPr>
        <w:t>in vitro</w:t>
      </w:r>
      <w:r w:rsidRPr="00EB4DEB">
        <w:rPr>
          <w:rFonts w:ascii="Arial" w:hAnsi="Arial" w:cs="Arial"/>
          <w:sz w:val="24"/>
          <w:szCs w:val="24"/>
          <w:lang w:val="en-GB"/>
        </w:rPr>
        <w:t xml:space="preserve"> and </w:t>
      </w:r>
      <w:r w:rsidRPr="00EB4DEB">
        <w:rPr>
          <w:rFonts w:ascii="Arial" w:hAnsi="Arial" w:cs="Arial"/>
          <w:i/>
          <w:sz w:val="24"/>
          <w:szCs w:val="24"/>
          <w:lang w:val="en-GB"/>
        </w:rPr>
        <w:t>in vivo</w:t>
      </w:r>
      <w:r w:rsidRPr="00EB4DEB">
        <w:rPr>
          <w:rFonts w:ascii="Arial" w:hAnsi="Arial" w:cs="Arial"/>
          <w:sz w:val="24"/>
          <w:szCs w:val="24"/>
          <w:lang w:val="en-GB"/>
        </w:rPr>
        <w:t>, and represent a promising formulation for oral insulin delivery.</w:t>
      </w:r>
    </w:p>
    <w:p w:rsidR="00FC37DB" w:rsidRPr="00CC4077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val="fr-FR" w:eastAsia="en-IN"/>
        </w:rPr>
      </w:pPr>
      <w:proofErr w:type="spellStart"/>
      <w:r w:rsidRPr="00CC4077">
        <w:rPr>
          <w:rFonts w:ascii="Times New Roman" w:eastAsia="Times New Roman" w:hAnsi="Times New Roman" w:cs="Times New Roman"/>
          <w:i/>
          <w:sz w:val="25"/>
          <w:szCs w:val="25"/>
          <w:u w:val="single"/>
          <w:lang w:val="fr-FR" w:eastAsia="en-IN"/>
        </w:rPr>
        <w:t>Biography</w:t>
      </w:r>
      <w:proofErr w:type="spellEnd"/>
      <w:r w:rsidRPr="00CC4077">
        <w:rPr>
          <w:rFonts w:ascii="Times New Roman" w:eastAsia="Times New Roman" w:hAnsi="Times New Roman" w:cs="Times New Roman"/>
          <w:i/>
          <w:sz w:val="25"/>
          <w:szCs w:val="25"/>
          <w:u w:val="single"/>
          <w:lang w:val="fr-FR" w:eastAsia="en-IN"/>
        </w:rPr>
        <w:t>:</w:t>
      </w:r>
    </w:p>
    <w:p w:rsidR="006829C9" w:rsidRPr="00CC4077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val="fr-FR" w:eastAsia="en-IN"/>
        </w:rPr>
      </w:pPr>
    </w:p>
    <w:p w:rsidR="006829C9" w:rsidRPr="00CC4077" w:rsidRDefault="00CC4077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fr-FR" w:eastAsia="en-IN"/>
        </w:rPr>
      </w:pPr>
      <w:r w:rsidRPr="00CC4077">
        <w:rPr>
          <w:rFonts w:ascii="Times New Roman" w:eastAsia="Times New Roman" w:hAnsi="Times New Roman" w:cs="Times New Roman"/>
          <w:sz w:val="25"/>
          <w:szCs w:val="25"/>
          <w:lang w:val="fr-FR" w:eastAsia="en-IN"/>
        </w:rPr>
        <w:t xml:space="preserve">Elodie Czuba, PhD </w:t>
      </w:r>
      <w:proofErr w:type="spellStart"/>
      <w:r w:rsidRPr="00CC4077">
        <w:rPr>
          <w:rFonts w:ascii="Times New Roman" w:eastAsia="Times New Roman" w:hAnsi="Times New Roman" w:cs="Times New Roman"/>
          <w:sz w:val="25"/>
          <w:szCs w:val="25"/>
          <w:lang w:val="fr-FR" w:eastAsia="en-IN"/>
        </w:rPr>
        <w:t>student</w:t>
      </w:r>
      <w:proofErr w:type="spellEnd"/>
      <w:r w:rsidRPr="00CC4077">
        <w:rPr>
          <w:rFonts w:ascii="Times New Roman" w:eastAsia="Times New Roman" w:hAnsi="Times New Roman" w:cs="Times New Roman"/>
          <w:sz w:val="25"/>
          <w:szCs w:val="25"/>
          <w:lang w:val="fr-FR" w:eastAsia="en-IN"/>
        </w:rPr>
        <w:t xml:space="preserve"> in “Centre Européen d’Etude du Diabète (CEED)</w:t>
      </w:r>
    </w:p>
    <w:p w:rsidR="006829C9" w:rsidRPr="00CC4077" w:rsidRDefault="006829C9" w:rsidP="006829C9">
      <w:pPr>
        <w:spacing w:after="0" w:line="240" w:lineRule="auto"/>
        <w:jc w:val="both"/>
        <w:rPr>
          <w:lang w:val="fr-FR"/>
        </w:rPr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  <w:r w:rsidR="00CC4077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proofErr w:type="spellStart"/>
      <w:r w:rsidR="00CC4077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nanoencapsulation</w:t>
      </w:r>
      <w:proofErr w:type="spellEnd"/>
      <w:r w:rsidR="00CC4077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of drugs for a biological application </w:t>
      </w:r>
    </w:p>
    <w:p w:rsidR="006829C9" w:rsidRDefault="006829C9" w:rsidP="006829C9">
      <w:pPr>
        <w:spacing w:after="0" w:line="240" w:lineRule="auto"/>
        <w:jc w:val="both"/>
      </w:pPr>
    </w:p>
    <w:p w:rsidR="005C6287" w:rsidRPr="00520448" w:rsidRDefault="006829C9" w:rsidP="005C6287">
      <w:pPr>
        <w:pStyle w:val="EndNoteBibliography"/>
        <w:spacing w:after="0"/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lastRenderedPageBreak/>
        <w:t>References:</w:t>
      </w:r>
      <w:r w:rsidR="005C6287" w:rsidRPr="005C6287">
        <w:t xml:space="preserve"> </w:t>
      </w:r>
      <w:r w:rsidR="005C6287" w:rsidRPr="00520448">
        <w:t>Nazar H, Tsibouklis J. Towards the nasal delivery of insulin. Ther Deliv. 2012;3(11):1241-3.</w:t>
      </w:r>
    </w:p>
    <w:p w:rsidR="005C6287" w:rsidRPr="00520448" w:rsidRDefault="005C6287" w:rsidP="005C6287">
      <w:pPr>
        <w:pStyle w:val="EndNoteBibliography"/>
        <w:spacing w:after="0"/>
      </w:pPr>
      <w:r w:rsidRPr="00520448">
        <w:t>2.</w:t>
      </w:r>
      <w:r w:rsidRPr="00520448">
        <w:tab/>
        <w:t>Xuan B, McClellan DA, Moore R, Chiou GC. Alternative delivery of insulin via eye drops. Diabetes Technol Ther. 2005;7(5):695-8.</w:t>
      </w:r>
    </w:p>
    <w:p w:rsidR="005C6287" w:rsidRPr="00520448" w:rsidRDefault="005C6287" w:rsidP="005C6287">
      <w:pPr>
        <w:pStyle w:val="EndNoteBibliography"/>
        <w:spacing w:after="0"/>
      </w:pPr>
      <w:r w:rsidRPr="00520448">
        <w:t>3.</w:t>
      </w:r>
      <w:r w:rsidRPr="00520448">
        <w:tab/>
        <w:t>Boateng JS, Mitchell JC, Pawar H, Ayensu I. Functional characterisation and permeation studies of lyophilised thiolated chitosan xerogels for buccal delivery of insulin. Protein Pept Lett. 2014;21(11):1163-75.</w:t>
      </w:r>
    </w:p>
    <w:p w:rsidR="005C6287" w:rsidRPr="00520448" w:rsidRDefault="005C6287" w:rsidP="005C6287">
      <w:pPr>
        <w:pStyle w:val="EndNoteBibliography"/>
        <w:spacing w:after="0"/>
      </w:pPr>
      <w:r w:rsidRPr="00520448">
        <w:t>4.</w:t>
      </w:r>
      <w:r w:rsidRPr="00520448">
        <w:tab/>
        <w:t>Sheng J, Han L, Qin J, Ru G, Li R, Wu L, et al. N-trimethyl chitosan chloride-coated PLGA nanoparticles overcoming multiple barriers to oral insulin absorption. ACS Appl Mater Interfaces. 2015;7(28):15430-41.</w:t>
      </w: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 w:rsidR="005C6287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e.czuba@ceed-diabete.org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</w:t>
      </w:r>
      <w:proofErr w:type="gramStart"/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:</w:t>
      </w:r>
      <w:r w:rsidR="005C6287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+</w:t>
      </w:r>
      <w:proofErr w:type="gramEnd"/>
      <w:r w:rsidR="005C6287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33390201212</w:t>
      </w:r>
    </w:p>
    <w:p w:rsidR="004D4A62" w:rsidRDefault="004D4A62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6829C9" w:rsidRDefault="006829C9"/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360379"/>
    <w:rsid w:val="003C741E"/>
    <w:rsid w:val="004D4A62"/>
    <w:rsid w:val="005116CB"/>
    <w:rsid w:val="005C6287"/>
    <w:rsid w:val="006829C9"/>
    <w:rsid w:val="00A3017E"/>
    <w:rsid w:val="00CC4077"/>
    <w:rsid w:val="00EB4DEB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29C9"/>
    <w:rPr>
      <w:rFonts w:ascii="Tahoma" w:hAnsi="Tahoma" w:cs="Tahoma"/>
      <w:sz w:val="16"/>
      <w:szCs w:val="16"/>
    </w:rPr>
  </w:style>
  <w:style w:type="paragraph" w:customStyle="1" w:styleId="cSectiontitle">
    <w:name w:val="c. Section title"/>
    <w:basedOn w:val="Normal"/>
    <w:next w:val="Normal"/>
    <w:qFormat/>
    <w:rsid w:val="00EB4DEB"/>
    <w:pPr>
      <w:spacing w:before="120" w:after="120" w:line="240" w:lineRule="auto"/>
      <w:jc w:val="both"/>
    </w:pPr>
    <w:rPr>
      <w:rFonts w:ascii="Arial" w:eastAsiaTheme="minorEastAsia" w:hAnsi="Arial" w:cs="Times New Roman"/>
      <w:bCs/>
      <w:caps/>
      <w:color w:val="800000"/>
      <w:sz w:val="28"/>
      <w:lang w:val="fr-FR" w:eastAsia="fr-FR"/>
    </w:rPr>
  </w:style>
  <w:style w:type="paragraph" w:styleId="En-tte">
    <w:name w:val="header"/>
    <w:basedOn w:val="Normal"/>
    <w:link w:val="En-tteCar"/>
    <w:unhideWhenUsed/>
    <w:rsid w:val="00EB4DEB"/>
    <w:pPr>
      <w:tabs>
        <w:tab w:val="center" w:pos="4536"/>
        <w:tab w:val="right" w:pos="9072"/>
      </w:tabs>
      <w:spacing w:after="0" w:line="240" w:lineRule="auto"/>
    </w:pPr>
    <w:rPr>
      <w:lang w:val="fr-FR"/>
    </w:rPr>
  </w:style>
  <w:style w:type="character" w:customStyle="1" w:styleId="En-tteCar">
    <w:name w:val="En-tête Car"/>
    <w:basedOn w:val="Policepardfaut"/>
    <w:link w:val="En-tte"/>
    <w:rsid w:val="00EB4DEB"/>
    <w:rPr>
      <w:lang w:val="fr-FR"/>
    </w:rPr>
  </w:style>
  <w:style w:type="paragraph" w:customStyle="1" w:styleId="EndNoteBibliography">
    <w:name w:val="EndNote Bibliography"/>
    <w:basedOn w:val="Normal"/>
    <w:link w:val="EndNoteBibliographyCar"/>
    <w:rsid w:val="005C6287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5C6287"/>
    <w:rPr>
      <w:rFonts w:ascii="Calibri" w:hAnsi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29C9"/>
    <w:rPr>
      <w:rFonts w:ascii="Tahoma" w:hAnsi="Tahoma" w:cs="Tahoma"/>
      <w:sz w:val="16"/>
      <w:szCs w:val="16"/>
    </w:rPr>
  </w:style>
  <w:style w:type="paragraph" w:customStyle="1" w:styleId="cSectiontitle">
    <w:name w:val="c. Section title"/>
    <w:basedOn w:val="Normal"/>
    <w:next w:val="Normal"/>
    <w:qFormat/>
    <w:rsid w:val="00EB4DEB"/>
    <w:pPr>
      <w:spacing w:before="120" w:after="120" w:line="240" w:lineRule="auto"/>
      <w:jc w:val="both"/>
    </w:pPr>
    <w:rPr>
      <w:rFonts w:ascii="Arial" w:eastAsiaTheme="minorEastAsia" w:hAnsi="Arial" w:cs="Times New Roman"/>
      <w:bCs/>
      <w:caps/>
      <w:color w:val="800000"/>
      <w:sz w:val="28"/>
      <w:lang w:val="fr-FR" w:eastAsia="fr-FR"/>
    </w:rPr>
  </w:style>
  <w:style w:type="paragraph" w:styleId="En-tte">
    <w:name w:val="header"/>
    <w:basedOn w:val="Normal"/>
    <w:link w:val="En-tteCar"/>
    <w:unhideWhenUsed/>
    <w:rsid w:val="00EB4DEB"/>
    <w:pPr>
      <w:tabs>
        <w:tab w:val="center" w:pos="4536"/>
        <w:tab w:val="right" w:pos="9072"/>
      </w:tabs>
      <w:spacing w:after="0" w:line="240" w:lineRule="auto"/>
    </w:pPr>
    <w:rPr>
      <w:lang w:val="fr-FR"/>
    </w:rPr>
  </w:style>
  <w:style w:type="character" w:customStyle="1" w:styleId="En-tteCar">
    <w:name w:val="En-tête Car"/>
    <w:basedOn w:val="Policepardfaut"/>
    <w:link w:val="En-tte"/>
    <w:rsid w:val="00EB4DEB"/>
    <w:rPr>
      <w:lang w:val="fr-FR"/>
    </w:rPr>
  </w:style>
  <w:style w:type="paragraph" w:customStyle="1" w:styleId="EndNoteBibliography">
    <w:name w:val="EndNote Bibliography"/>
    <w:basedOn w:val="Normal"/>
    <w:link w:val="EndNoteBibliographyCar"/>
    <w:rsid w:val="005C6287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5C6287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9C6E1E13</Template>
  <TotalTime>0</TotalTime>
  <Pages>2</Pages>
  <Words>506</Words>
  <Characters>2788</Characters>
  <Application>Microsoft Office Word</Application>
  <DocSecurity>4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Elodie CZUBA</cp:lastModifiedBy>
  <cp:revision>2</cp:revision>
  <dcterms:created xsi:type="dcterms:W3CDTF">2017-12-22T10:13:00Z</dcterms:created>
  <dcterms:modified xsi:type="dcterms:W3CDTF">2017-12-22T10:13:00Z</dcterms:modified>
</cp:coreProperties>
</file>