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3E37">
      <w:pPr>
        <w:pStyle w:val="Textoindependiente"/>
        <w:rPr>
          <w:rFonts w:ascii="Times New Roman"/>
          <w:sz w:val="20"/>
        </w:rPr>
      </w:pPr>
    </w:p>
    <w:p w:rsidR="00AE3E37" w:rsidRDefault="00BB62F0">
      <w:pPr>
        <w:pStyle w:val="Ttulo1"/>
        <w:spacing w:before="170"/>
      </w:pPr>
      <w:r>
        <w:rPr>
          <w:color w:val="337AB7"/>
        </w:rPr>
        <w:t xml:space="preserve">Effect of spry drying, high pressure and UV radiation in the quality of human milk </w:t>
      </w:r>
    </w:p>
    <w:p w:rsidR="00BB62F0" w:rsidRPr="00BB62F0" w:rsidRDefault="00BB62F0" w:rsidP="00BB62F0">
      <w:pPr>
        <w:autoSpaceDE w:val="0"/>
        <w:autoSpaceDN w:val="0"/>
        <w:adjustRightInd w:val="0"/>
        <w:jc w:val="both"/>
        <w:rPr>
          <w:rFonts w:ascii="Arial" w:hAnsi="Arial" w:cs="Arial"/>
          <w:sz w:val="18"/>
          <w:szCs w:val="18"/>
          <w:lang w:val="es-MX"/>
        </w:rPr>
      </w:pPr>
      <w:proofErr w:type="gramStart"/>
      <w:r w:rsidRPr="00BB62F0">
        <w:rPr>
          <w:rFonts w:ascii="Arial"/>
          <w:sz w:val="18"/>
          <w:szCs w:val="18"/>
        </w:rPr>
        <w:t>Ariana Rodr</w:t>
      </w:r>
      <w:r w:rsidRPr="00BB62F0">
        <w:rPr>
          <w:rFonts w:ascii="Arial"/>
          <w:sz w:val="18"/>
          <w:szCs w:val="18"/>
        </w:rPr>
        <w:t>í</w:t>
      </w:r>
      <w:r w:rsidRPr="00BB62F0">
        <w:rPr>
          <w:rFonts w:ascii="Arial"/>
          <w:sz w:val="18"/>
          <w:szCs w:val="18"/>
        </w:rPr>
        <w:t>guez Arreola</w:t>
      </w:r>
      <w:r w:rsidR="007A5C7A">
        <w:rPr>
          <w:rFonts w:ascii="Arial"/>
          <w:sz w:val="18"/>
          <w:szCs w:val="18"/>
        </w:rPr>
        <w:t>*</w:t>
      </w:r>
      <w:r w:rsidR="00402FA5">
        <w:rPr>
          <w:rFonts w:ascii="Arial"/>
          <w:sz w:val="18"/>
          <w:szCs w:val="18"/>
        </w:rPr>
        <w:t xml:space="preserve">, </w:t>
      </w:r>
      <w:r w:rsidRPr="00BB62F0">
        <w:rPr>
          <w:rFonts w:ascii="Arial" w:hAnsi="Arial" w:cs="Arial"/>
          <w:sz w:val="18"/>
          <w:szCs w:val="18"/>
        </w:rPr>
        <w:t>Ph. D. student in Biotechnological Processes.</w:t>
      </w:r>
      <w:proofErr w:type="gramEnd"/>
      <w:r w:rsidRPr="00BB62F0">
        <w:rPr>
          <w:rFonts w:ascii="Arial" w:hAnsi="Arial" w:cs="Arial"/>
          <w:sz w:val="18"/>
          <w:szCs w:val="18"/>
        </w:rPr>
        <w:t xml:space="preserve"> </w:t>
      </w:r>
      <w:r w:rsidRPr="00BB62F0">
        <w:rPr>
          <w:rFonts w:ascii="Arial" w:hAnsi="Arial" w:cs="Arial"/>
          <w:sz w:val="18"/>
          <w:szCs w:val="18"/>
          <w:lang w:val="es-MX"/>
        </w:rPr>
        <w:t xml:space="preserve">CUCEI. Universidad de Guadalajara. </w:t>
      </w:r>
      <w:r w:rsidRPr="00BB62F0">
        <w:rPr>
          <w:rFonts w:ascii="Arial" w:hAnsi="Arial" w:cs="Arial"/>
          <w:i/>
          <w:sz w:val="18"/>
          <w:szCs w:val="18"/>
          <w:lang w:val="es-MX"/>
        </w:rPr>
        <w:t xml:space="preserve">Boulevard Marcelino García Barragán </w:t>
      </w:r>
      <w:r w:rsidRPr="00BB62F0">
        <w:rPr>
          <w:rFonts w:ascii="Arial" w:hAnsi="Arial" w:cs="Arial"/>
          <w:sz w:val="18"/>
          <w:szCs w:val="18"/>
          <w:lang w:val="es-MX"/>
        </w:rPr>
        <w:t xml:space="preserve">1421, </w:t>
      </w:r>
      <w:r w:rsidRPr="00BB62F0">
        <w:rPr>
          <w:rFonts w:ascii="Arial" w:hAnsi="Arial" w:cs="Arial"/>
          <w:i/>
          <w:sz w:val="18"/>
          <w:szCs w:val="18"/>
          <w:lang w:val="es-MX"/>
        </w:rPr>
        <w:t xml:space="preserve">colonia Olímpica, </w:t>
      </w:r>
      <w:r w:rsidRPr="00BB62F0">
        <w:rPr>
          <w:rFonts w:ascii="Arial" w:hAnsi="Arial" w:cs="Arial"/>
          <w:sz w:val="18"/>
          <w:szCs w:val="18"/>
          <w:lang w:val="es-MX"/>
        </w:rPr>
        <w:t xml:space="preserve"> C.P. 44430, Guadalajara, Jalisco, México.</w:t>
      </w:r>
    </w:p>
    <w:p w:rsidR="00BB62F0" w:rsidRPr="00BB62F0" w:rsidRDefault="00BB62F0" w:rsidP="00BB62F0">
      <w:pPr>
        <w:autoSpaceDE w:val="0"/>
        <w:autoSpaceDN w:val="0"/>
        <w:adjustRightInd w:val="0"/>
        <w:jc w:val="both"/>
        <w:rPr>
          <w:rFonts w:ascii="Arial" w:hAnsi="Arial" w:cs="Arial"/>
          <w:sz w:val="18"/>
          <w:szCs w:val="18"/>
          <w:lang w:val="es-MX"/>
        </w:rPr>
      </w:pPr>
      <w:r w:rsidRPr="00BB62F0">
        <w:rPr>
          <w:rFonts w:ascii="Arial" w:hAnsi="Arial" w:cs="Arial"/>
          <w:sz w:val="18"/>
          <w:szCs w:val="18"/>
          <w:lang w:val="es-MX"/>
        </w:rPr>
        <w:t>Adriana Cavazos Garduño, Blanca Rosa Aguilar Uscanga</w:t>
      </w:r>
      <w:r>
        <w:rPr>
          <w:rFonts w:ascii="Arial" w:hAnsi="Arial" w:cs="Arial"/>
          <w:lang w:val="es-MX"/>
        </w:rPr>
        <w:t xml:space="preserve">, </w:t>
      </w:r>
      <w:r w:rsidRPr="00BB62F0">
        <w:rPr>
          <w:rFonts w:ascii="Arial" w:hAnsi="Arial" w:cs="Arial"/>
          <w:sz w:val="18"/>
          <w:szCs w:val="18"/>
          <w:lang w:val="es-MX"/>
        </w:rPr>
        <w:t xml:space="preserve">Laboratorio de Microbiología Industrial. CUCEI. Universidad de Guadalajara. </w:t>
      </w:r>
      <w:r w:rsidRPr="00BB62F0">
        <w:rPr>
          <w:rFonts w:ascii="Arial" w:hAnsi="Arial" w:cs="Arial"/>
          <w:i/>
          <w:sz w:val="18"/>
          <w:szCs w:val="18"/>
          <w:lang w:val="es-MX"/>
        </w:rPr>
        <w:t>Boulevard General Marcelino García Barragán</w:t>
      </w:r>
      <w:r w:rsidRPr="00BB62F0">
        <w:rPr>
          <w:rFonts w:ascii="Arial" w:hAnsi="Arial" w:cs="Arial"/>
          <w:sz w:val="18"/>
          <w:szCs w:val="18"/>
          <w:lang w:val="es-MX"/>
        </w:rPr>
        <w:t xml:space="preserve"> 1421, </w:t>
      </w:r>
      <w:r w:rsidRPr="00BB62F0">
        <w:rPr>
          <w:rFonts w:ascii="Arial" w:hAnsi="Arial" w:cs="Arial"/>
          <w:i/>
          <w:sz w:val="18"/>
          <w:szCs w:val="18"/>
          <w:lang w:val="es-MX"/>
        </w:rPr>
        <w:t>colonia Olímpica</w:t>
      </w:r>
      <w:r w:rsidRPr="00BB62F0">
        <w:rPr>
          <w:rFonts w:ascii="Arial" w:hAnsi="Arial" w:cs="Arial"/>
          <w:sz w:val="18"/>
          <w:szCs w:val="18"/>
          <w:lang w:val="es-MX"/>
        </w:rPr>
        <w:t>, C.P. 44430, Guadalajara, Jalisco, México.</w:t>
      </w:r>
    </w:p>
    <w:p w:rsidR="00AE3E37" w:rsidRPr="00BB62F0" w:rsidRDefault="00AE3E37">
      <w:pPr>
        <w:pStyle w:val="Textoindependiente"/>
        <w:rPr>
          <w:rFonts w:ascii="Arial" w:hAnsi="Arial" w:cs="Arial"/>
          <w:lang w:val="es-MX"/>
        </w:rPr>
      </w:pPr>
    </w:p>
    <w:p w:rsidR="00AE3E37" w:rsidRPr="00BB62F0" w:rsidRDefault="00AE3E37">
      <w:pPr>
        <w:pStyle w:val="Textoindependiente"/>
        <w:spacing w:before="3"/>
        <w:rPr>
          <w:rFonts w:ascii="Arial"/>
          <w:sz w:val="21"/>
          <w:lang w:val="es-MX"/>
        </w:rPr>
      </w:pPr>
    </w:p>
    <w:p w:rsidR="00AE3E37" w:rsidRPr="00BB62F0" w:rsidRDefault="00AE3E37">
      <w:pPr>
        <w:rPr>
          <w:rFonts w:ascii="Arial"/>
          <w:sz w:val="21"/>
          <w:lang w:val="es-MX"/>
        </w:rPr>
        <w:sectPr w:rsidR="00AE3E37" w:rsidRPr="00BB62F0">
          <w:headerReference w:type="default" r:id="rId8"/>
          <w:footerReference w:type="default" r:id="rId9"/>
          <w:type w:val="continuous"/>
          <w:pgSz w:w="11910" w:h="16840"/>
          <w:pgMar w:top="1740" w:right="600" w:bottom="840" w:left="620" w:header="541" w:footer="642" w:gutter="0"/>
          <w:cols w:space="720"/>
        </w:sectPr>
      </w:pPr>
      <w:bookmarkStart w:id="0" w:name="_GoBack"/>
      <w:bookmarkEnd w:id="0"/>
    </w:p>
    <w:p w:rsidR="00AE3E37" w:rsidRDefault="00A9710C">
      <w:pPr>
        <w:pStyle w:val="Ttulo3"/>
        <w:spacing w:before="147"/>
        <w:jc w:val="both"/>
        <w:rPr>
          <w:color w:val="BF5A14"/>
        </w:rPr>
      </w:pPr>
      <w:r>
        <w:rPr>
          <w:color w:val="BF5A14"/>
        </w:rPr>
        <w:lastRenderedPageBreak/>
        <w:t>Abstract</w:t>
      </w:r>
      <w:r w:rsidR="00404E5B">
        <w:rPr>
          <w:color w:val="BF5A14"/>
        </w:rPr>
        <w:t xml:space="preserve"> </w:t>
      </w:r>
    </w:p>
    <w:p w:rsidR="00BB62F0" w:rsidRDefault="00BB62F0">
      <w:pPr>
        <w:pStyle w:val="Ttulo3"/>
        <w:spacing w:before="147"/>
        <w:jc w:val="both"/>
      </w:pPr>
    </w:p>
    <w:p w:rsidR="00BB62F0" w:rsidRPr="00DA3BA5" w:rsidRDefault="00BB62F0" w:rsidP="00BB62F0">
      <w:pPr>
        <w:spacing w:line="360" w:lineRule="auto"/>
        <w:ind w:firstLine="708"/>
        <w:jc w:val="both"/>
        <w:rPr>
          <w:rFonts w:cs="Arial"/>
          <w:sz w:val="18"/>
          <w:szCs w:val="18"/>
        </w:rPr>
      </w:pPr>
      <w:r w:rsidRPr="00DA3BA5">
        <w:rPr>
          <w:rFonts w:cs="Arial"/>
          <w:sz w:val="18"/>
          <w:szCs w:val="18"/>
        </w:rPr>
        <w:t>Many studies have proved that human milk is the ideal food to feed children during the first six months of life, complementing their feeding with other more complex foods up to two years. But there is the problem of those children whose mothers can’t feed them for some reason beyond their control. For this, it has begun the transformation of mother's milk in powder treated with high pressures</w:t>
      </w:r>
      <w:r w:rsidR="00402FA5">
        <w:rPr>
          <w:rFonts w:cs="Arial"/>
          <w:sz w:val="18"/>
          <w:szCs w:val="18"/>
        </w:rPr>
        <w:t xml:space="preserve"> (HP)</w:t>
      </w:r>
      <w:r w:rsidRPr="00DA3BA5">
        <w:rPr>
          <w:rFonts w:cs="Arial"/>
          <w:sz w:val="18"/>
          <w:szCs w:val="18"/>
        </w:rPr>
        <w:t xml:space="preserve"> and UV </w:t>
      </w:r>
      <w:proofErr w:type="gramStart"/>
      <w:r w:rsidRPr="00DA3BA5">
        <w:rPr>
          <w:rFonts w:cs="Arial"/>
          <w:sz w:val="18"/>
          <w:szCs w:val="18"/>
        </w:rPr>
        <w:t>radiation,</w:t>
      </w:r>
      <w:proofErr w:type="gramEnd"/>
      <w:r w:rsidRPr="00DA3BA5">
        <w:rPr>
          <w:rFonts w:cs="Arial"/>
          <w:sz w:val="18"/>
          <w:szCs w:val="18"/>
        </w:rPr>
        <w:t xml:space="preserve"> with the purpose of supplying human milk Banks in Mexico.  It’s essential to know if this change allows human milk to conserve its nutritional properties, it’s also important to know if the shelf life of the product allows it to compete in quality with the big companies that make formulations of cow's milk powder for babies. The results obtained over the course of 10 weeks have shown that there is no significant loss in the protein and carbohydrates content of the spray-dried human milk powder relative to fresh human milk (p&gt; 0.05). Microbiological analyzes performed after high pressure  treatment and spray drying didn’t show growth in Standard Count, Dextrose and </w:t>
      </w:r>
      <w:proofErr w:type="spellStart"/>
      <w:r w:rsidRPr="00DA3BA5">
        <w:rPr>
          <w:rFonts w:cs="Arial"/>
          <w:sz w:val="18"/>
          <w:szCs w:val="18"/>
        </w:rPr>
        <w:t>Macconkey</w:t>
      </w:r>
      <w:proofErr w:type="spellEnd"/>
      <w:r w:rsidRPr="00DA3BA5">
        <w:rPr>
          <w:rFonts w:cs="Arial"/>
          <w:sz w:val="18"/>
          <w:szCs w:val="18"/>
        </w:rPr>
        <w:t xml:space="preserve"> agar, except in MRS agar ≤12 UFC;  treated with UV radiation there were growth in Standard Count, Potato Dextrose, and MRS agar. The results allow to continue with the transformation of the human milk powder and know which treatment is the best for it conservation.</w:t>
      </w:r>
    </w:p>
    <w:p w:rsidR="00AE3E37" w:rsidRDefault="00A9710C">
      <w:pPr>
        <w:pStyle w:val="Ttulo3"/>
        <w:spacing w:before="74"/>
      </w:pPr>
      <w:r>
        <w:rPr>
          <w:b w:val="0"/>
        </w:rPr>
        <w:br w:type="column"/>
      </w:r>
      <w:r>
        <w:rPr>
          <w:color w:val="BF5A14"/>
        </w:rPr>
        <w:lastRenderedPageBreak/>
        <w:t>Image</w:t>
      </w:r>
    </w:p>
    <w:p w:rsidR="00AE3E37" w:rsidRDefault="00BB62F0">
      <w:pPr>
        <w:pStyle w:val="Textoindependiente"/>
        <w:spacing w:before="2"/>
        <w:rPr>
          <w:noProof/>
          <w:lang w:val="es-MX" w:eastAsia="es-MX"/>
        </w:rPr>
      </w:pPr>
      <w:r>
        <w:rPr>
          <w:noProof/>
        </w:rPr>
        <w:drawing>
          <wp:inline distT="0" distB="0" distL="0" distR="0" wp14:anchorId="0D7891BF" wp14:editId="657C13F1">
            <wp:extent cx="3165475" cy="1910441"/>
            <wp:effectExtent l="0" t="0" r="15875" b="13970"/>
            <wp:docPr id="3"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B62F0" w:rsidRPr="00BB62F0" w:rsidRDefault="00BB62F0" w:rsidP="00BB62F0">
      <w:pPr>
        <w:pStyle w:val="NormalWeb"/>
        <w:shd w:val="clear" w:color="auto" w:fill="FFFFFF"/>
        <w:spacing w:before="0" w:beforeAutospacing="0" w:after="150" w:afterAutospacing="0"/>
        <w:jc w:val="both"/>
        <w:rPr>
          <w:rFonts w:ascii="Arial" w:hAnsi="Arial" w:cs="Arial"/>
          <w:b/>
          <w:bCs/>
          <w:color w:val="555555"/>
          <w:sz w:val="18"/>
          <w:szCs w:val="18"/>
          <w:lang w:val="en-US"/>
        </w:rPr>
      </w:pPr>
      <w:proofErr w:type="gramStart"/>
      <w:r>
        <w:rPr>
          <w:rStyle w:val="Textoennegrita"/>
          <w:rFonts w:ascii="Arial" w:hAnsi="Arial" w:cs="Arial"/>
          <w:color w:val="555555"/>
          <w:sz w:val="18"/>
          <w:szCs w:val="18"/>
          <w:lang w:val="en-US"/>
        </w:rPr>
        <w:t xml:space="preserve">Figure </w:t>
      </w:r>
      <w:r w:rsidRPr="00BB62F0">
        <w:rPr>
          <w:rStyle w:val="Textoennegrita"/>
          <w:rFonts w:ascii="Arial" w:hAnsi="Arial" w:cs="Arial"/>
          <w:color w:val="555555"/>
          <w:sz w:val="18"/>
          <w:szCs w:val="18"/>
          <w:lang w:val="en-US"/>
        </w:rPr>
        <w:t>1.</w:t>
      </w:r>
      <w:proofErr w:type="gramEnd"/>
      <w:r w:rsidRPr="00BB62F0">
        <w:rPr>
          <w:rStyle w:val="Textoennegrita"/>
          <w:rFonts w:ascii="Arial" w:hAnsi="Arial" w:cs="Arial"/>
          <w:color w:val="555555"/>
          <w:sz w:val="18"/>
          <w:szCs w:val="18"/>
          <w:lang w:val="en-US"/>
        </w:rPr>
        <w:t xml:space="preserve"> Comparison of concentration of proteins between fresh human milk and different treatments applied during ten week. </w:t>
      </w:r>
    </w:p>
    <w:p w:rsidR="00AE3E37" w:rsidRDefault="00BB62F0">
      <w:pPr>
        <w:spacing w:before="157"/>
        <w:ind w:left="100"/>
        <w:rPr>
          <w:rFonts w:ascii="Arial"/>
          <w:b/>
          <w:sz w:val="20"/>
        </w:rPr>
      </w:pPr>
      <w:r>
        <w:rPr>
          <w:rFonts w:ascii="Arial"/>
          <w:b/>
          <w:color w:val="BF5A14"/>
          <w:sz w:val="20"/>
        </w:rPr>
        <w:t>Biography</w:t>
      </w:r>
    </w:p>
    <w:p w:rsidR="00BB62F0" w:rsidRPr="00BB62F0" w:rsidRDefault="00BB62F0" w:rsidP="00BB62F0">
      <w:pPr>
        <w:pStyle w:val="Prrafodelista"/>
        <w:widowControl/>
        <w:numPr>
          <w:ilvl w:val="0"/>
          <w:numId w:val="3"/>
        </w:numPr>
        <w:autoSpaceDE w:val="0"/>
        <w:autoSpaceDN w:val="0"/>
        <w:adjustRightInd w:val="0"/>
        <w:spacing w:before="0" w:line="240" w:lineRule="auto"/>
        <w:ind w:right="-93"/>
        <w:contextualSpacing/>
        <w:rPr>
          <w:rFonts w:asciiTheme="minorHAnsi" w:hAnsiTheme="minorHAnsi" w:cs="Arial"/>
          <w:sz w:val="18"/>
          <w:szCs w:val="18"/>
        </w:rPr>
      </w:pPr>
      <w:r w:rsidRPr="00BB62F0">
        <w:rPr>
          <w:rFonts w:asciiTheme="minorHAnsi" w:hAnsiTheme="minorHAnsi" w:cs="Arial"/>
          <w:sz w:val="18"/>
          <w:szCs w:val="18"/>
          <w:lang w:val="es-MX"/>
        </w:rPr>
        <w:t xml:space="preserve">Almeida J.A. 2008. La leche humana: un híbrido biológico social. En: </w:t>
      </w:r>
      <w:r w:rsidRPr="00BB62F0">
        <w:rPr>
          <w:rFonts w:asciiTheme="minorHAnsi" w:hAnsiTheme="minorHAnsi" w:cs="Arial"/>
          <w:i/>
          <w:sz w:val="18"/>
          <w:szCs w:val="18"/>
          <w:lang w:val="es-MX"/>
        </w:rPr>
        <w:t>Manual de Lactancia Materna. De la teoría a la práctica.</w:t>
      </w:r>
      <w:r w:rsidRPr="00BB62F0">
        <w:rPr>
          <w:rFonts w:asciiTheme="minorHAnsi" w:hAnsiTheme="minorHAnsi" w:cs="Arial"/>
          <w:sz w:val="18"/>
          <w:szCs w:val="18"/>
          <w:lang w:val="es-MX"/>
        </w:rPr>
        <w:t xml:space="preserve"> </w:t>
      </w:r>
      <w:proofErr w:type="spellStart"/>
      <w:r w:rsidRPr="00BB62F0">
        <w:rPr>
          <w:rFonts w:asciiTheme="minorHAnsi" w:hAnsiTheme="minorHAnsi" w:cs="Arial"/>
          <w:sz w:val="18"/>
          <w:szCs w:val="18"/>
        </w:rPr>
        <w:t>Asociación</w:t>
      </w:r>
      <w:proofErr w:type="spellEnd"/>
      <w:r w:rsidRPr="00BB62F0">
        <w:rPr>
          <w:rFonts w:asciiTheme="minorHAnsi" w:hAnsiTheme="minorHAnsi" w:cs="Arial"/>
          <w:sz w:val="18"/>
          <w:szCs w:val="18"/>
        </w:rPr>
        <w:t xml:space="preserve"> Española de </w:t>
      </w:r>
      <w:proofErr w:type="spellStart"/>
      <w:r w:rsidRPr="00BB62F0">
        <w:rPr>
          <w:rFonts w:asciiTheme="minorHAnsi" w:hAnsiTheme="minorHAnsi" w:cs="Arial"/>
          <w:sz w:val="18"/>
          <w:szCs w:val="18"/>
        </w:rPr>
        <w:t>Pediatría</w:t>
      </w:r>
      <w:proofErr w:type="spellEnd"/>
      <w:r w:rsidRPr="00BB62F0">
        <w:rPr>
          <w:rFonts w:asciiTheme="minorHAnsi" w:hAnsiTheme="minorHAnsi" w:cs="Arial"/>
          <w:sz w:val="18"/>
          <w:szCs w:val="18"/>
        </w:rPr>
        <w:t xml:space="preserve">. Editorial </w:t>
      </w:r>
      <w:proofErr w:type="spellStart"/>
      <w:r w:rsidRPr="00BB62F0">
        <w:rPr>
          <w:rFonts w:asciiTheme="minorHAnsi" w:hAnsiTheme="minorHAnsi" w:cs="Arial"/>
          <w:sz w:val="18"/>
          <w:szCs w:val="18"/>
        </w:rPr>
        <w:t>Médica</w:t>
      </w:r>
      <w:proofErr w:type="spellEnd"/>
      <w:r w:rsidRPr="00BB62F0">
        <w:rPr>
          <w:rFonts w:asciiTheme="minorHAnsi" w:hAnsiTheme="minorHAnsi" w:cs="Arial"/>
          <w:sz w:val="18"/>
          <w:szCs w:val="18"/>
        </w:rPr>
        <w:t xml:space="preserve"> Panamericana.69-74.</w:t>
      </w:r>
    </w:p>
    <w:p w:rsidR="00BB62F0" w:rsidRPr="00BB62F0" w:rsidRDefault="00BB62F0" w:rsidP="00BB62F0">
      <w:pPr>
        <w:pStyle w:val="Prrafodelista"/>
        <w:widowControl/>
        <w:numPr>
          <w:ilvl w:val="0"/>
          <w:numId w:val="3"/>
        </w:numPr>
        <w:spacing w:before="0" w:line="240" w:lineRule="auto"/>
        <w:ind w:right="-93"/>
        <w:contextualSpacing/>
        <w:rPr>
          <w:rFonts w:asciiTheme="minorHAnsi" w:hAnsiTheme="minorHAnsi" w:cs="Arial"/>
          <w:sz w:val="18"/>
          <w:szCs w:val="18"/>
        </w:rPr>
      </w:pPr>
      <w:r w:rsidRPr="00BB62F0">
        <w:rPr>
          <w:rFonts w:asciiTheme="minorHAnsi" w:hAnsiTheme="minorHAnsi" w:cs="Arial"/>
          <w:bCs/>
          <w:color w:val="000000" w:themeColor="text1"/>
          <w:sz w:val="18"/>
          <w:szCs w:val="18"/>
          <w:shd w:val="clear" w:color="auto" w:fill="FFFFFF"/>
          <w:lang w:val="es-MX"/>
        </w:rPr>
        <w:t xml:space="preserve">García L.R. 2011. Composición e inmunología de la leche humana. </w:t>
      </w:r>
      <w:r w:rsidRPr="00BB62F0">
        <w:rPr>
          <w:rFonts w:asciiTheme="minorHAnsi" w:hAnsiTheme="minorHAnsi" w:cs="Arial"/>
          <w:bCs/>
          <w:i/>
          <w:color w:val="000000" w:themeColor="text1"/>
          <w:sz w:val="18"/>
          <w:szCs w:val="18"/>
          <w:shd w:val="clear" w:color="auto" w:fill="FFFFFF"/>
        </w:rPr>
        <w:t xml:space="preserve">Ac. </w:t>
      </w:r>
      <w:proofErr w:type="spellStart"/>
      <w:r w:rsidRPr="00BB62F0">
        <w:rPr>
          <w:rFonts w:asciiTheme="minorHAnsi" w:hAnsiTheme="minorHAnsi" w:cs="Arial"/>
          <w:bCs/>
          <w:i/>
          <w:color w:val="000000" w:themeColor="text1"/>
          <w:sz w:val="18"/>
          <w:szCs w:val="18"/>
          <w:shd w:val="clear" w:color="auto" w:fill="FFFFFF"/>
        </w:rPr>
        <w:t>Pediatr.Mex</w:t>
      </w:r>
      <w:proofErr w:type="spellEnd"/>
      <w:r w:rsidRPr="00BB62F0">
        <w:rPr>
          <w:rFonts w:asciiTheme="minorHAnsi" w:hAnsiTheme="minorHAnsi" w:cs="Arial"/>
          <w:bCs/>
          <w:color w:val="000000" w:themeColor="text1"/>
          <w:sz w:val="18"/>
          <w:szCs w:val="18"/>
          <w:shd w:val="clear" w:color="auto" w:fill="FFFFFF"/>
        </w:rPr>
        <w:t>. 32:223-230.</w:t>
      </w:r>
    </w:p>
    <w:p w:rsidR="00BB62F0" w:rsidRPr="00BB62F0" w:rsidRDefault="00BB62F0" w:rsidP="00BB62F0">
      <w:pPr>
        <w:pStyle w:val="Prrafodelista"/>
        <w:widowControl/>
        <w:numPr>
          <w:ilvl w:val="0"/>
          <w:numId w:val="3"/>
        </w:numPr>
        <w:spacing w:before="0" w:line="240" w:lineRule="auto"/>
        <w:ind w:right="-93"/>
        <w:contextualSpacing/>
        <w:rPr>
          <w:rFonts w:asciiTheme="minorHAnsi" w:hAnsiTheme="minorHAnsi" w:cs="Arial"/>
          <w:sz w:val="18"/>
          <w:szCs w:val="18"/>
        </w:rPr>
      </w:pPr>
      <w:proofErr w:type="spellStart"/>
      <w:r w:rsidRPr="00BB62F0">
        <w:rPr>
          <w:rFonts w:asciiTheme="minorHAnsi" w:hAnsiTheme="minorHAnsi" w:cs="Arial"/>
          <w:sz w:val="18"/>
          <w:szCs w:val="18"/>
        </w:rPr>
        <w:t>Gnoth</w:t>
      </w:r>
      <w:proofErr w:type="spellEnd"/>
      <w:r w:rsidRPr="00BB62F0">
        <w:rPr>
          <w:rFonts w:asciiTheme="minorHAnsi" w:hAnsiTheme="minorHAnsi" w:cs="Arial"/>
          <w:sz w:val="18"/>
          <w:szCs w:val="18"/>
        </w:rPr>
        <w:t xml:space="preserve"> J.M., Kunz C., </w:t>
      </w:r>
      <w:proofErr w:type="spellStart"/>
      <w:r w:rsidRPr="00BB62F0">
        <w:rPr>
          <w:rFonts w:asciiTheme="minorHAnsi" w:hAnsiTheme="minorHAnsi" w:cs="Arial"/>
          <w:sz w:val="18"/>
          <w:szCs w:val="18"/>
        </w:rPr>
        <w:t>Kinne</w:t>
      </w:r>
      <w:proofErr w:type="spellEnd"/>
      <w:r w:rsidRPr="00BB62F0">
        <w:rPr>
          <w:rFonts w:asciiTheme="minorHAnsi" w:hAnsiTheme="minorHAnsi" w:cs="Arial"/>
          <w:sz w:val="18"/>
          <w:szCs w:val="18"/>
        </w:rPr>
        <w:t xml:space="preserve"> S.E., </w:t>
      </w:r>
      <w:proofErr w:type="spellStart"/>
      <w:r w:rsidRPr="00BB62F0">
        <w:rPr>
          <w:rFonts w:asciiTheme="minorHAnsi" w:hAnsiTheme="minorHAnsi" w:cs="Arial"/>
          <w:sz w:val="18"/>
          <w:szCs w:val="18"/>
        </w:rPr>
        <w:t>Rudloff</w:t>
      </w:r>
      <w:proofErr w:type="spellEnd"/>
      <w:r w:rsidRPr="00BB62F0">
        <w:rPr>
          <w:rFonts w:asciiTheme="minorHAnsi" w:hAnsiTheme="minorHAnsi" w:cs="Arial"/>
          <w:sz w:val="18"/>
          <w:szCs w:val="18"/>
        </w:rPr>
        <w:t xml:space="preserve"> S. 2015. </w:t>
      </w:r>
      <w:r w:rsidRPr="00BB62F0">
        <w:rPr>
          <w:rFonts w:asciiTheme="minorHAnsi" w:hAnsiTheme="minorHAnsi" w:cs="Arial"/>
          <w:bCs/>
          <w:sz w:val="18"/>
          <w:szCs w:val="18"/>
        </w:rPr>
        <w:t xml:space="preserve">Human Milk Oligosaccharides Are Minimally Digested In Vitro. </w:t>
      </w:r>
      <w:r w:rsidRPr="00BB62F0">
        <w:rPr>
          <w:rFonts w:asciiTheme="minorHAnsi" w:hAnsiTheme="minorHAnsi" w:cs="Arial"/>
          <w:bCs/>
          <w:i/>
          <w:sz w:val="18"/>
          <w:szCs w:val="18"/>
        </w:rPr>
        <w:t xml:space="preserve">Journal of Nutrition. </w:t>
      </w:r>
      <w:r w:rsidRPr="00BB62F0">
        <w:rPr>
          <w:rFonts w:asciiTheme="minorHAnsi" w:hAnsiTheme="minorHAnsi" w:cs="Arial"/>
          <w:bCs/>
          <w:sz w:val="18"/>
          <w:szCs w:val="18"/>
        </w:rPr>
        <w:t xml:space="preserve">130. </w:t>
      </w:r>
    </w:p>
    <w:p w:rsidR="00BB62F0" w:rsidRPr="00BB62F0" w:rsidRDefault="00BB62F0" w:rsidP="00BB62F0">
      <w:pPr>
        <w:pStyle w:val="Prrafodelista"/>
        <w:widowControl/>
        <w:numPr>
          <w:ilvl w:val="0"/>
          <w:numId w:val="3"/>
        </w:numPr>
        <w:spacing w:before="0" w:line="240" w:lineRule="auto"/>
        <w:ind w:right="-93"/>
        <w:contextualSpacing/>
        <w:rPr>
          <w:rFonts w:asciiTheme="minorHAnsi" w:hAnsiTheme="minorHAnsi" w:cs="Arial"/>
          <w:sz w:val="18"/>
          <w:szCs w:val="18"/>
        </w:rPr>
      </w:pPr>
      <w:r w:rsidRPr="00BB62F0">
        <w:rPr>
          <w:rFonts w:asciiTheme="minorHAnsi" w:hAnsiTheme="minorHAnsi" w:cs="Arial"/>
          <w:sz w:val="18"/>
          <w:szCs w:val="18"/>
        </w:rPr>
        <w:t xml:space="preserve">Kramer M.S., </w:t>
      </w:r>
      <w:proofErr w:type="spellStart"/>
      <w:r w:rsidRPr="00BB62F0">
        <w:rPr>
          <w:rFonts w:asciiTheme="minorHAnsi" w:hAnsiTheme="minorHAnsi" w:cs="Arial"/>
          <w:sz w:val="18"/>
          <w:szCs w:val="18"/>
        </w:rPr>
        <w:t>Aboud</w:t>
      </w:r>
      <w:proofErr w:type="spellEnd"/>
      <w:r w:rsidRPr="00BB62F0">
        <w:rPr>
          <w:rFonts w:asciiTheme="minorHAnsi" w:hAnsiTheme="minorHAnsi" w:cs="Arial"/>
          <w:sz w:val="18"/>
          <w:szCs w:val="18"/>
        </w:rPr>
        <w:t xml:space="preserve"> F., </w:t>
      </w:r>
      <w:proofErr w:type="spellStart"/>
      <w:r w:rsidRPr="00BB62F0">
        <w:rPr>
          <w:rFonts w:asciiTheme="minorHAnsi" w:hAnsiTheme="minorHAnsi" w:cs="Arial"/>
          <w:sz w:val="18"/>
          <w:szCs w:val="18"/>
        </w:rPr>
        <w:t>Mironova</w:t>
      </w:r>
      <w:proofErr w:type="spellEnd"/>
      <w:r w:rsidRPr="00BB62F0">
        <w:rPr>
          <w:rFonts w:asciiTheme="minorHAnsi" w:hAnsiTheme="minorHAnsi" w:cs="Arial"/>
          <w:sz w:val="18"/>
          <w:szCs w:val="18"/>
        </w:rPr>
        <w:t xml:space="preserve"> E., </w:t>
      </w:r>
      <w:proofErr w:type="spellStart"/>
      <w:r w:rsidRPr="00BB62F0">
        <w:rPr>
          <w:rFonts w:asciiTheme="minorHAnsi" w:hAnsiTheme="minorHAnsi" w:cs="Arial"/>
          <w:sz w:val="18"/>
          <w:szCs w:val="18"/>
        </w:rPr>
        <w:t>Vanilovich</w:t>
      </w:r>
      <w:proofErr w:type="spellEnd"/>
      <w:r w:rsidRPr="00BB62F0">
        <w:rPr>
          <w:rFonts w:asciiTheme="minorHAnsi" w:hAnsiTheme="minorHAnsi" w:cs="Arial"/>
          <w:sz w:val="18"/>
          <w:szCs w:val="18"/>
        </w:rPr>
        <w:t xml:space="preserve"> I., Platt R.W., </w:t>
      </w:r>
      <w:proofErr w:type="spellStart"/>
      <w:r w:rsidRPr="00BB62F0">
        <w:rPr>
          <w:rFonts w:asciiTheme="minorHAnsi" w:hAnsiTheme="minorHAnsi" w:cs="Arial"/>
          <w:sz w:val="18"/>
          <w:szCs w:val="18"/>
        </w:rPr>
        <w:t>Matush</w:t>
      </w:r>
      <w:proofErr w:type="spellEnd"/>
      <w:r w:rsidRPr="00BB62F0">
        <w:rPr>
          <w:rFonts w:asciiTheme="minorHAnsi" w:hAnsiTheme="minorHAnsi" w:cs="Arial"/>
          <w:sz w:val="18"/>
          <w:szCs w:val="18"/>
        </w:rPr>
        <w:t xml:space="preserve"> L. 2008.  Breastfeeding and Child Cognitive Development. New Evidence </w:t>
      </w:r>
      <w:proofErr w:type="gramStart"/>
      <w:r w:rsidRPr="00BB62F0">
        <w:rPr>
          <w:rFonts w:asciiTheme="minorHAnsi" w:hAnsiTheme="minorHAnsi" w:cs="Arial"/>
          <w:sz w:val="18"/>
          <w:szCs w:val="18"/>
        </w:rPr>
        <w:t>From</w:t>
      </w:r>
      <w:proofErr w:type="gramEnd"/>
      <w:r w:rsidRPr="00BB62F0">
        <w:rPr>
          <w:rFonts w:asciiTheme="minorHAnsi" w:hAnsiTheme="minorHAnsi" w:cs="Arial"/>
          <w:sz w:val="18"/>
          <w:szCs w:val="18"/>
        </w:rPr>
        <w:t xml:space="preserve"> a Large Randomized Trial. </w:t>
      </w:r>
      <w:r w:rsidRPr="00BB62F0">
        <w:rPr>
          <w:rFonts w:asciiTheme="minorHAnsi" w:hAnsiTheme="minorHAnsi" w:cs="Arial"/>
          <w:i/>
          <w:sz w:val="18"/>
          <w:szCs w:val="18"/>
        </w:rPr>
        <w:t>Arch Gen Psychiatry</w:t>
      </w:r>
      <w:r w:rsidRPr="00BB62F0">
        <w:rPr>
          <w:rFonts w:asciiTheme="minorHAnsi" w:hAnsiTheme="minorHAnsi" w:cs="Arial"/>
          <w:sz w:val="18"/>
          <w:szCs w:val="18"/>
        </w:rPr>
        <w:t xml:space="preserve">. 65: 578- 584. </w:t>
      </w:r>
    </w:p>
    <w:p w:rsidR="00BB62F0" w:rsidRPr="00BB62F0" w:rsidRDefault="00BB62F0" w:rsidP="00BB62F0">
      <w:pPr>
        <w:pStyle w:val="Prrafodelista"/>
        <w:widowControl/>
        <w:numPr>
          <w:ilvl w:val="0"/>
          <w:numId w:val="3"/>
        </w:numPr>
        <w:autoSpaceDE w:val="0"/>
        <w:autoSpaceDN w:val="0"/>
        <w:adjustRightInd w:val="0"/>
        <w:spacing w:before="0" w:line="240" w:lineRule="auto"/>
        <w:contextualSpacing/>
        <w:rPr>
          <w:rFonts w:asciiTheme="minorHAnsi" w:hAnsiTheme="minorHAnsi" w:cs="Arial"/>
          <w:sz w:val="18"/>
          <w:szCs w:val="18"/>
        </w:rPr>
      </w:pPr>
      <w:r w:rsidRPr="00BB62F0">
        <w:rPr>
          <w:rFonts w:asciiTheme="minorHAnsi" w:hAnsiTheme="minorHAnsi" w:cs="Arial"/>
          <w:sz w:val="18"/>
          <w:szCs w:val="18"/>
        </w:rPr>
        <w:t xml:space="preserve">Shi, Y.-d., Sun, G.-q., Zhang, Z.-g., Deng, X., Kang, X.-h., Liu, Z.-d., Ma, Y. and Sheng, Q.-H. (2011). </w:t>
      </w:r>
      <w:proofErr w:type="gramStart"/>
      <w:r w:rsidRPr="00BB62F0">
        <w:rPr>
          <w:rFonts w:asciiTheme="minorHAnsi" w:hAnsiTheme="minorHAnsi" w:cs="Arial"/>
          <w:sz w:val="18"/>
          <w:szCs w:val="18"/>
        </w:rPr>
        <w:t>The</w:t>
      </w:r>
      <w:proofErr w:type="gramEnd"/>
      <w:r w:rsidRPr="00BB62F0">
        <w:rPr>
          <w:rFonts w:asciiTheme="minorHAnsi" w:hAnsiTheme="minorHAnsi" w:cs="Arial"/>
          <w:sz w:val="18"/>
          <w:szCs w:val="18"/>
        </w:rPr>
        <w:t xml:space="preserve"> chemical composition of human milk from Inner Mongolia of China. </w:t>
      </w:r>
      <w:r w:rsidRPr="00BB62F0">
        <w:rPr>
          <w:rFonts w:asciiTheme="minorHAnsi" w:hAnsiTheme="minorHAnsi" w:cs="Arial"/>
          <w:i/>
          <w:sz w:val="18"/>
          <w:szCs w:val="18"/>
        </w:rPr>
        <w:t>Food Chem.</w:t>
      </w:r>
      <w:r w:rsidRPr="00BB62F0">
        <w:rPr>
          <w:rFonts w:asciiTheme="minorHAnsi" w:hAnsiTheme="minorHAnsi" w:cs="Arial"/>
          <w:sz w:val="18"/>
          <w:szCs w:val="18"/>
        </w:rPr>
        <w:t xml:space="preserve"> 127(3):1193–1198.</w:t>
      </w:r>
    </w:p>
    <w:p w:rsidR="00BB62F0" w:rsidRPr="00BB62F0" w:rsidRDefault="00BB62F0" w:rsidP="00BB62F0">
      <w:pPr>
        <w:pStyle w:val="Prrafodelista"/>
        <w:widowControl/>
        <w:numPr>
          <w:ilvl w:val="0"/>
          <w:numId w:val="3"/>
        </w:numPr>
        <w:autoSpaceDE w:val="0"/>
        <w:autoSpaceDN w:val="0"/>
        <w:adjustRightInd w:val="0"/>
        <w:spacing w:before="0" w:line="240" w:lineRule="auto"/>
        <w:ind w:right="-93"/>
        <w:contextualSpacing/>
        <w:rPr>
          <w:rFonts w:asciiTheme="minorHAnsi" w:hAnsiTheme="minorHAnsi" w:cs="Arial"/>
          <w:sz w:val="18"/>
          <w:szCs w:val="18"/>
        </w:rPr>
      </w:pPr>
      <w:r w:rsidRPr="00BB62F0">
        <w:rPr>
          <w:rFonts w:asciiTheme="minorHAnsi" w:hAnsiTheme="minorHAnsi" w:cs="Arial"/>
          <w:sz w:val="18"/>
          <w:szCs w:val="18"/>
        </w:rPr>
        <w:t xml:space="preserve">World Health Organization (WHO). (2014). </w:t>
      </w:r>
      <w:r w:rsidRPr="00BB62F0">
        <w:rPr>
          <w:rFonts w:asciiTheme="minorHAnsi" w:hAnsiTheme="minorHAnsi" w:cs="Arial"/>
          <w:sz w:val="18"/>
          <w:szCs w:val="18"/>
          <w:shd w:val="clear" w:color="auto" w:fill="FFFFFF"/>
        </w:rPr>
        <w:t xml:space="preserve">In the Global Strategy for Infant and Young Child Feeding. </w:t>
      </w:r>
      <w:hyperlink r:id="rId11" w:history="1">
        <w:r w:rsidRPr="00BB62F0">
          <w:rPr>
            <w:rStyle w:val="Hipervnculo"/>
            <w:rFonts w:asciiTheme="minorHAnsi" w:hAnsiTheme="minorHAnsi" w:cs="Arial"/>
            <w:sz w:val="18"/>
            <w:szCs w:val="18"/>
            <w:shd w:val="clear" w:color="auto" w:fill="FFFFFF"/>
          </w:rPr>
          <w:t>http://www.who.int/nutrition/topics/global_strategy_iycf/es/</w:t>
        </w:r>
      </w:hyperlink>
      <w:r w:rsidRPr="00BB62F0">
        <w:rPr>
          <w:rFonts w:asciiTheme="minorHAnsi" w:hAnsiTheme="minorHAnsi" w:cs="Arial"/>
          <w:sz w:val="18"/>
          <w:szCs w:val="18"/>
          <w:shd w:val="clear" w:color="auto" w:fill="FFFFFF"/>
        </w:rPr>
        <w:t xml:space="preserve"> . /Accessed 23 November 2016.</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Textoindependiente"/>
        <w:rPr>
          <w:rFonts w:ascii="Calibri"/>
          <w:sz w:val="20"/>
        </w:rPr>
      </w:pPr>
    </w:p>
    <w:p w:rsidR="00AE3E37" w:rsidRDefault="00AE3E37">
      <w:pPr>
        <w:pStyle w:val="Textoindependiente"/>
        <w:rPr>
          <w:rFonts w:ascii="Calibri"/>
          <w:sz w:val="20"/>
        </w:rPr>
      </w:pPr>
    </w:p>
    <w:p w:rsidR="00AE3E37" w:rsidRDefault="00AE3E37">
      <w:pPr>
        <w:pStyle w:val="Textoindependiente"/>
        <w:spacing w:before="5" w:after="1"/>
        <w:rPr>
          <w:rFonts w:ascii="Calibri"/>
          <w:sz w:val="29"/>
        </w:rPr>
      </w:pPr>
    </w:p>
    <w:p w:rsidR="00AE3E37" w:rsidRDefault="00815B72">
      <w:pPr>
        <w:pStyle w:val="Textoindependiente"/>
        <w:spacing w:line="40" w:lineRule="exact"/>
        <w:ind w:left="2202"/>
        <w:rPr>
          <w:rFonts w:ascii="Calibri"/>
          <w:sz w:val="4"/>
        </w:rPr>
      </w:pPr>
      <w:r>
        <w:rPr>
          <w:rFonts w:ascii="Calibri"/>
          <w:noProof/>
          <w:sz w:val="4"/>
          <w:lang w:val="es-MX" w:eastAsia="es-MX"/>
        </w:rPr>
        <mc:AlternateContent>
          <mc:Choice Requires="wpg">
            <w:drawing>
              <wp:inline distT="0" distB="0" distL="0" distR="0">
                <wp:extent cx="3975735" cy="25400"/>
                <wp:effectExtent l="0" t="0" r="5715" b="3175"/>
                <wp:docPr id="1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vRqVD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hd28IAAADbAAAADwAAAGRycy9kb3ducmV2LnhtbERPTU8CMRC9m/gfmjHxJq3EELNQCGoM&#10;Gk4gHLhNtsN2Qztd27Ks/96SmHibl/c5s8XgnegppjawhseRAkFcB9Nyo2H39f7wDCJlZIMuMGn4&#10;oQSL+e3NDCsTLryhfpsbUUI4VajB5txVUqbaksc0Ch1x4Y4heswFxkaaiJcS7p0cKzWRHlsuDRY7&#10;erVUn7Znr0FtvidWvbnPU/+S+8PKrZ/2bdT6/m5YTkFkGvK/+M/9Ycr8MVx/KQfI+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Mhd28IAAADbAAAADwAAAAAAAAAAAAAA&#10;AAChAgAAZHJzL2Rvd25yZXYueG1sUEsFBgAAAAAEAAQA+QAAAJADAAAAAA==&#10;" strokecolor="#004080" strokeweight="2pt"/>
                <w10:anchorlock/>
              </v:group>
            </w:pict>
          </mc:Fallback>
        </mc:AlternateContent>
      </w:r>
    </w:p>
    <w:p w:rsidR="00AE3E37" w:rsidRDefault="00404E5B" w:rsidP="00404E5B">
      <w:pPr>
        <w:spacing w:before="92"/>
        <w:ind w:right="4234"/>
        <w:rPr>
          <w:rFonts w:ascii="Arial"/>
        </w:rPr>
      </w:pPr>
      <w:r>
        <w:rPr>
          <w:rFonts w:ascii="Arial"/>
          <w:color w:val="BF5A14"/>
        </w:rPr>
        <w:t xml:space="preserve">                                         </w:t>
      </w:r>
    </w:p>
    <w:p w:rsidR="00AE3E37" w:rsidRDefault="00A9710C">
      <w:pPr>
        <w:spacing w:before="62"/>
        <w:ind w:left="4217" w:right="4235"/>
        <w:jc w:val="center"/>
        <w:rPr>
          <w:rFonts w:ascii="Arial"/>
          <w:sz w:val="14"/>
        </w:rPr>
      </w:pPr>
      <w:r>
        <w:rPr>
          <w:rFonts w:ascii="Arial"/>
          <w:sz w:val="14"/>
        </w:rPr>
        <w:t>Email</w:t>
      </w:r>
      <w:r w:rsidR="007A5C7A">
        <w:rPr>
          <w:rFonts w:ascii="Arial"/>
          <w:sz w:val="14"/>
        </w:rPr>
        <w:t>*</w:t>
      </w:r>
      <w:r>
        <w:rPr>
          <w:rFonts w:ascii="Arial"/>
          <w:sz w:val="14"/>
        </w:rPr>
        <w:t xml:space="preserve">: </w:t>
      </w:r>
      <w:hyperlink r:id="rId12" w:history="1">
        <w:r w:rsidR="007A5C7A" w:rsidRPr="00BF4366">
          <w:rPr>
            <w:rStyle w:val="Hipervnculo"/>
            <w:rFonts w:ascii="Arial"/>
            <w:sz w:val="14"/>
          </w:rPr>
          <w:t>ari03na@hotmail.com</w:t>
        </w:r>
      </w:hyperlink>
    </w:p>
    <w:p w:rsidR="00AE3E37" w:rsidRDefault="00815B72">
      <w:pPr>
        <w:pStyle w:val="Textoindependiente"/>
        <w:spacing w:before="2"/>
        <w:rPr>
          <w:rFonts w:ascii="Arial"/>
          <w:sz w:val="19"/>
        </w:rPr>
      </w:pPr>
      <w:r>
        <w:rPr>
          <w:noProof/>
          <w:lang w:val="es-MX" w:eastAsia="es-MX"/>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SoEw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CvH&#10;NKgTAgAAKQ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Textoindependiente"/>
        <w:rPr>
          <w:rFonts w:ascii="Arial"/>
          <w:sz w:val="20"/>
        </w:rPr>
      </w:pPr>
    </w:p>
    <w:p w:rsidR="00AE3E37" w:rsidRDefault="00AE3E37">
      <w:pPr>
        <w:pStyle w:val="Textoindependiente"/>
        <w:rPr>
          <w:rFonts w:ascii="Arial"/>
          <w:sz w:val="20"/>
        </w:rPr>
      </w:pPr>
    </w:p>
    <w:p w:rsidR="00AE3E37" w:rsidRDefault="00AE3E37">
      <w:pPr>
        <w:pStyle w:val="Textoindependiente"/>
        <w:spacing w:before="7"/>
        <w:rPr>
          <w:rFonts w:ascii="Arial"/>
          <w:sz w:val="29"/>
        </w:rPr>
      </w:pPr>
    </w:p>
    <w:p w:rsidR="00AE3E37" w:rsidRPr="007A5C7A" w:rsidRDefault="00AE3E37" w:rsidP="007A5C7A">
      <w:pPr>
        <w:spacing w:before="39"/>
        <w:ind w:left="100"/>
        <w:rPr>
          <w:rFonts w:ascii="Minion Pro"/>
          <w:b/>
          <w:sz w:val="20"/>
        </w:rPr>
        <w:sectPr w:rsidR="00AE3E37" w:rsidRPr="007A5C7A">
          <w:type w:val="continuous"/>
          <w:pgSz w:w="11910" w:h="16840"/>
          <w:pgMar w:top="1740" w:right="600" w:bottom="840" w:left="620" w:header="720" w:footer="720" w:gutter="0"/>
          <w:cols w:space="720"/>
        </w:sectPr>
      </w:pPr>
    </w:p>
    <w:p w:rsidR="00815B72" w:rsidRDefault="00A9710C" w:rsidP="00815B72">
      <w:pPr>
        <w:spacing w:line="204" w:lineRule="exact"/>
        <w:rPr>
          <w:rFonts w:ascii="Calibri" w:hAnsi="Calibri"/>
        </w:rPr>
      </w:pPr>
      <w:r>
        <w:lastRenderedPageBreak/>
        <w:br w:type="column"/>
      </w:r>
    </w:p>
    <w:sectPr w:rsidR="00815B7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1F42" w:rsidRDefault="00AE1F42">
      <w:r>
        <w:separator/>
      </w:r>
    </w:p>
  </w:endnote>
  <w:endnote w:type="continuationSeparator" w:id="0">
    <w:p w:rsidR="00AE1F42" w:rsidRDefault="00AE1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15B72">
    <w:pPr>
      <w:pStyle w:val="Textoindependiente"/>
      <w:spacing w:line="14" w:lineRule="auto"/>
      <w:rPr>
        <w:sz w:val="20"/>
      </w:rPr>
    </w:pPr>
    <w:r>
      <w:rPr>
        <w:noProof/>
        <w:lang w:val="es-MX" w:eastAsia="es-MX"/>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MX" w:eastAsia="es-MX"/>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MX" w:eastAsia="es-MX"/>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1F42" w:rsidRDefault="00AE1F42">
      <w:r>
        <w:separator/>
      </w:r>
    </w:p>
  </w:footnote>
  <w:footnote w:type="continuationSeparator" w:id="0">
    <w:p w:rsidR="00AE1F42" w:rsidRDefault="00AE1F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15B72">
    <w:pPr>
      <w:pStyle w:val="Textoindependiente"/>
      <w:spacing w:line="14" w:lineRule="auto"/>
      <w:rPr>
        <w:sz w:val="20"/>
      </w:rPr>
    </w:pPr>
    <w:r>
      <w:rPr>
        <w:noProof/>
        <w:lang w:val="es-MX" w:eastAsia="es-MX"/>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MX" w:eastAsia="es-MX"/>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25087"/>
    <w:multiLevelType w:val="hybridMultilevel"/>
    <w:tmpl w:val="3126FF0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402FA5"/>
    <w:rsid w:val="00404E5B"/>
    <w:rsid w:val="00414F7B"/>
    <w:rsid w:val="004355DC"/>
    <w:rsid w:val="004749B4"/>
    <w:rsid w:val="004F3523"/>
    <w:rsid w:val="005B3A56"/>
    <w:rsid w:val="006060CE"/>
    <w:rsid w:val="0063497F"/>
    <w:rsid w:val="007A5C7A"/>
    <w:rsid w:val="00815B72"/>
    <w:rsid w:val="00873DF0"/>
    <w:rsid w:val="009B2D44"/>
    <w:rsid w:val="00A9710C"/>
    <w:rsid w:val="00AE1F42"/>
    <w:rsid w:val="00AE3E37"/>
    <w:rsid w:val="00B21A57"/>
    <w:rsid w:val="00BB62F0"/>
    <w:rsid w:val="00C33602"/>
    <w:rsid w:val="00CD6F55"/>
    <w:rsid w:val="00DD353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uiPriority w:val="1"/>
    <w:qFormat/>
    <w:rsid w:val="00CD6F55"/>
    <w:rPr>
      <w:sz w:val="18"/>
      <w:szCs w:val="18"/>
    </w:rPr>
  </w:style>
  <w:style w:type="paragraph" w:styleId="Prrafodelista">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paragraph" w:styleId="NormalWeb">
    <w:name w:val="Normal (Web)"/>
    <w:basedOn w:val="Normal"/>
    <w:uiPriority w:val="99"/>
    <w:unhideWhenUsed/>
    <w:rsid w:val="00BB62F0"/>
    <w:pPr>
      <w:widowControl/>
      <w:spacing w:before="100" w:beforeAutospacing="1" w:after="100" w:afterAutospacing="1"/>
    </w:pPr>
    <w:rPr>
      <w:rFonts w:ascii="Times New Roman" w:eastAsia="Times New Roman" w:hAnsi="Times New Roman" w:cs="Times New Roman"/>
      <w:sz w:val="24"/>
      <w:szCs w:val="24"/>
      <w:lang w:val="es-MX" w:eastAsia="es-MX"/>
    </w:rPr>
  </w:style>
  <w:style w:type="character" w:styleId="Textoennegrita">
    <w:name w:val="Strong"/>
    <w:basedOn w:val="Fuentedeprrafopredeter"/>
    <w:uiPriority w:val="22"/>
    <w:qFormat/>
    <w:rsid w:val="00BB62F0"/>
    <w:rPr>
      <w:b/>
      <w:bCs/>
    </w:rPr>
  </w:style>
  <w:style w:type="character" w:styleId="Hipervnculo">
    <w:name w:val="Hyperlink"/>
    <w:basedOn w:val="Fuentedeprrafopredeter"/>
    <w:uiPriority w:val="99"/>
    <w:unhideWhenUsed/>
    <w:rsid w:val="00BB62F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uiPriority w:val="1"/>
    <w:qFormat/>
    <w:rsid w:val="00CD6F55"/>
    <w:rPr>
      <w:sz w:val="18"/>
      <w:szCs w:val="18"/>
    </w:rPr>
  </w:style>
  <w:style w:type="paragraph" w:styleId="Prrafodelista">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paragraph" w:styleId="NormalWeb">
    <w:name w:val="Normal (Web)"/>
    <w:basedOn w:val="Normal"/>
    <w:uiPriority w:val="99"/>
    <w:unhideWhenUsed/>
    <w:rsid w:val="00BB62F0"/>
    <w:pPr>
      <w:widowControl/>
      <w:spacing w:before="100" w:beforeAutospacing="1" w:after="100" w:afterAutospacing="1"/>
    </w:pPr>
    <w:rPr>
      <w:rFonts w:ascii="Times New Roman" w:eastAsia="Times New Roman" w:hAnsi="Times New Roman" w:cs="Times New Roman"/>
      <w:sz w:val="24"/>
      <w:szCs w:val="24"/>
      <w:lang w:val="es-MX" w:eastAsia="es-MX"/>
    </w:rPr>
  </w:style>
  <w:style w:type="character" w:styleId="Textoennegrita">
    <w:name w:val="Strong"/>
    <w:basedOn w:val="Fuentedeprrafopredeter"/>
    <w:uiPriority w:val="22"/>
    <w:qFormat/>
    <w:rsid w:val="00BB62F0"/>
    <w:rPr>
      <w:b/>
      <w:bCs/>
    </w:rPr>
  </w:style>
  <w:style w:type="character" w:styleId="Hipervnculo">
    <w:name w:val="Hyperlink"/>
    <w:basedOn w:val="Fuentedeprrafopredeter"/>
    <w:uiPriority w:val="99"/>
    <w:unhideWhenUsed/>
    <w:rsid w:val="00BB62F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ari03na@hot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who.int/nutrition/topics/global_strategy_iycf/es/" TargetMode="Externa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M\Downloads\Libro1%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proteínas!$B$17</c:f>
              <c:strCache>
                <c:ptCount val="1"/>
                <c:pt idx="0">
                  <c:v>Fresh</c:v>
                </c:pt>
              </c:strCache>
            </c:strRef>
          </c:tx>
          <c:spPr>
            <a:solidFill>
              <a:schemeClr val="accent1"/>
            </a:solidFill>
            <a:ln>
              <a:noFill/>
            </a:ln>
            <a:effectLst/>
          </c:spPr>
          <c:invertIfNegative val="0"/>
          <c:errBars>
            <c:errBarType val="both"/>
            <c:errValType val="cust"/>
            <c:noEndCap val="0"/>
            <c:plus>
              <c:numRef>
                <c:f>proteínas!$F$18:$F$27</c:f>
                <c:numCache>
                  <c:formatCode>General</c:formatCode>
                  <c:ptCount val="10"/>
                  <c:pt idx="0">
                    <c:v>2.5819888974721867E-4</c:v>
                  </c:pt>
                  <c:pt idx="1">
                    <c:v>9.1104335791443913E-4</c:v>
                  </c:pt>
                  <c:pt idx="2">
                    <c:v>7.9739158092695785E-4</c:v>
                  </c:pt>
                  <c:pt idx="3">
                    <c:v>5.3150729063678186E-4</c:v>
                  </c:pt>
                  <c:pt idx="4">
                    <c:v>7.1355915428692851E-4</c:v>
                  </c:pt>
                  <c:pt idx="5">
                    <c:v>5.2281290471199314E-4</c:v>
                  </c:pt>
                  <c:pt idx="6">
                    <c:v>8.2613558209289827E-4</c:v>
                  </c:pt>
                  <c:pt idx="7">
                    <c:v>3.1091263510292624E-4</c:v>
                  </c:pt>
                  <c:pt idx="8">
                    <c:v>6.2383224240702799E-4</c:v>
                  </c:pt>
                  <c:pt idx="9">
                    <c:v>6.7019897542946495E-4</c:v>
                  </c:pt>
                </c:numCache>
              </c:numRef>
            </c:plus>
            <c:minus>
              <c:numRef>
                <c:f>proteínas!$F$18:$F$27</c:f>
                <c:numCache>
                  <c:formatCode>General</c:formatCode>
                  <c:ptCount val="10"/>
                  <c:pt idx="0">
                    <c:v>2.5819888974721867E-4</c:v>
                  </c:pt>
                  <c:pt idx="1">
                    <c:v>9.1104335791443913E-4</c:v>
                  </c:pt>
                  <c:pt idx="2">
                    <c:v>7.9739158092695785E-4</c:v>
                  </c:pt>
                  <c:pt idx="3">
                    <c:v>5.3150729063678186E-4</c:v>
                  </c:pt>
                  <c:pt idx="4">
                    <c:v>7.1355915428692851E-4</c:v>
                  </c:pt>
                  <c:pt idx="5">
                    <c:v>5.2281290471199314E-4</c:v>
                  </c:pt>
                  <c:pt idx="6">
                    <c:v>8.2613558209289827E-4</c:v>
                  </c:pt>
                  <c:pt idx="7">
                    <c:v>3.1091263510292624E-4</c:v>
                  </c:pt>
                  <c:pt idx="8">
                    <c:v>6.2383224240702799E-4</c:v>
                  </c:pt>
                  <c:pt idx="9">
                    <c:v>6.7019897542946495E-4</c:v>
                  </c:pt>
                </c:numCache>
              </c:numRef>
            </c:minus>
            <c:spPr>
              <a:noFill/>
              <a:ln w="9525" cap="flat" cmpd="sng" algn="ctr">
                <a:solidFill>
                  <a:schemeClr val="tx1">
                    <a:lumMod val="65000"/>
                    <a:lumOff val="35000"/>
                  </a:schemeClr>
                </a:solidFill>
                <a:round/>
              </a:ln>
              <a:effectLst/>
            </c:spPr>
          </c:errBars>
          <c:cat>
            <c:numRef>
              <c:f>proteínas!$A$18:$A$27</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proteínas!$B$18:$B$27</c:f>
              <c:numCache>
                <c:formatCode>General</c:formatCode>
                <c:ptCount val="10"/>
                <c:pt idx="0">
                  <c:v>1.8564000000000001</c:v>
                </c:pt>
                <c:pt idx="1">
                  <c:v>1.8566</c:v>
                </c:pt>
                <c:pt idx="2">
                  <c:v>1.8555999999999999</c:v>
                </c:pt>
                <c:pt idx="3">
                  <c:v>1.8561000000000001</c:v>
                </c:pt>
                <c:pt idx="4">
                  <c:v>1.8563000000000001</c:v>
                </c:pt>
                <c:pt idx="5">
                  <c:v>1.8543000000000001</c:v>
                </c:pt>
                <c:pt idx="6">
                  <c:v>1.8553999999999999</c:v>
                </c:pt>
                <c:pt idx="7">
                  <c:v>1.8552999999999999</c:v>
                </c:pt>
                <c:pt idx="8">
                  <c:v>1.8551</c:v>
                </c:pt>
                <c:pt idx="9">
                  <c:v>1.8553999999999999</c:v>
                </c:pt>
              </c:numCache>
            </c:numRef>
          </c:val>
        </c:ser>
        <c:ser>
          <c:idx val="1"/>
          <c:order val="1"/>
          <c:tx>
            <c:strRef>
              <c:f>proteínas!$C$17</c:f>
              <c:strCache>
                <c:ptCount val="1"/>
                <c:pt idx="0">
                  <c:v>Spry-dried</c:v>
                </c:pt>
              </c:strCache>
            </c:strRef>
          </c:tx>
          <c:spPr>
            <a:solidFill>
              <a:schemeClr val="accent2"/>
            </a:solidFill>
            <a:ln>
              <a:noFill/>
            </a:ln>
            <a:effectLst/>
          </c:spPr>
          <c:invertIfNegative val="0"/>
          <c:errBars>
            <c:errBarType val="both"/>
            <c:errValType val="cust"/>
            <c:noEndCap val="0"/>
            <c:plus>
              <c:numRef>
                <c:f>proteínas!$F$18:$F$27</c:f>
                <c:numCache>
                  <c:formatCode>General</c:formatCode>
                  <c:ptCount val="10"/>
                  <c:pt idx="0">
                    <c:v>2.5819888974721867E-4</c:v>
                  </c:pt>
                  <c:pt idx="1">
                    <c:v>9.1104335791443913E-4</c:v>
                  </c:pt>
                  <c:pt idx="2">
                    <c:v>7.9739158092695785E-4</c:v>
                  </c:pt>
                  <c:pt idx="3">
                    <c:v>5.3150729063678186E-4</c:v>
                  </c:pt>
                  <c:pt idx="4">
                    <c:v>7.1355915428692851E-4</c:v>
                  </c:pt>
                  <c:pt idx="5">
                    <c:v>5.2281290471199314E-4</c:v>
                  </c:pt>
                  <c:pt idx="6">
                    <c:v>8.2613558209289827E-4</c:v>
                  </c:pt>
                  <c:pt idx="7">
                    <c:v>3.1091263510292624E-4</c:v>
                  </c:pt>
                  <c:pt idx="8">
                    <c:v>6.2383224240702799E-4</c:v>
                  </c:pt>
                  <c:pt idx="9">
                    <c:v>6.7019897542946495E-4</c:v>
                  </c:pt>
                </c:numCache>
              </c:numRef>
            </c:plus>
            <c:minus>
              <c:numRef>
                <c:f>proteínas!$F$18:$F$27</c:f>
                <c:numCache>
                  <c:formatCode>General</c:formatCode>
                  <c:ptCount val="10"/>
                  <c:pt idx="0">
                    <c:v>2.5819888974721867E-4</c:v>
                  </c:pt>
                  <c:pt idx="1">
                    <c:v>9.1104335791443913E-4</c:v>
                  </c:pt>
                  <c:pt idx="2">
                    <c:v>7.9739158092695785E-4</c:v>
                  </c:pt>
                  <c:pt idx="3">
                    <c:v>5.3150729063678186E-4</c:v>
                  </c:pt>
                  <c:pt idx="4">
                    <c:v>7.1355915428692851E-4</c:v>
                  </c:pt>
                  <c:pt idx="5">
                    <c:v>5.2281290471199314E-4</c:v>
                  </c:pt>
                  <c:pt idx="6">
                    <c:v>8.2613558209289827E-4</c:v>
                  </c:pt>
                  <c:pt idx="7">
                    <c:v>3.1091263510292624E-4</c:v>
                  </c:pt>
                  <c:pt idx="8">
                    <c:v>6.2383224240702799E-4</c:v>
                  </c:pt>
                  <c:pt idx="9">
                    <c:v>6.7019897542946495E-4</c:v>
                  </c:pt>
                </c:numCache>
              </c:numRef>
            </c:minus>
            <c:spPr>
              <a:noFill/>
              <a:ln w="9525" cap="flat" cmpd="sng" algn="ctr">
                <a:solidFill>
                  <a:schemeClr val="tx1">
                    <a:lumMod val="65000"/>
                    <a:lumOff val="35000"/>
                  </a:schemeClr>
                </a:solidFill>
                <a:round/>
              </a:ln>
              <a:effectLst/>
            </c:spPr>
          </c:errBars>
          <c:cat>
            <c:numRef>
              <c:f>proteínas!$A$18:$A$27</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proteínas!$C$18:$C$27</c:f>
              <c:numCache>
                <c:formatCode>General</c:formatCode>
                <c:ptCount val="10"/>
                <c:pt idx="0">
                  <c:v>1.8562000000000001</c:v>
                </c:pt>
                <c:pt idx="1">
                  <c:v>1.8563000000000001</c:v>
                </c:pt>
                <c:pt idx="2">
                  <c:v>1.8541000000000001</c:v>
                </c:pt>
                <c:pt idx="3">
                  <c:v>1.8549</c:v>
                </c:pt>
                <c:pt idx="4">
                  <c:v>1.8556999999999999</c:v>
                </c:pt>
                <c:pt idx="5">
                  <c:v>1.8537999999999999</c:v>
                </c:pt>
                <c:pt idx="6">
                  <c:v>1.8534999999999999</c:v>
                </c:pt>
                <c:pt idx="7">
                  <c:v>1.8548</c:v>
                </c:pt>
                <c:pt idx="8">
                  <c:v>1.8546</c:v>
                </c:pt>
                <c:pt idx="9">
                  <c:v>1.8548</c:v>
                </c:pt>
              </c:numCache>
            </c:numRef>
          </c:val>
        </c:ser>
        <c:ser>
          <c:idx val="2"/>
          <c:order val="2"/>
          <c:tx>
            <c:strRef>
              <c:f>proteínas!$D$17</c:f>
              <c:strCache>
                <c:ptCount val="1"/>
                <c:pt idx="0">
                  <c:v>UV</c:v>
                </c:pt>
              </c:strCache>
            </c:strRef>
          </c:tx>
          <c:spPr>
            <a:solidFill>
              <a:schemeClr val="accent3"/>
            </a:solidFill>
            <a:ln>
              <a:noFill/>
            </a:ln>
            <a:effectLst/>
          </c:spPr>
          <c:invertIfNegative val="0"/>
          <c:errBars>
            <c:errBarType val="both"/>
            <c:errValType val="cust"/>
            <c:noEndCap val="0"/>
            <c:plus>
              <c:numRef>
                <c:f>proteínas!$F$18:$F$27</c:f>
                <c:numCache>
                  <c:formatCode>General</c:formatCode>
                  <c:ptCount val="10"/>
                  <c:pt idx="0">
                    <c:v>2.5819888974721867E-4</c:v>
                  </c:pt>
                  <c:pt idx="1">
                    <c:v>9.1104335791443913E-4</c:v>
                  </c:pt>
                  <c:pt idx="2">
                    <c:v>7.9739158092695785E-4</c:v>
                  </c:pt>
                  <c:pt idx="3">
                    <c:v>5.3150729063678186E-4</c:v>
                  </c:pt>
                  <c:pt idx="4">
                    <c:v>7.1355915428692851E-4</c:v>
                  </c:pt>
                  <c:pt idx="5">
                    <c:v>5.2281290471199314E-4</c:v>
                  </c:pt>
                  <c:pt idx="6">
                    <c:v>8.2613558209289827E-4</c:v>
                  </c:pt>
                  <c:pt idx="7">
                    <c:v>3.1091263510292624E-4</c:v>
                  </c:pt>
                  <c:pt idx="8">
                    <c:v>6.2383224240702799E-4</c:v>
                  </c:pt>
                  <c:pt idx="9">
                    <c:v>6.7019897542946495E-4</c:v>
                  </c:pt>
                </c:numCache>
              </c:numRef>
            </c:plus>
            <c:minus>
              <c:numRef>
                <c:f>proteínas!$F$18:$F$27</c:f>
                <c:numCache>
                  <c:formatCode>General</c:formatCode>
                  <c:ptCount val="10"/>
                  <c:pt idx="0">
                    <c:v>2.5819888974721867E-4</c:v>
                  </c:pt>
                  <c:pt idx="1">
                    <c:v>9.1104335791443913E-4</c:v>
                  </c:pt>
                  <c:pt idx="2">
                    <c:v>7.9739158092695785E-4</c:v>
                  </c:pt>
                  <c:pt idx="3">
                    <c:v>5.3150729063678186E-4</c:v>
                  </c:pt>
                  <c:pt idx="4">
                    <c:v>7.1355915428692851E-4</c:v>
                  </c:pt>
                  <c:pt idx="5">
                    <c:v>5.2281290471199314E-4</c:v>
                  </c:pt>
                  <c:pt idx="6">
                    <c:v>8.2613558209289827E-4</c:v>
                  </c:pt>
                  <c:pt idx="7">
                    <c:v>3.1091263510292624E-4</c:v>
                  </c:pt>
                  <c:pt idx="8">
                    <c:v>6.2383224240702799E-4</c:v>
                  </c:pt>
                  <c:pt idx="9">
                    <c:v>6.7019897542946495E-4</c:v>
                  </c:pt>
                </c:numCache>
              </c:numRef>
            </c:minus>
            <c:spPr>
              <a:noFill/>
              <a:ln w="9525" cap="flat" cmpd="sng" algn="ctr">
                <a:solidFill>
                  <a:schemeClr val="tx1">
                    <a:lumMod val="65000"/>
                    <a:lumOff val="35000"/>
                  </a:schemeClr>
                </a:solidFill>
                <a:round/>
              </a:ln>
              <a:effectLst/>
            </c:spPr>
          </c:errBars>
          <c:cat>
            <c:numRef>
              <c:f>proteínas!$A$18:$A$27</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proteínas!$D$18:$D$27</c:f>
              <c:numCache>
                <c:formatCode>General</c:formatCode>
                <c:ptCount val="10"/>
                <c:pt idx="0">
                  <c:v>1.8560000000000001</c:v>
                </c:pt>
                <c:pt idx="1">
                  <c:v>1.8566</c:v>
                </c:pt>
                <c:pt idx="2">
                  <c:v>1.8556999999999999</c:v>
                </c:pt>
                <c:pt idx="3">
                  <c:v>1.8552</c:v>
                </c:pt>
                <c:pt idx="4">
                  <c:v>1.8552999999999999</c:v>
                </c:pt>
                <c:pt idx="5">
                  <c:v>1.8549</c:v>
                </c:pt>
                <c:pt idx="6">
                  <c:v>1.8545</c:v>
                </c:pt>
                <c:pt idx="7">
                  <c:v>1.8546</c:v>
                </c:pt>
                <c:pt idx="8">
                  <c:v>1.8557999999999999</c:v>
                </c:pt>
                <c:pt idx="9">
                  <c:v>1.8564000000000001</c:v>
                </c:pt>
              </c:numCache>
            </c:numRef>
          </c:val>
        </c:ser>
        <c:ser>
          <c:idx val="3"/>
          <c:order val="3"/>
          <c:tx>
            <c:strRef>
              <c:f>proteínas!$E$17</c:f>
              <c:strCache>
                <c:ptCount val="1"/>
                <c:pt idx="0">
                  <c:v>HP</c:v>
                </c:pt>
              </c:strCache>
            </c:strRef>
          </c:tx>
          <c:spPr>
            <a:solidFill>
              <a:schemeClr val="accent4"/>
            </a:solidFill>
            <a:ln>
              <a:noFill/>
            </a:ln>
            <a:effectLst/>
          </c:spPr>
          <c:invertIfNegative val="0"/>
          <c:errBars>
            <c:errBarType val="both"/>
            <c:errValType val="cust"/>
            <c:noEndCap val="0"/>
            <c:plus>
              <c:numRef>
                <c:f>proteínas!$F$18:$F$27</c:f>
                <c:numCache>
                  <c:formatCode>General</c:formatCode>
                  <c:ptCount val="10"/>
                  <c:pt idx="0">
                    <c:v>2.5819888974721867E-4</c:v>
                  </c:pt>
                  <c:pt idx="1">
                    <c:v>9.1104335791443913E-4</c:v>
                  </c:pt>
                  <c:pt idx="2">
                    <c:v>7.9739158092695785E-4</c:v>
                  </c:pt>
                  <c:pt idx="3">
                    <c:v>5.3150729063678186E-4</c:v>
                  </c:pt>
                  <c:pt idx="4">
                    <c:v>7.1355915428692851E-4</c:v>
                  </c:pt>
                  <c:pt idx="5">
                    <c:v>5.2281290471199314E-4</c:v>
                  </c:pt>
                  <c:pt idx="6">
                    <c:v>8.2613558209289827E-4</c:v>
                  </c:pt>
                  <c:pt idx="7">
                    <c:v>3.1091263510292624E-4</c:v>
                  </c:pt>
                  <c:pt idx="8">
                    <c:v>6.2383224240702799E-4</c:v>
                  </c:pt>
                  <c:pt idx="9">
                    <c:v>6.7019897542946495E-4</c:v>
                  </c:pt>
                </c:numCache>
              </c:numRef>
            </c:plus>
            <c:minus>
              <c:numRef>
                <c:f>proteínas!$F$18:$F$27</c:f>
                <c:numCache>
                  <c:formatCode>General</c:formatCode>
                  <c:ptCount val="10"/>
                  <c:pt idx="0">
                    <c:v>2.5819888974721867E-4</c:v>
                  </c:pt>
                  <c:pt idx="1">
                    <c:v>9.1104335791443913E-4</c:v>
                  </c:pt>
                  <c:pt idx="2">
                    <c:v>7.9739158092695785E-4</c:v>
                  </c:pt>
                  <c:pt idx="3">
                    <c:v>5.3150729063678186E-4</c:v>
                  </c:pt>
                  <c:pt idx="4">
                    <c:v>7.1355915428692851E-4</c:v>
                  </c:pt>
                  <c:pt idx="5">
                    <c:v>5.2281290471199314E-4</c:v>
                  </c:pt>
                  <c:pt idx="6">
                    <c:v>8.2613558209289827E-4</c:v>
                  </c:pt>
                  <c:pt idx="7">
                    <c:v>3.1091263510292624E-4</c:v>
                  </c:pt>
                  <c:pt idx="8">
                    <c:v>6.2383224240702799E-4</c:v>
                  </c:pt>
                  <c:pt idx="9">
                    <c:v>6.7019897542946495E-4</c:v>
                  </c:pt>
                </c:numCache>
              </c:numRef>
            </c:minus>
            <c:spPr>
              <a:noFill/>
              <a:ln w="9525" cap="flat" cmpd="sng" algn="ctr">
                <a:solidFill>
                  <a:schemeClr val="tx1">
                    <a:lumMod val="65000"/>
                    <a:lumOff val="35000"/>
                  </a:schemeClr>
                </a:solidFill>
                <a:round/>
              </a:ln>
              <a:effectLst/>
            </c:spPr>
          </c:errBars>
          <c:cat>
            <c:numRef>
              <c:f>proteínas!$A$18:$A$27</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proteínas!$E$18:$E$27</c:f>
              <c:numCache>
                <c:formatCode>General</c:formatCode>
                <c:ptCount val="10"/>
                <c:pt idx="0">
                  <c:v>1.8557999999999999</c:v>
                </c:pt>
                <c:pt idx="1">
                  <c:v>1.8547</c:v>
                </c:pt>
                <c:pt idx="2">
                  <c:v>1.8545</c:v>
                </c:pt>
                <c:pt idx="3">
                  <c:v>1.8551</c:v>
                </c:pt>
                <c:pt idx="4">
                  <c:v>1.8546</c:v>
                </c:pt>
                <c:pt idx="5">
                  <c:v>1.8537999999999999</c:v>
                </c:pt>
                <c:pt idx="6">
                  <c:v>1.8539000000000001</c:v>
                </c:pt>
                <c:pt idx="7">
                  <c:v>1.8547</c:v>
                </c:pt>
                <c:pt idx="8">
                  <c:v>1.8544</c:v>
                </c:pt>
                <c:pt idx="9">
                  <c:v>1.8552999999999999</c:v>
                </c:pt>
              </c:numCache>
            </c:numRef>
          </c:val>
        </c:ser>
        <c:dLbls>
          <c:showLegendKey val="0"/>
          <c:showVal val="0"/>
          <c:showCatName val="0"/>
          <c:showSerName val="0"/>
          <c:showPercent val="0"/>
          <c:showBubbleSize val="0"/>
        </c:dLbls>
        <c:gapWidth val="219"/>
        <c:overlap val="-27"/>
        <c:axId val="81363712"/>
        <c:axId val="116271360"/>
      </c:barChart>
      <c:catAx>
        <c:axId val="8136371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Weeks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crossAx val="116271360"/>
        <c:crosses val="autoZero"/>
        <c:auto val="1"/>
        <c:lblAlgn val="ctr"/>
        <c:lblOffset val="100"/>
        <c:noMultiLvlLbl val="0"/>
      </c:catAx>
      <c:valAx>
        <c:axId val="11627136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Concentration g/dL</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crossAx val="813637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MX"/>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507</Words>
  <Characters>2790</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Propietario</cp:lastModifiedBy>
  <cp:revision>4</cp:revision>
  <dcterms:created xsi:type="dcterms:W3CDTF">2018-02-07T20:27:00Z</dcterms:created>
  <dcterms:modified xsi:type="dcterms:W3CDTF">2018-02-07T20:34:00Z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