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D4411" w:rsidRDefault="00B127A5" w:rsidP="00FD4411">
      <w:pPr>
        <w:pStyle w:val="1"/>
        <w:spacing w:before="170"/>
        <w:ind w:left="0"/>
      </w:pPr>
      <w:r w:rsidRPr="00B127A5">
        <w:rPr>
          <w:rFonts w:cs="Calibri"/>
          <w:bCs w:val="0"/>
          <w:color w:val="0070C0"/>
          <w:shd w:val="clear" w:color="auto" w:fill="FFFFFF"/>
        </w:rPr>
        <w:t>Biodegradable and biocompatible polymers produced by sustainable integrated bioprocess</w:t>
      </w:r>
    </w:p>
    <w:p w:rsidR="00FD4411" w:rsidRDefault="00B127A5" w:rsidP="00FD4411">
      <w:pPr>
        <w:pStyle w:val="a4"/>
        <w:spacing w:before="73" w:line="198" w:lineRule="exact"/>
        <w:ind w:left="100" w:right="5987"/>
        <w:rPr>
          <w:rFonts w:ascii="Arial"/>
        </w:rPr>
      </w:pPr>
      <w:r>
        <w:rPr>
          <w:rFonts w:ascii="Arial"/>
        </w:rPr>
        <w:t>Seiichi Taguchi, Tokyo University of Agriculture, Japan</w:t>
      </w:r>
    </w:p>
    <w:p w:rsidR="00FD4411" w:rsidRDefault="00FD4411" w:rsidP="00FD4411">
      <w:pPr>
        <w:pStyle w:val="a4"/>
        <w:rPr>
          <w:rFonts w:ascii="Arial"/>
          <w:sz w:val="20"/>
        </w:rPr>
      </w:pPr>
    </w:p>
    <w:p w:rsidR="00FD4411" w:rsidRDefault="00FD4411" w:rsidP="00FD4411">
      <w:pPr>
        <w:pStyle w:val="a4"/>
        <w:spacing w:before="3"/>
        <w:rPr>
          <w:rFonts w:ascii="Arial"/>
          <w:sz w:val="21"/>
        </w:rPr>
      </w:pPr>
    </w:p>
    <w:p w:rsidR="00FD4411" w:rsidRDefault="00FD4411" w:rsidP="00FD4411">
      <w:pPr>
        <w:widowControl/>
        <w:rPr>
          <w:rFonts w:ascii="Arial"/>
          <w:sz w:val="21"/>
        </w:rPr>
        <w:sectPr w:rsidR="00FD4411">
          <w:pgSz w:w="11910" w:h="16840"/>
          <w:pgMar w:top="1740" w:right="600" w:bottom="840" w:left="620" w:header="541" w:footer="642" w:gutter="0"/>
          <w:cols w:space="720"/>
        </w:sectPr>
      </w:pPr>
    </w:p>
    <w:p w:rsidR="00FD4411" w:rsidRDefault="00FD4411" w:rsidP="00FD4411">
      <w:pPr>
        <w:pStyle w:val="3"/>
        <w:spacing w:before="147"/>
        <w:jc w:val="both"/>
      </w:pPr>
      <w:r>
        <w:rPr>
          <w:color w:val="BF5A14"/>
        </w:rPr>
        <w:t>Abstract</w:t>
      </w:r>
    </w:p>
    <w:p w:rsidR="00A216BA" w:rsidRDefault="00CA5E20" w:rsidP="00A216BA">
      <w:pPr>
        <w:jc w:val="both"/>
        <w:rPr>
          <w:sz w:val="18"/>
          <w:szCs w:val="18"/>
        </w:rPr>
      </w:pPr>
      <w:r>
        <w:rPr>
          <w:sz w:val="18"/>
          <w:szCs w:val="18"/>
        </w:rPr>
        <w:t xml:space="preserve">Natural polyesters, </w:t>
      </w:r>
      <w:proofErr w:type="spellStart"/>
      <w:r>
        <w:rPr>
          <w:sz w:val="18"/>
          <w:szCs w:val="18"/>
        </w:rPr>
        <w:t>p</w:t>
      </w:r>
      <w:r w:rsidR="009C5486">
        <w:rPr>
          <w:sz w:val="18"/>
          <w:szCs w:val="18"/>
        </w:rPr>
        <w:t>olyhydroxyalkanoates</w:t>
      </w:r>
      <w:proofErr w:type="spellEnd"/>
      <w:r w:rsidR="009C5486">
        <w:rPr>
          <w:sz w:val="18"/>
          <w:szCs w:val="18"/>
        </w:rPr>
        <w:t xml:space="preserve"> (PHAs)</w:t>
      </w:r>
      <w:r>
        <w:rPr>
          <w:sz w:val="18"/>
          <w:szCs w:val="18"/>
        </w:rPr>
        <w:t>,</w:t>
      </w:r>
      <w:r w:rsidR="009C5486">
        <w:rPr>
          <w:sz w:val="18"/>
          <w:szCs w:val="18"/>
        </w:rPr>
        <w:t xml:space="preserve"> are</w:t>
      </w:r>
      <w:r>
        <w:rPr>
          <w:sz w:val="18"/>
          <w:szCs w:val="18"/>
        </w:rPr>
        <w:t xml:space="preserve"> </w:t>
      </w:r>
      <w:r w:rsidR="009C5486">
        <w:rPr>
          <w:sz w:val="18"/>
          <w:szCs w:val="18"/>
        </w:rPr>
        <w:t>synthesized and accumulated as energy st</w:t>
      </w:r>
      <w:r w:rsidR="00DB0A10">
        <w:rPr>
          <w:sz w:val="18"/>
          <w:szCs w:val="18"/>
        </w:rPr>
        <w:t>o</w:t>
      </w:r>
      <w:r w:rsidR="009C5486">
        <w:rPr>
          <w:sz w:val="18"/>
          <w:szCs w:val="18"/>
        </w:rPr>
        <w:t>rage in microbial cells. Physical properties of PHAs are tunable ranging from rigid to elastic, depending on the arrangement of monomer units in the polymer.</w:t>
      </w:r>
      <w:r w:rsidR="00DB0A10">
        <w:rPr>
          <w:sz w:val="18"/>
          <w:szCs w:val="18"/>
        </w:rPr>
        <w:t xml:space="preserve"> Biodegradability a</w:t>
      </w:r>
      <w:r w:rsidR="009C5486">
        <w:rPr>
          <w:sz w:val="18"/>
          <w:szCs w:val="18"/>
        </w:rPr>
        <w:t>nd biocompatibility of PHA have inspired studies on the use of the polymers in biomed</w:t>
      </w:r>
      <w:r w:rsidR="00DB0A10">
        <w:rPr>
          <w:sz w:val="18"/>
          <w:szCs w:val="18"/>
        </w:rPr>
        <w:t>ic</w:t>
      </w:r>
      <w:r w:rsidR="009C5486">
        <w:rPr>
          <w:sz w:val="18"/>
          <w:szCs w:val="18"/>
        </w:rPr>
        <w:t>al applications, for example, as scaffolds in tissue engineering. The typical poly</w:t>
      </w:r>
      <w:r w:rsidR="00DB0A10">
        <w:rPr>
          <w:sz w:val="18"/>
          <w:szCs w:val="18"/>
        </w:rPr>
        <w:t>e</w:t>
      </w:r>
      <w:r w:rsidR="009C5486">
        <w:rPr>
          <w:sz w:val="18"/>
          <w:szCs w:val="18"/>
        </w:rPr>
        <w:t xml:space="preserve">ster </w:t>
      </w:r>
      <w:r w:rsidR="00DB0A10">
        <w:rPr>
          <w:sz w:val="18"/>
          <w:szCs w:val="18"/>
        </w:rPr>
        <w:t>available for this application</w:t>
      </w:r>
      <w:r w:rsidR="009C5486">
        <w:rPr>
          <w:sz w:val="18"/>
          <w:szCs w:val="18"/>
        </w:rPr>
        <w:t>, is polylactide (PLA).</w:t>
      </w:r>
      <w:r w:rsidR="00DB0A10">
        <w:rPr>
          <w:sz w:val="18"/>
          <w:szCs w:val="18"/>
        </w:rPr>
        <w:t xml:space="preserve"> </w:t>
      </w:r>
    </w:p>
    <w:p w:rsidR="009C5486" w:rsidRPr="00A216BA" w:rsidRDefault="00A216BA" w:rsidP="00A216BA">
      <w:pPr>
        <w:jc w:val="both"/>
        <w:rPr>
          <w:rFonts w:eastAsia="ＭＳ Ｐゴシック" w:cs="ＭＳ Ｐゴシック"/>
          <w:sz w:val="18"/>
          <w:szCs w:val="18"/>
          <w:lang w:eastAsia="ja-JP"/>
        </w:rPr>
      </w:pPr>
      <w:r>
        <w:rPr>
          <w:rFonts w:eastAsia="ＭＳ Ｐゴシック" w:cs="Arial"/>
          <w:color w:val="000000"/>
          <w:sz w:val="18"/>
          <w:szCs w:val="18"/>
          <w:lang w:eastAsia="ja-JP"/>
        </w:rPr>
        <w:t xml:space="preserve">Conventionally </w:t>
      </w:r>
      <w:r w:rsidR="009C5486">
        <w:rPr>
          <w:sz w:val="18"/>
          <w:szCs w:val="18"/>
        </w:rPr>
        <w:t>PLA can be synthesized via heavy metal-ca</w:t>
      </w:r>
      <w:r w:rsidR="00DB0A10">
        <w:rPr>
          <w:sz w:val="18"/>
          <w:szCs w:val="18"/>
        </w:rPr>
        <w:t>tal</w:t>
      </w:r>
      <w:r w:rsidR="009C5486">
        <w:rPr>
          <w:sz w:val="18"/>
          <w:szCs w:val="18"/>
        </w:rPr>
        <w:t>yzed ring-op</w:t>
      </w:r>
      <w:r w:rsidR="00DB0A10">
        <w:rPr>
          <w:sz w:val="18"/>
          <w:szCs w:val="18"/>
        </w:rPr>
        <w:t>e</w:t>
      </w:r>
      <w:r w:rsidR="009C5486">
        <w:rPr>
          <w:sz w:val="18"/>
          <w:szCs w:val="18"/>
        </w:rPr>
        <w:t>ning polymerization of lactide derived from fermented lactic acid (LA). In 2008, we firstly succeeded in incorpor</w:t>
      </w:r>
      <w:r w:rsidR="00DB0A10">
        <w:rPr>
          <w:sz w:val="18"/>
          <w:szCs w:val="18"/>
        </w:rPr>
        <w:t>at</w:t>
      </w:r>
      <w:r w:rsidR="009C5486">
        <w:rPr>
          <w:rFonts w:hint="eastAsia"/>
          <w:sz w:val="18"/>
          <w:szCs w:val="18"/>
          <w:lang w:eastAsia="ja-JP"/>
        </w:rPr>
        <w:t>i</w:t>
      </w:r>
      <w:r w:rsidR="009C5486">
        <w:rPr>
          <w:sz w:val="18"/>
          <w:szCs w:val="18"/>
        </w:rPr>
        <w:t xml:space="preserve">ng D-form of LA (D-LA) </w:t>
      </w:r>
      <w:r w:rsidR="009C5486" w:rsidRPr="00DF0BAE">
        <w:rPr>
          <w:sz w:val="18"/>
          <w:szCs w:val="18"/>
        </w:rPr>
        <w:t xml:space="preserve">into the 3-hydroxybutyrate (3HB) polymeric backbone in the </w:t>
      </w:r>
      <w:r w:rsidR="009C5486" w:rsidRPr="00DF0BAE">
        <w:rPr>
          <w:i/>
          <w:sz w:val="18"/>
          <w:szCs w:val="18"/>
        </w:rPr>
        <w:t>Escherichia coli</w:t>
      </w:r>
      <w:r w:rsidR="009C5486" w:rsidRPr="00DF0BAE">
        <w:rPr>
          <w:sz w:val="18"/>
          <w:szCs w:val="18"/>
        </w:rPr>
        <w:t>-based microbial factory carrying a newly developed D-LA-polymerizing enzyme (LPE).</w:t>
      </w:r>
      <w:r w:rsidR="009C5486" w:rsidRPr="00DF0BAE">
        <w:rPr>
          <w:rFonts w:cs="Times New Roman"/>
          <w:sz w:val="18"/>
          <w:szCs w:val="18"/>
        </w:rPr>
        <w:t xml:space="preserve"> LPE was one of the artificially evolved PHA synthases through our long-term enzyme engineering study. Discovery of LPE prompted us to further create the unnatural monomer-contained </w:t>
      </w:r>
      <w:r w:rsidR="00DB0A10">
        <w:rPr>
          <w:rFonts w:cs="Times New Roman"/>
          <w:sz w:val="18"/>
          <w:szCs w:val="18"/>
        </w:rPr>
        <w:t>PHA</w:t>
      </w:r>
      <w:r w:rsidR="009C5486" w:rsidRPr="00DF0BAE">
        <w:rPr>
          <w:rFonts w:cs="Times New Roman"/>
          <w:sz w:val="18"/>
          <w:szCs w:val="18"/>
        </w:rPr>
        <w:t xml:space="preserve"> members other than LA-based polymers. </w:t>
      </w:r>
      <w:r w:rsidR="00B45795">
        <w:rPr>
          <w:rFonts w:cs="Times New Roman"/>
          <w:sz w:val="18"/>
          <w:szCs w:val="18"/>
        </w:rPr>
        <w:t xml:space="preserve">Using </w:t>
      </w:r>
      <w:r w:rsidR="009C5486" w:rsidRPr="00DF0BAE">
        <w:rPr>
          <w:rFonts w:cs="Times New Roman"/>
          <w:sz w:val="18"/>
          <w:szCs w:val="18"/>
        </w:rPr>
        <w:t>LPE-based toolbox I expect to synthesize the chiral copolymers with</w:t>
      </w:r>
      <w:r w:rsidR="009C5486" w:rsidRPr="00D04336">
        <w:rPr>
          <w:rFonts w:cs="Times New Roman"/>
          <w:sz w:val="18"/>
          <w:szCs w:val="18"/>
        </w:rPr>
        <w:t xml:space="preserve"> diverse monomer constituents, owing to the extremely high enantio-selectivity and broad substrate specificity. In this symposium, I will </w:t>
      </w:r>
      <w:r w:rsidR="00DB3062">
        <w:rPr>
          <w:rFonts w:cs="Times New Roman"/>
          <w:sz w:val="18"/>
          <w:szCs w:val="18"/>
        </w:rPr>
        <w:t xml:space="preserve">talk </w:t>
      </w:r>
      <w:r w:rsidR="00A71EB5">
        <w:rPr>
          <w:rFonts w:cs="Times New Roman"/>
          <w:sz w:val="18"/>
          <w:szCs w:val="18"/>
        </w:rPr>
        <w:t xml:space="preserve">about the </w:t>
      </w:r>
      <w:r w:rsidR="009C5486" w:rsidRPr="00D04336">
        <w:rPr>
          <w:rFonts w:cs="Times New Roman"/>
          <w:sz w:val="18"/>
          <w:szCs w:val="18"/>
        </w:rPr>
        <w:t xml:space="preserve">overview </w:t>
      </w:r>
      <w:r w:rsidR="00A71EB5">
        <w:rPr>
          <w:rFonts w:eastAsia="ＭＳ 明朝" w:cs="ＭＳ 明朝"/>
          <w:sz w:val="18"/>
          <w:szCs w:val="18"/>
          <w:lang w:eastAsia="ja-JP"/>
        </w:rPr>
        <w:t>of</w:t>
      </w:r>
      <w:r w:rsidR="00D04336" w:rsidRPr="00D04336">
        <w:rPr>
          <w:rFonts w:eastAsia="ＭＳ 明朝" w:cs="ＭＳ 明朝"/>
          <w:sz w:val="18"/>
          <w:szCs w:val="18"/>
          <w:lang w:eastAsia="ja-JP"/>
        </w:rPr>
        <w:t xml:space="preserve"> </w:t>
      </w:r>
      <w:r w:rsidR="009C5486" w:rsidRPr="00D04336">
        <w:rPr>
          <w:rFonts w:cs="Times New Roman"/>
          <w:sz w:val="18"/>
          <w:szCs w:val="18"/>
        </w:rPr>
        <w:t>biosynthesis</w:t>
      </w:r>
      <w:r w:rsidR="00D04336">
        <w:rPr>
          <w:rFonts w:cs="Times New Roman"/>
          <w:sz w:val="18"/>
          <w:szCs w:val="18"/>
        </w:rPr>
        <w:t xml:space="preserve">, </w:t>
      </w:r>
      <w:r w:rsidR="009C5486" w:rsidRPr="00D04336">
        <w:rPr>
          <w:rFonts w:cs="Times New Roman"/>
          <w:sz w:val="18"/>
          <w:szCs w:val="18"/>
        </w:rPr>
        <w:t>properties</w:t>
      </w:r>
      <w:r w:rsidR="00D04336">
        <w:rPr>
          <w:rFonts w:cs="Times New Roman"/>
          <w:sz w:val="18"/>
          <w:szCs w:val="18"/>
        </w:rPr>
        <w:t xml:space="preserve"> and biodegradability</w:t>
      </w:r>
      <w:r w:rsidR="009C5486" w:rsidRPr="00D04336">
        <w:rPr>
          <w:rFonts w:cs="Times New Roman"/>
          <w:sz w:val="18"/>
          <w:szCs w:val="18"/>
        </w:rPr>
        <w:t xml:space="preserve"> of LPE-catalyzed polymers. </w:t>
      </w:r>
      <w:r w:rsidR="00CA5E20">
        <w:rPr>
          <w:rFonts w:cs="Times New Roman"/>
          <w:sz w:val="18"/>
          <w:szCs w:val="18"/>
        </w:rPr>
        <w:t>W</w:t>
      </w:r>
      <w:bookmarkStart w:id="0" w:name="_GoBack"/>
      <w:bookmarkEnd w:id="0"/>
      <w:r w:rsidR="009C5486" w:rsidRPr="00DF0BAE">
        <w:rPr>
          <w:rFonts w:cs="Times New Roman"/>
          <w:sz w:val="18"/>
          <w:szCs w:val="18"/>
        </w:rPr>
        <w:t>e have currently attempted to develop the consolidated bioprocess for production of the target polymers from renewable feedstocks. Several case</w:t>
      </w:r>
      <w:r w:rsidR="009C5486">
        <w:rPr>
          <w:rFonts w:cs="Times New Roman"/>
          <w:sz w:val="18"/>
          <w:szCs w:val="18"/>
        </w:rPr>
        <w:t xml:space="preserve"> studies will be also presented with some processing products.</w:t>
      </w:r>
    </w:p>
    <w:p w:rsidR="009C5486" w:rsidRPr="00DF0BAE" w:rsidRDefault="00B45795" w:rsidP="009C5486">
      <w:pPr>
        <w:pStyle w:val="HTML"/>
        <w:tabs>
          <w:tab w:val="clear" w:pos="916"/>
          <w:tab w:val="left" w:pos="750"/>
        </w:tabs>
        <w:jc w:val="both"/>
        <w:rPr>
          <w:rFonts w:ascii="Tw Cen MT" w:hAnsi="Tw Cen MT" w:cs="Times New Roman"/>
          <w:sz w:val="18"/>
          <w:szCs w:val="18"/>
        </w:rPr>
      </w:pPr>
      <w:r>
        <w:rPr>
          <w:rFonts w:ascii="Tw Cen MT" w:eastAsia="Malgun Gothic" w:hAnsi="Tw Cen MT" w:cs="Times New Roman"/>
          <w:sz w:val="18"/>
          <w:szCs w:val="18"/>
        </w:rPr>
        <w:t xml:space="preserve">So </w:t>
      </w:r>
      <w:proofErr w:type="gramStart"/>
      <w:r>
        <w:rPr>
          <w:rFonts w:ascii="Tw Cen MT" w:eastAsia="Malgun Gothic" w:hAnsi="Tw Cen MT" w:cs="Times New Roman"/>
          <w:sz w:val="18"/>
          <w:szCs w:val="18"/>
        </w:rPr>
        <w:t>far</w:t>
      </w:r>
      <w:proofErr w:type="gramEnd"/>
      <w:r>
        <w:rPr>
          <w:rFonts w:ascii="Tw Cen MT" w:eastAsia="Malgun Gothic" w:hAnsi="Tw Cen MT" w:cs="Times New Roman"/>
          <w:sz w:val="18"/>
          <w:szCs w:val="18"/>
        </w:rPr>
        <w:t xml:space="preserve"> </w:t>
      </w:r>
      <w:r w:rsidR="009C5486" w:rsidRPr="00DF0BAE">
        <w:rPr>
          <w:rFonts w:ascii="Tw Cen MT" w:eastAsia="Malgun Gothic" w:hAnsi="Tw Cen MT" w:cs="Times New Roman"/>
          <w:sz w:val="18"/>
          <w:szCs w:val="18"/>
        </w:rPr>
        <w:t xml:space="preserve">I have been thinking about the possibility of “SECRETION” of polymerized ester-products by microbial platform. This should be a promising issue to overcome the cell volume limitation in the large amount of production of microbial polymers. Fortunately, we met to the “SECRETION” of low-molecular-weight D-LA-based polymers [or D-LA-based oligomers (D-LAOs)]. As a second topic, </w:t>
      </w:r>
      <w:r w:rsidR="009C5486" w:rsidRPr="00DF0BAE">
        <w:rPr>
          <w:rFonts w:ascii="Tw Cen MT" w:eastAsia="Malgun Gothic" w:hAnsi="Tw Cen MT"/>
          <w:sz w:val="18"/>
          <w:szCs w:val="18"/>
        </w:rPr>
        <w:t>I will talk about the first observation of microbial secretion of D-LAOs and its advanced microbial secretion platform through the chain transfer reaction and modified cultivation conditions</w:t>
      </w:r>
      <w:r w:rsidR="009C5486" w:rsidRPr="00DF0BAE">
        <w:rPr>
          <w:rFonts w:ascii="Tw Cen MT" w:hAnsi="Tw Cen MT" w:cs="Times New Roman"/>
          <w:sz w:val="18"/>
          <w:szCs w:val="18"/>
        </w:rPr>
        <w:t xml:space="preserve"> Furthermore, synthesis of lactate (LA)-based poly(ester-urethane) using hydroxyl-terminated LA-based oligomers from a microbial secretion system will be presented.</w:t>
      </w:r>
    </w:p>
    <w:p w:rsidR="00FD4411" w:rsidRDefault="00FD4411" w:rsidP="00FD4411">
      <w:pPr>
        <w:pStyle w:val="3"/>
        <w:spacing w:before="74"/>
      </w:pPr>
      <w:r>
        <w:rPr>
          <w:bCs w:val="0"/>
        </w:rPr>
        <w:br w:type="column"/>
      </w:r>
      <w:r>
        <w:rPr>
          <w:color w:val="BF5A14"/>
        </w:rPr>
        <w:t>Image</w:t>
      </w:r>
    </w:p>
    <w:p w:rsidR="00FD4411" w:rsidRDefault="00FF29D0" w:rsidP="00FD4411">
      <w:pPr>
        <w:pStyle w:val="a4"/>
        <w:spacing w:before="2"/>
        <w:rPr>
          <w:rFonts w:ascii="Arial"/>
          <w:b/>
          <w:sz w:val="16"/>
        </w:rPr>
      </w:pPr>
      <w:r w:rsidRPr="00FF29D0">
        <w:rPr>
          <w:rFonts w:ascii="Arial"/>
          <w:b/>
          <w:noProof/>
          <w:sz w:val="16"/>
        </w:rPr>
        <w:drawing>
          <wp:inline distT="0" distB="0" distL="0" distR="0" wp14:anchorId="6B4999C5" wp14:editId="0A9867D1">
            <wp:extent cx="3282846" cy="2282516"/>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295986" cy="2291652"/>
                    </a:xfrm>
                    <a:prstGeom prst="rect">
                      <a:avLst/>
                    </a:prstGeom>
                  </pic:spPr>
                </pic:pic>
              </a:graphicData>
            </a:graphic>
          </wp:inline>
        </w:drawing>
      </w:r>
    </w:p>
    <w:p w:rsidR="00FD4411" w:rsidRDefault="00FD4411" w:rsidP="00FD4411">
      <w:pPr>
        <w:spacing w:line="204" w:lineRule="exact"/>
        <w:rPr>
          <w:rFonts w:ascii="Arial"/>
          <w:b/>
          <w:sz w:val="20"/>
          <w:lang w:eastAsia="ja-JP"/>
        </w:rPr>
      </w:pPr>
      <w:r>
        <w:rPr>
          <w:rFonts w:ascii="Arial"/>
          <w:b/>
          <w:color w:val="BF5A14"/>
          <w:sz w:val="20"/>
        </w:rPr>
        <w:br/>
        <w:t>Recent Publications</w:t>
      </w:r>
    </w:p>
    <w:p w:rsidR="00FD4411" w:rsidRDefault="000847A8" w:rsidP="00FD4411">
      <w:pPr>
        <w:pStyle w:val="a6"/>
        <w:numPr>
          <w:ilvl w:val="0"/>
          <w:numId w:val="1"/>
        </w:numPr>
        <w:tabs>
          <w:tab w:val="left" w:pos="384"/>
        </w:tabs>
        <w:spacing w:before="103" w:line="216" w:lineRule="exact"/>
        <w:ind w:right="138" w:hanging="283"/>
        <w:rPr>
          <w:sz w:val="18"/>
        </w:rPr>
      </w:pPr>
      <w:r>
        <w:rPr>
          <w:sz w:val="18"/>
        </w:rPr>
        <w:t xml:space="preserve">Taguchi, S. </w:t>
      </w:r>
      <w:r w:rsidRPr="00741868">
        <w:rPr>
          <w:i/>
          <w:sz w:val="18"/>
        </w:rPr>
        <w:t>et al</w:t>
      </w:r>
      <w:r>
        <w:rPr>
          <w:sz w:val="18"/>
        </w:rPr>
        <w:t>. (2008</w:t>
      </w:r>
      <w:r w:rsidR="00156BF5">
        <w:rPr>
          <w:sz w:val="18"/>
        </w:rPr>
        <w:t>) A microbial factory for lactate-based polyesters using lactate-polymerizing enzyme</w:t>
      </w:r>
      <w:r>
        <w:rPr>
          <w:sz w:val="18"/>
        </w:rPr>
        <w:t xml:space="preserve">. Proc Natl </w:t>
      </w:r>
      <w:proofErr w:type="spellStart"/>
      <w:r>
        <w:rPr>
          <w:sz w:val="18"/>
        </w:rPr>
        <w:t>Acad</w:t>
      </w:r>
      <w:proofErr w:type="spellEnd"/>
      <w:r>
        <w:rPr>
          <w:sz w:val="18"/>
        </w:rPr>
        <w:t xml:space="preserve"> Sci </w:t>
      </w:r>
      <w:proofErr w:type="gramStart"/>
      <w:r>
        <w:rPr>
          <w:sz w:val="18"/>
        </w:rPr>
        <w:t xml:space="preserve">USA </w:t>
      </w:r>
      <w:r w:rsidR="00156BF5">
        <w:rPr>
          <w:sz w:val="18"/>
        </w:rPr>
        <w:t xml:space="preserve"> 105:17323</w:t>
      </w:r>
      <w:proofErr w:type="gramEnd"/>
      <w:r w:rsidR="00156BF5">
        <w:rPr>
          <w:sz w:val="18"/>
        </w:rPr>
        <w:t>-17327</w:t>
      </w:r>
      <w:r w:rsidR="00FD4411">
        <w:rPr>
          <w:sz w:val="18"/>
        </w:rPr>
        <w:t>.</w:t>
      </w:r>
    </w:p>
    <w:p w:rsidR="00FD4411" w:rsidRDefault="008D6E5F" w:rsidP="00FD4411">
      <w:pPr>
        <w:pStyle w:val="a6"/>
        <w:numPr>
          <w:ilvl w:val="0"/>
          <w:numId w:val="1"/>
        </w:numPr>
        <w:tabs>
          <w:tab w:val="left" w:pos="384"/>
        </w:tabs>
        <w:spacing w:line="216" w:lineRule="exact"/>
        <w:ind w:right="137" w:hanging="283"/>
        <w:rPr>
          <w:sz w:val="18"/>
        </w:rPr>
      </w:pPr>
      <w:r>
        <w:rPr>
          <w:sz w:val="18"/>
        </w:rPr>
        <w:t>Matsumoto, K., Taguchi, S</w:t>
      </w:r>
      <w:r w:rsidR="00196702">
        <w:rPr>
          <w:sz w:val="18"/>
        </w:rPr>
        <w:t>.</w:t>
      </w:r>
      <w:r>
        <w:rPr>
          <w:sz w:val="18"/>
        </w:rPr>
        <w:t xml:space="preserve"> (2013</w:t>
      </w:r>
      <w:r w:rsidR="00FD4411">
        <w:rPr>
          <w:sz w:val="18"/>
        </w:rPr>
        <w:t xml:space="preserve">) </w:t>
      </w:r>
      <w:r w:rsidR="002D364E">
        <w:rPr>
          <w:sz w:val="18"/>
        </w:rPr>
        <w:t>Enzyme and metabolic engineering for the production of novel biopolymers: crossover of biological and chemical proces</w:t>
      </w:r>
      <w:r w:rsidR="001279DB">
        <w:rPr>
          <w:sz w:val="18"/>
        </w:rPr>
        <w:t>s</w:t>
      </w:r>
      <w:r w:rsidR="00A71984">
        <w:rPr>
          <w:sz w:val="18"/>
        </w:rPr>
        <w:t>. Curr</w:t>
      </w:r>
      <w:r w:rsidR="00C058DE">
        <w:rPr>
          <w:sz w:val="18"/>
        </w:rPr>
        <w:t>ent</w:t>
      </w:r>
      <w:r w:rsidR="00A71984">
        <w:rPr>
          <w:sz w:val="18"/>
        </w:rPr>
        <w:t xml:space="preserve"> Opin</w:t>
      </w:r>
      <w:r w:rsidR="00C058DE">
        <w:rPr>
          <w:sz w:val="18"/>
        </w:rPr>
        <w:t>ion in</w:t>
      </w:r>
      <w:r w:rsidR="00A71984">
        <w:rPr>
          <w:sz w:val="18"/>
        </w:rPr>
        <w:t xml:space="preserve"> Biotechnol</w:t>
      </w:r>
      <w:r w:rsidR="00C058DE">
        <w:rPr>
          <w:sz w:val="18"/>
        </w:rPr>
        <w:t>ogy</w:t>
      </w:r>
      <w:r w:rsidR="002D364E">
        <w:rPr>
          <w:sz w:val="18"/>
        </w:rPr>
        <w:t xml:space="preserve"> 24:1054-1060.</w:t>
      </w:r>
    </w:p>
    <w:p w:rsidR="00FD4411" w:rsidRDefault="00A44531" w:rsidP="00FD4411">
      <w:pPr>
        <w:pStyle w:val="a6"/>
        <w:numPr>
          <w:ilvl w:val="0"/>
          <w:numId w:val="1"/>
        </w:numPr>
        <w:tabs>
          <w:tab w:val="left" w:pos="384"/>
        </w:tabs>
        <w:spacing w:line="216" w:lineRule="exact"/>
        <w:ind w:right="138" w:hanging="283"/>
        <w:rPr>
          <w:sz w:val="18"/>
        </w:rPr>
      </w:pPr>
      <w:r>
        <w:rPr>
          <w:sz w:val="18"/>
        </w:rPr>
        <w:t xml:space="preserve">Salamanca-Cardona L. </w:t>
      </w:r>
      <w:r w:rsidRPr="00196702">
        <w:rPr>
          <w:i/>
          <w:sz w:val="18"/>
        </w:rPr>
        <w:t>et al</w:t>
      </w:r>
      <w:r>
        <w:rPr>
          <w:sz w:val="18"/>
        </w:rPr>
        <w:t>. (2016) Consolidated bioprocessing of poly(lactate-</w:t>
      </w:r>
      <w:r w:rsidRPr="00A44531">
        <w:rPr>
          <w:i/>
          <w:sz w:val="18"/>
        </w:rPr>
        <w:t>co</w:t>
      </w:r>
      <w:r>
        <w:rPr>
          <w:sz w:val="18"/>
        </w:rPr>
        <w:t xml:space="preserve">-3-hydroxybutyrate) from </w:t>
      </w:r>
      <w:proofErr w:type="spellStart"/>
      <w:r>
        <w:rPr>
          <w:sz w:val="18"/>
        </w:rPr>
        <w:t>xylan</w:t>
      </w:r>
      <w:proofErr w:type="spellEnd"/>
      <w:r>
        <w:rPr>
          <w:sz w:val="18"/>
        </w:rPr>
        <w:t xml:space="preserve"> as a sole feedstock by genetically-engineered </w:t>
      </w:r>
      <w:r w:rsidRPr="00A44531">
        <w:rPr>
          <w:i/>
          <w:sz w:val="18"/>
        </w:rPr>
        <w:t>Escherichia coli</w:t>
      </w:r>
      <w:r>
        <w:rPr>
          <w:sz w:val="18"/>
        </w:rPr>
        <w:t>. Journal of Biotechnology and Bioengineering 122:406-411</w:t>
      </w:r>
      <w:r w:rsidR="00FD4411">
        <w:rPr>
          <w:sz w:val="18"/>
        </w:rPr>
        <w:t>.</w:t>
      </w:r>
    </w:p>
    <w:p w:rsidR="00FD4411" w:rsidRPr="00C058DE" w:rsidRDefault="00706DF2" w:rsidP="00C058DE">
      <w:pPr>
        <w:pStyle w:val="a6"/>
        <w:numPr>
          <w:ilvl w:val="0"/>
          <w:numId w:val="1"/>
        </w:numPr>
        <w:tabs>
          <w:tab w:val="left" w:pos="384"/>
        </w:tabs>
        <w:spacing w:before="92" w:line="218" w:lineRule="exact"/>
        <w:ind w:hanging="283"/>
        <w:rPr>
          <w:sz w:val="18"/>
        </w:rPr>
      </w:pPr>
      <w:proofErr w:type="spellStart"/>
      <w:r>
        <w:rPr>
          <w:sz w:val="18"/>
        </w:rPr>
        <w:t>Utsunomia</w:t>
      </w:r>
      <w:proofErr w:type="spellEnd"/>
      <w:r>
        <w:rPr>
          <w:sz w:val="18"/>
        </w:rPr>
        <w:t xml:space="preserve">, C. </w:t>
      </w:r>
      <w:r w:rsidRPr="00196702">
        <w:rPr>
          <w:i/>
          <w:sz w:val="18"/>
        </w:rPr>
        <w:t>et al</w:t>
      </w:r>
      <w:r>
        <w:rPr>
          <w:sz w:val="18"/>
        </w:rPr>
        <w:t>.  (2017</w:t>
      </w:r>
      <w:r w:rsidR="002D364E">
        <w:rPr>
          <w:sz w:val="18"/>
        </w:rPr>
        <w:t>) Microbial secretion of D-lactate-based oligomers</w:t>
      </w:r>
      <w:r>
        <w:rPr>
          <w:sz w:val="18"/>
        </w:rPr>
        <w:t>. ACS Sus</w:t>
      </w:r>
      <w:r w:rsidR="00B33560">
        <w:rPr>
          <w:sz w:val="18"/>
        </w:rPr>
        <w:t>tain</w:t>
      </w:r>
      <w:r w:rsidR="00252159">
        <w:rPr>
          <w:sz w:val="18"/>
        </w:rPr>
        <w:t xml:space="preserve">able </w:t>
      </w:r>
      <w:r w:rsidR="00B33560">
        <w:rPr>
          <w:sz w:val="18"/>
        </w:rPr>
        <w:t>Chem</w:t>
      </w:r>
      <w:r w:rsidR="00252159">
        <w:rPr>
          <w:sz w:val="18"/>
        </w:rPr>
        <w:t>istry &amp;</w:t>
      </w:r>
      <w:r w:rsidR="00B33560">
        <w:rPr>
          <w:sz w:val="18"/>
        </w:rPr>
        <w:t xml:space="preserve"> Eng</w:t>
      </w:r>
      <w:r w:rsidR="00252159">
        <w:rPr>
          <w:sz w:val="18"/>
        </w:rPr>
        <w:t>ineering</w:t>
      </w:r>
      <w:r w:rsidR="00B33560">
        <w:rPr>
          <w:sz w:val="18"/>
        </w:rPr>
        <w:t xml:space="preserve"> 5:2360-2367.</w:t>
      </w:r>
    </w:p>
    <w:p w:rsidR="00FD4411" w:rsidRDefault="00FD4411" w:rsidP="00585360">
      <w:pPr>
        <w:pStyle w:val="a4"/>
        <w:spacing w:before="85" w:line="216" w:lineRule="exact"/>
        <w:ind w:left="383" w:right="138" w:hanging="284"/>
        <w:jc w:val="both"/>
        <w:rPr>
          <w:rFonts w:ascii="Calibri" w:hAnsi="Calibri"/>
        </w:rPr>
        <w:sectPr w:rsidR="00FD4411">
          <w:type w:val="continuous"/>
          <w:pgSz w:w="11910" w:h="16840"/>
          <w:pgMar w:top="1740" w:right="600" w:bottom="840" w:left="620" w:header="720" w:footer="720" w:gutter="0"/>
          <w:cols w:num="2" w:space="720" w:equalWidth="0">
            <w:col w:w="5214" w:space="138"/>
            <w:col w:w="5338"/>
          </w:cols>
        </w:sectPr>
      </w:pPr>
      <w:r>
        <w:rPr>
          <w:rFonts w:ascii="Calibri" w:hAnsi="Calibri"/>
        </w:rPr>
        <w:t xml:space="preserve">5. </w:t>
      </w:r>
      <w:proofErr w:type="spellStart"/>
      <w:r w:rsidR="00A53928">
        <w:rPr>
          <w:rFonts w:ascii="Calibri" w:hAnsi="Calibri"/>
        </w:rPr>
        <w:t>Utsunomia</w:t>
      </w:r>
      <w:proofErr w:type="spellEnd"/>
      <w:r w:rsidR="00A53928">
        <w:rPr>
          <w:rFonts w:ascii="Calibri" w:hAnsi="Calibri"/>
        </w:rPr>
        <w:t>, C.</w:t>
      </w:r>
      <w:r w:rsidR="00196702">
        <w:rPr>
          <w:rFonts w:ascii="Calibri" w:hAnsi="Calibri"/>
        </w:rPr>
        <w:t xml:space="preserve"> </w:t>
      </w:r>
      <w:r w:rsidR="00196702" w:rsidRPr="00196702">
        <w:rPr>
          <w:rFonts w:ascii="Calibri" w:hAnsi="Calibri"/>
          <w:i/>
        </w:rPr>
        <w:t>et al</w:t>
      </w:r>
      <w:r w:rsidR="00196702">
        <w:rPr>
          <w:rFonts w:ascii="Calibri" w:hAnsi="Calibri"/>
        </w:rPr>
        <w:t>.</w:t>
      </w:r>
      <w:r w:rsidR="004041E5">
        <w:rPr>
          <w:rFonts w:ascii="Calibri" w:hAnsi="Calibri"/>
        </w:rPr>
        <w:t xml:space="preserve"> (2017</w:t>
      </w:r>
      <w:r>
        <w:rPr>
          <w:rFonts w:ascii="Calibri" w:hAnsi="Calibri"/>
        </w:rPr>
        <w:t xml:space="preserve">) </w:t>
      </w:r>
      <w:r w:rsidR="00A53928">
        <w:rPr>
          <w:rFonts w:ascii="Calibri" w:hAnsi="Calibri"/>
        </w:rPr>
        <w:t xml:space="preserve">Synthesis of lactate-(LA)-based poly(ester-urethane) using hydroxyl-terminated LA-based oligomers from a microbial secretion system. </w:t>
      </w:r>
      <w:r w:rsidR="00846A01">
        <w:rPr>
          <w:rFonts w:ascii="Calibri" w:hAnsi="Calibri"/>
        </w:rPr>
        <w:t xml:space="preserve">Journal of Polymer Research </w:t>
      </w:r>
      <w:r w:rsidR="00A53928">
        <w:rPr>
          <w:rFonts w:ascii="Calibri" w:hAnsi="Calibri"/>
        </w:rPr>
        <w:t>24:167-171.</w:t>
      </w:r>
      <w:r>
        <w:rPr>
          <w:rFonts w:ascii="Calibri" w:hAnsi="Calibri"/>
        </w:rPr>
        <w:t xml:space="preserve"> </w:t>
      </w:r>
    </w:p>
    <w:p w:rsidR="00FD4411" w:rsidRDefault="00FD4411" w:rsidP="00FD4411">
      <w:pPr>
        <w:pStyle w:val="a4"/>
        <w:rPr>
          <w:rFonts w:ascii="Calibri"/>
          <w:sz w:val="20"/>
        </w:rPr>
      </w:pPr>
    </w:p>
    <w:p w:rsidR="00FD4411" w:rsidRDefault="00FD4411" w:rsidP="00FD4411">
      <w:pPr>
        <w:pStyle w:val="a4"/>
        <w:spacing w:line="40" w:lineRule="exact"/>
        <w:ind w:left="2202"/>
        <w:rPr>
          <w:rFonts w:ascii="Calibri"/>
          <w:sz w:val="4"/>
        </w:rPr>
      </w:pPr>
      <w:r>
        <w:rPr>
          <w:noProof/>
          <w:lang w:val="en-IN" w:eastAsia="en-IN"/>
        </w:rPr>
        <mc:AlternateContent>
          <mc:Choice Requires="wpg">
            <w:drawing>
              <wp:inline distT="0" distB="0" distL="0" distR="0">
                <wp:extent cx="3975735" cy="25400"/>
                <wp:effectExtent l="0" t="0" r="0" b="0"/>
                <wp:docPr id="14" name="Group 14"/>
                <wp:cNvGraphicFramePr/>
                <a:graphic xmlns:a="http://schemas.openxmlformats.org/drawingml/2006/main">
                  <a:graphicData uri="http://schemas.microsoft.com/office/word/2010/wordprocessingGroup">
                    <wpg:wgp>
                      <wpg:cNvGrpSpPr/>
                      <wpg:grpSpPr bwMode="auto">
                        <a:xfrm>
                          <a:off x="0" y="0"/>
                          <a:ext cx="3975735" cy="25400"/>
                          <a:chOff x="20" y="20"/>
                          <a:chExt cx="6221" cy="0"/>
                        </a:xfrm>
                      </wpg:grpSpPr>
                      <wps:wsp>
                        <wps:cNvPr id="4"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6DBFA25" id="Group 14" o:spid="_x0000_s1026" style="width:313.05pt;height:2pt;mso-position-horizontal-relative:char;mso-position-vertical-relative:line" coordorigin="20,20" coordsize="62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" strokecolor="#004080" strokeweight="2pt"/>
                <w10:anchorlock/>
              </v:group>
            </w:pict>
          </mc:Fallback>
        </mc:AlternateContent>
      </w:r>
    </w:p>
    <w:p w:rsidR="00776001" w:rsidRDefault="00D836F5" w:rsidP="00FD4411">
      <w:pPr>
        <w:spacing w:before="92"/>
        <w:ind w:right="4234"/>
        <w:rPr>
          <w:noProof/>
        </w:rPr>
      </w:pPr>
      <w:r w:rsidRPr="009E16DB">
        <w:rPr>
          <w:rFonts w:eastAsia="Times New Roman"/>
          <w:i/>
          <w:noProof/>
          <w:sz w:val="20"/>
          <w:szCs w:val="20"/>
          <w:lang w:eastAsia="ja-JP"/>
        </w:rPr>
        <w:drawing>
          <wp:anchor distT="0" distB="0" distL="114300" distR="114300" simplePos="0" relativeHeight="251660288" behindDoc="0" locked="0" layoutInCell="1" allowOverlap="1" wp14:anchorId="428F70AA" wp14:editId="13E1FF1B">
            <wp:simplePos x="0" y="0"/>
            <wp:positionH relativeFrom="column">
              <wp:posOffset>434975</wp:posOffset>
            </wp:positionH>
            <wp:positionV relativeFrom="paragraph">
              <wp:posOffset>95885</wp:posOffset>
            </wp:positionV>
            <wp:extent cx="586740" cy="746125"/>
            <wp:effectExtent l="0" t="0" r="0" b="3175"/>
            <wp:wrapTight wrapText="bothSides">
              <wp:wrapPolygon edited="0">
                <wp:start x="0" y="0"/>
                <wp:lineTo x="0" y="21324"/>
                <wp:lineTo x="21039" y="21324"/>
                <wp:lineTo x="21039" y="0"/>
                <wp:lineTo x="0" y="0"/>
              </wp:wrapPolygon>
            </wp:wrapTight>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1.png"/>
                    <pic:cNvPicPr/>
                  </pic:nvPicPr>
                  <pic:blipFill rotWithShape="1">
                    <a:blip r:embed="rId6" cstate="print">
                      <a:extLst>
                        <a:ext uri="{28A0092B-C50C-407E-A947-70E740481C1C}">
                          <a14:useLocalDpi xmlns:a14="http://schemas.microsoft.com/office/drawing/2010/main" val="0"/>
                        </a:ext>
                      </a:extLst>
                    </a:blip>
                    <a:srcRect l="2856" b="7089"/>
                    <a:stretch/>
                  </pic:blipFill>
                  <pic:spPr bwMode="auto">
                    <a:xfrm>
                      <a:off x="0" y="0"/>
                      <a:ext cx="586740" cy="746125"/>
                    </a:xfrm>
                    <a:prstGeom prst="rect">
                      <a:avLst/>
                    </a:prstGeom>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53640926-AAD7-44d8-BBD7-CCE9431645EC}">
                        <a14:shadowObscured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ext>
                    </a:extLst>
                  </pic:spPr>
                </pic:pic>
              </a:graphicData>
            </a:graphic>
            <wp14:sizeRelH relativeFrom="page">
              <wp14:pctWidth>0</wp14:pctWidth>
            </wp14:sizeRelH>
            <wp14:sizeRelV relativeFrom="page">
              <wp14:pctHeight>0</wp14:pctHeight>
            </wp14:sizeRelV>
          </wp:anchor>
        </w:drawing>
      </w:r>
      <w:r w:rsidR="00FD4411">
        <w:rPr>
          <w:noProof/>
        </w:rPr>
        <w:t xml:space="preserve">           </w:t>
      </w:r>
      <w:r w:rsidR="00776001">
        <w:rPr>
          <w:noProof/>
        </w:rPr>
        <w:t xml:space="preserve">  </w:t>
      </w:r>
    </w:p>
    <w:p w:rsidR="00776001" w:rsidRDefault="00776001" w:rsidP="00FD4411">
      <w:pPr>
        <w:spacing w:before="92"/>
        <w:ind w:right="4234"/>
        <w:rPr>
          <w:noProof/>
        </w:rPr>
      </w:pPr>
    </w:p>
    <w:p w:rsidR="00776001" w:rsidRDefault="00776001" w:rsidP="00FD4411">
      <w:pPr>
        <w:spacing w:before="92"/>
        <w:ind w:right="4234"/>
        <w:rPr>
          <w:noProof/>
        </w:rPr>
      </w:pPr>
    </w:p>
    <w:p w:rsidR="00776001" w:rsidRPr="00D836F5" w:rsidRDefault="00FD4411" w:rsidP="00D836F5">
      <w:pPr>
        <w:spacing w:before="92"/>
        <w:ind w:right="4234"/>
        <w:rPr>
          <w:noProof/>
          <w:lang w:val="en-IN" w:eastAsia="en-IN"/>
        </w:rPr>
      </w:pPr>
      <w:r>
        <w:rPr>
          <w:rFonts w:ascii="Arial"/>
          <w:color w:val="BF5A14"/>
        </w:rPr>
        <w:t>Biography (</w:t>
      </w:r>
      <w:proofErr w:type="gramStart"/>
      <w:r>
        <w:rPr>
          <w:rFonts w:ascii="Arial"/>
          <w:color w:val="BF5A14"/>
        </w:rPr>
        <w:t>150 word</w:t>
      </w:r>
      <w:proofErr w:type="gramEnd"/>
      <w:r>
        <w:rPr>
          <w:rFonts w:ascii="Arial"/>
          <w:color w:val="BF5A14"/>
        </w:rPr>
        <w:t xml:space="preserve"> limit)</w:t>
      </w:r>
      <w:r w:rsidR="00776001" w:rsidRPr="00776001">
        <w:rPr>
          <w:noProof/>
          <w:lang w:val="en-IN" w:eastAsia="en-IN"/>
        </w:rPr>
        <w:t xml:space="preserve"> </w:t>
      </w:r>
    </w:p>
    <w:p w:rsidR="00776001" w:rsidRPr="00E210E4" w:rsidRDefault="00E210E4" w:rsidP="00776001">
      <w:pPr>
        <w:spacing w:before="41" w:line="154" w:lineRule="exact"/>
        <w:ind w:left="213" w:right="231"/>
        <w:jc w:val="both"/>
        <w:rPr>
          <w:sz w:val="14"/>
        </w:rPr>
      </w:pPr>
      <w:r w:rsidRPr="00E210E4">
        <w:rPr>
          <w:rFonts w:eastAsia="Times New Roman" w:cs="Times New Roman"/>
          <w:sz w:val="14"/>
          <w:szCs w:val="14"/>
          <w:lang w:eastAsia="en-IN"/>
        </w:rPr>
        <w:t xml:space="preserve">Dr. Seiichi TAGUCHI is a Professor of Biomolecular Chemistry in Tokyo University of Agriculture. He </w:t>
      </w:r>
      <w:r w:rsidRPr="00E210E4">
        <w:rPr>
          <w:sz w:val="14"/>
          <w:szCs w:val="14"/>
        </w:rPr>
        <w:t>received a Ph.D. in Molecular Biology in 1991 from The University of Tokyo. After that, he joined the faculty of Bioscience and Engineering as an Assistant Professor at the Tokyo University of Science. During the period, he was a Visiting Scientist of Louis Pasteur University. After spending the decade, he joined the Polymer Chemistry Lab. in RIKEN Institute as a Senior Research Scientist. He moved to Meiji University as an Associate Professor in 2002 and was promoted to Professor of Hokkaido University in 2004, and shifted to the present position in 2017.</w:t>
      </w:r>
      <w:r w:rsidRPr="00E210E4">
        <w:rPr>
          <w:rFonts w:eastAsia="Times New Roman" w:cs="Times New Roman"/>
          <w:sz w:val="14"/>
          <w:szCs w:val="14"/>
          <w:lang w:eastAsia="en-IN"/>
        </w:rPr>
        <w:t xml:space="preserve"> </w:t>
      </w:r>
      <w:r w:rsidR="00D46363" w:rsidRPr="00A65B37">
        <w:rPr>
          <w:rFonts w:cs="Times New Roman"/>
          <w:color w:val="000000" w:themeColor="text1"/>
          <w:sz w:val="14"/>
          <w:szCs w:val="14"/>
          <w:lang w:bidi="en-US"/>
        </w:rPr>
        <w:t xml:space="preserve">He has received several awards such as </w:t>
      </w:r>
      <w:r w:rsidR="00D46363" w:rsidRPr="00A65B37">
        <w:rPr>
          <w:sz w:val="14"/>
          <w:szCs w:val="14"/>
          <w:lang w:val="en-NZ"/>
        </w:rPr>
        <w:t>Prizes for Science and Technology, The Commendation for Science and Technology by the Minister of Education, Culture, Sports, Science and Technology (MECST).</w:t>
      </w:r>
      <w:r w:rsidR="00D46363" w:rsidRPr="00A65B37">
        <w:rPr>
          <w:rFonts w:eastAsia="Times New Roman" w:cs="Times New Roman"/>
          <w:bCs/>
          <w:color w:val="000000" w:themeColor="text1"/>
          <w:sz w:val="14"/>
          <w:szCs w:val="14"/>
          <w:shd w:val="clear" w:color="auto" w:fill="FFFFFF"/>
          <w:lang w:eastAsia="ja-JP"/>
        </w:rPr>
        <w:t xml:space="preserve"> </w:t>
      </w:r>
      <w:r w:rsidR="00D46363" w:rsidRPr="00A65B37">
        <w:rPr>
          <w:rFonts w:cs="Times New Roman"/>
          <w:color w:val="231F20"/>
          <w:sz w:val="14"/>
          <w:szCs w:val="14"/>
          <w:lang w:bidi="en-US"/>
        </w:rPr>
        <w:t xml:space="preserve">He has published over 180 original research papers and </w:t>
      </w:r>
      <w:r w:rsidR="00D46363" w:rsidRPr="00A65B37">
        <w:rPr>
          <w:rFonts w:cs="Times New Roman"/>
          <w:color w:val="231F20"/>
          <w:sz w:val="14"/>
          <w:szCs w:val="14"/>
          <w:lang w:eastAsia="ja-JP" w:bidi="en-US"/>
        </w:rPr>
        <w:t xml:space="preserve">over 30 books </w:t>
      </w:r>
      <w:r w:rsidR="00D46363" w:rsidRPr="00A65B37">
        <w:rPr>
          <w:rFonts w:cs="Times New Roman"/>
          <w:color w:val="231F20"/>
          <w:sz w:val="14"/>
          <w:szCs w:val="14"/>
          <w:lang w:bidi="en-US"/>
        </w:rPr>
        <w:t xml:space="preserve">to </w:t>
      </w:r>
      <w:r w:rsidR="00D46363" w:rsidRPr="00A65B37">
        <w:rPr>
          <w:rFonts w:cs="AdvP4B2E3F"/>
          <w:color w:val="231F20"/>
          <w:sz w:val="14"/>
          <w:szCs w:val="14"/>
          <w:lang w:bidi="en-US"/>
        </w:rPr>
        <w:t>his name.</w:t>
      </w:r>
    </w:p>
    <w:p w:rsidR="00FD4411" w:rsidRDefault="00FD4411" w:rsidP="00FD4411">
      <w:pPr>
        <w:spacing w:before="62"/>
        <w:ind w:left="4217" w:right="4235"/>
        <w:jc w:val="center"/>
        <w:rPr>
          <w:rFonts w:ascii="Arial"/>
          <w:sz w:val="14"/>
        </w:rPr>
      </w:pPr>
      <w:r>
        <w:rPr>
          <w:rFonts w:ascii="Arial"/>
          <w:sz w:val="14"/>
        </w:rPr>
        <w:t xml:space="preserve">Email: </w:t>
      </w:r>
      <w:r w:rsidR="00DA2A1E" w:rsidRPr="00DA2A1E">
        <w:rPr>
          <w:rStyle w:val="a3"/>
          <w:rFonts w:ascii="Arial"/>
          <w:sz w:val="14"/>
        </w:rPr>
        <w:t>st206172</w:t>
      </w:r>
      <w:r w:rsidR="00DA2A1E">
        <w:rPr>
          <w:rStyle w:val="a3"/>
          <w:rFonts w:ascii="Arial"/>
          <w:sz w:val="14"/>
        </w:rPr>
        <w:t>@nodai.ac.jp</w:t>
      </w:r>
    </w:p>
    <w:p w:rsidR="00FD4411" w:rsidRPr="00776001" w:rsidRDefault="00FD4411" w:rsidP="00776001">
      <w:pPr>
        <w:pStyle w:val="a4"/>
        <w:spacing w:before="2"/>
        <w:rPr>
          <w:rFonts w:ascii="Arial"/>
          <w:sz w:val="19"/>
        </w:rPr>
      </w:pPr>
      <w:r>
        <w:rPr>
          <w:noProof/>
          <w:lang w:val="en-IN" w:eastAsia="en-IN"/>
        </w:rPr>
        <mc:AlternateContent>
          <mc:Choice Requires="wps">
            <w:drawing>
              <wp:anchor distT="0" distB="0" distL="0" distR="0" simplePos="0" relativeHeight="251658240" behindDoc="0" locked="0" layoutInCell="1" allowOverlap="1">
                <wp:simplePos x="0" y="0"/>
                <wp:positionH relativeFrom="page">
                  <wp:posOffset>2058670</wp:posOffset>
                </wp:positionH>
                <wp:positionV relativeFrom="paragraph">
                  <wp:posOffset>168275</wp:posOffset>
                </wp:positionV>
                <wp:extent cx="3442335" cy="0"/>
                <wp:effectExtent l="0" t="0" r="24765" b="1905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6626ED" id="Straight Connector 13" o:spid="_x0000_s1026" style="position:absolute;left:0;text-align:lef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rsidR="00FD4411" w:rsidRDefault="00FD4411" w:rsidP="00DA2A1E">
      <w:pPr>
        <w:spacing w:before="39"/>
        <w:ind w:left="100"/>
        <w:rPr>
          <w:rFonts w:ascii="Minion Pro"/>
          <w:b/>
          <w:sz w:val="20"/>
        </w:rPr>
      </w:pPr>
      <w:r>
        <w:rPr>
          <w:rFonts w:ascii="Minion Pro"/>
          <w:b/>
          <w:sz w:val="20"/>
        </w:rPr>
        <w:t>Notes/Comments:</w:t>
      </w:r>
    </w:p>
    <w:p w:rsidR="00776001" w:rsidRDefault="00776001" w:rsidP="00DA2A1E">
      <w:pPr>
        <w:spacing w:before="39"/>
        <w:ind w:left="100"/>
        <w:rPr>
          <w:rFonts w:ascii="Minion Pro"/>
          <w:b/>
          <w:sz w:val="20"/>
        </w:rPr>
      </w:pPr>
    </w:p>
    <w:p w:rsidR="00776001" w:rsidRPr="00DA2A1E" w:rsidRDefault="00776001" w:rsidP="00DA2A1E">
      <w:pPr>
        <w:spacing w:before="39"/>
        <w:ind w:left="100"/>
        <w:rPr>
          <w:rFonts w:ascii="Minion Pro"/>
          <w:b/>
          <w:sz w:val="20"/>
        </w:rPr>
        <w:sectPr w:rsidR="00776001" w:rsidRPr="00DA2A1E">
          <w:type w:val="continuous"/>
          <w:pgSz w:w="11910" w:h="16840"/>
          <w:pgMar w:top="1740" w:right="600" w:bottom="840" w:left="620" w:header="720" w:footer="720" w:gutter="0"/>
          <w:cols w:space="720"/>
        </w:sectPr>
      </w:pPr>
    </w:p>
    <w:p w:rsidR="00B77E33" w:rsidRDefault="00B77E33"/>
    <w:sectPr w:rsidR="00B77E3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Tw Cen MT">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AdvP4B2E3F">
    <w:altName w:val="American Typewriter"/>
    <w:panose1 w:val="00000000000000000000"/>
    <w:charset w:val="4D"/>
    <w:family w:val="roman"/>
    <w:notTrueType/>
    <w:pitch w:val="default"/>
    <w:sig w:usb0="0000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7"/>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411"/>
    <w:rsid w:val="000847A8"/>
    <w:rsid w:val="001279DB"/>
    <w:rsid w:val="00156BF5"/>
    <w:rsid w:val="00196702"/>
    <w:rsid w:val="00252159"/>
    <w:rsid w:val="002D364E"/>
    <w:rsid w:val="003B34C3"/>
    <w:rsid w:val="004041E5"/>
    <w:rsid w:val="00585360"/>
    <w:rsid w:val="00706DF2"/>
    <w:rsid w:val="00741868"/>
    <w:rsid w:val="00776001"/>
    <w:rsid w:val="00846A01"/>
    <w:rsid w:val="008D6E5F"/>
    <w:rsid w:val="009C5486"/>
    <w:rsid w:val="00A216BA"/>
    <w:rsid w:val="00A44531"/>
    <w:rsid w:val="00A53928"/>
    <w:rsid w:val="00A71984"/>
    <w:rsid w:val="00A71EB5"/>
    <w:rsid w:val="00A945A2"/>
    <w:rsid w:val="00B127A5"/>
    <w:rsid w:val="00B33560"/>
    <w:rsid w:val="00B45795"/>
    <w:rsid w:val="00B77E33"/>
    <w:rsid w:val="00C058DE"/>
    <w:rsid w:val="00CA5E20"/>
    <w:rsid w:val="00D04336"/>
    <w:rsid w:val="00D46363"/>
    <w:rsid w:val="00D836F5"/>
    <w:rsid w:val="00DA2A1E"/>
    <w:rsid w:val="00DB0A10"/>
    <w:rsid w:val="00DB3062"/>
    <w:rsid w:val="00DD491B"/>
    <w:rsid w:val="00E210E4"/>
    <w:rsid w:val="00F179AF"/>
    <w:rsid w:val="00FD4411"/>
    <w:rsid w:val="00FF29D0"/>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EBB87E4"/>
  <w15:docId w15:val="{75F8A715-A392-4F33-ACB2-A5BF04CAA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FD4411"/>
    <w:pPr>
      <w:widowControl w:val="0"/>
      <w:spacing w:after="0" w:line="240" w:lineRule="auto"/>
    </w:pPr>
    <w:rPr>
      <w:rFonts w:ascii="Tw Cen MT" w:eastAsia="Tw Cen MT" w:hAnsi="Tw Cen MT" w:cs="Tw Cen MT"/>
      <w:lang w:val="en-US"/>
    </w:rPr>
  </w:style>
  <w:style w:type="paragraph" w:styleId="1">
    <w:name w:val="heading 1"/>
    <w:basedOn w:val="a"/>
    <w:link w:val="10"/>
    <w:uiPriority w:val="1"/>
    <w:qFormat/>
    <w:rsid w:val="00FD4411"/>
    <w:pPr>
      <w:spacing w:before="47" w:line="400" w:lineRule="exact"/>
      <w:ind w:left="100"/>
      <w:outlineLvl w:val="0"/>
    </w:pPr>
    <w:rPr>
      <w:rFonts w:ascii="Minion Pro" w:eastAsia="Minion Pro" w:hAnsi="Minion Pro" w:cs="Minion Pro"/>
      <w:b/>
      <w:bCs/>
      <w:sz w:val="36"/>
      <w:szCs w:val="36"/>
    </w:rPr>
  </w:style>
  <w:style w:type="paragraph" w:styleId="3">
    <w:name w:val="heading 3"/>
    <w:basedOn w:val="a"/>
    <w:link w:val="30"/>
    <w:uiPriority w:val="1"/>
    <w:semiHidden/>
    <w:unhideWhenUsed/>
    <w:qFormat/>
    <w:rsid w:val="00FD4411"/>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1"/>
    <w:rsid w:val="00FD4411"/>
    <w:rPr>
      <w:rFonts w:ascii="Minion Pro" w:eastAsia="Minion Pro" w:hAnsi="Minion Pro" w:cs="Minion Pro"/>
      <w:b/>
      <w:bCs/>
      <w:sz w:val="36"/>
      <w:szCs w:val="36"/>
      <w:lang w:val="en-US"/>
    </w:rPr>
  </w:style>
  <w:style w:type="character" w:customStyle="1" w:styleId="30">
    <w:name w:val="見出し 3 (文字)"/>
    <w:basedOn w:val="a0"/>
    <w:link w:val="3"/>
    <w:uiPriority w:val="1"/>
    <w:semiHidden/>
    <w:rsid w:val="00FD4411"/>
    <w:rPr>
      <w:rFonts w:ascii="Arial" w:eastAsia="Arial" w:hAnsi="Arial" w:cs="Arial"/>
      <w:b/>
      <w:bCs/>
      <w:sz w:val="20"/>
      <w:szCs w:val="20"/>
      <w:lang w:val="en-US"/>
    </w:rPr>
  </w:style>
  <w:style w:type="character" w:styleId="a3">
    <w:name w:val="Hyperlink"/>
    <w:basedOn w:val="a0"/>
    <w:uiPriority w:val="99"/>
    <w:unhideWhenUsed/>
    <w:rsid w:val="00FD4411"/>
    <w:rPr>
      <w:color w:val="0000FF" w:themeColor="hyperlink"/>
      <w:u w:val="single"/>
    </w:rPr>
  </w:style>
  <w:style w:type="paragraph" w:styleId="a4">
    <w:name w:val="Body Text"/>
    <w:basedOn w:val="a"/>
    <w:link w:val="a5"/>
    <w:uiPriority w:val="1"/>
    <w:unhideWhenUsed/>
    <w:qFormat/>
    <w:rsid w:val="00FD4411"/>
    <w:rPr>
      <w:sz w:val="18"/>
      <w:szCs w:val="18"/>
    </w:rPr>
  </w:style>
  <w:style w:type="character" w:customStyle="1" w:styleId="a5">
    <w:name w:val="本文 (文字)"/>
    <w:basedOn w:val="a0"/>
    <w:link w:val="a4"/>
    <w:uiPriority w:val="1"/>
    <w:rsid w:val="00FD4411"/>
    <w:rPr>
      <w:rFonts w:ascii="Tw Cen MT" w:eastAsia="Tw Cen MT" w:hAnsi="Tw Cen MT" w:cs="Tw Cen MT"/>
      <w:sz w:val="18"/>
      <w:szCs w:val="18"/>
      <w:lang w:val="en-US"/>
    </w:rPr>
  </w:style>
  <w:style w:type="paragraph" w:styleId="a6">
    <w:name w:val="List Paragraph"/>
    <w:basedOn w:val="a"/>
    <w:uiPriority w:val="1"/>
    <w:qFormat/>
    <w:rsid w:val="00FD4411"/>
    <w:pPr>
      <w:spacing w:before="90" w:line="200" w:lineRule="exact"/>
      <w:ind w:left="383" w:hanging="283"/>
      <w:jc w:val="both"/>
    </w:pPr>
    <w:rPr>
      <w:rFonts w:ascii="Calibri" w:eastAsia="Calibri" w:hAnsi="Calibri" w:cs="Calibri"/>
    </w:rPr>
  </w:style>
  <w:style w:type="paragraph" w:styleId="a7">
    <w:name w:val="Balloon Text"/>
    <w:basedOn w:val="a"/>
    <w:link w:val="a8"/>
    <w:uiPriority w:val="99"/>
    <w:semiHidden/>
    <w:unhideWhenUsed/>
    <w:rsid w:val="00FD4411"/>
    <w:rPr>
      <w:rFonts w:ascii="Tahoma" w:hAnsi="Tahoma" w:cs="Tahoma"/>
      <w:sz w:val="16"/>
      <w:szCs w:val="16"/>
    </w:rPr>
  </w:style>
  <w:style w:type="character" w:customStyle="1" w:styleId="a8">
    <w:name w:val="吹き出し (文字)"/>
    <w:basedOn w:val="a0"/>
    <w:link w:val="a7"/>
    <w:uiPriority w:val="99"/>
    <w:semiHidden/>
    <w:rsid w:val="00FD4411"/>
    <w:rPr>
      <w:rFonts w:ascii="Tahoma" w:eastAsia="Tw Cen MT" w:hAnsi="Tahoma" w:cs="Tahoma"/>
      <w:sz w:val="16"/>
      <w:szCs w:val="16"/>
      <w:lang w:val="en-US"/>
    </w:rPr>
  </w:style>
  <w:style w:type="paragraph" w:styleId="HTML">
    <w:name w:val="HTML Preformatted"/>
    <w:basedOn w:val="a"/>
    <w:link w:val="HTML0"/>
    <w:uiPriority w:val="99"/>
    <w:unhideWhenUsed/>
    <w:rsid w:val="009C54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lang w:eastAsia="ja-JP"/>
    </w:rPr>
  </w:style>
  <w:style w:type="character" w:customStyle="1" w:styleId="HTML0">
    <w:name w:val="HTML 書式付き (文字)"/>
    <w:basedOn w:val="a0"/>
    <w:link w:val="HTML"/>
    <w:uiPriority w:val="99"/>
    <w:rsid w:val="009C5486"/>
    <w:rPr>
      <w:rFonts w:ascii="Courier New" w:hAnsi="Courier New" w:cs="Courier New"/>
      <w:sz w:val="20"/>
      <w:szCs w:val="20"/>
      <w:lang w:val="en-US" w:eastAsia="ja-JP"/>
    </w:rPr>
  </w:style>
  <w:style w:type="character" w:styleId="a9">
    <w:name w:val="FollowedHyperlink"/>
    <w:basedOn w:val="a0"/>
    <w:uiPriority w:val="99"/>
    <w:semiHidden/>
    <w:unhideWhenUsed/>
    <w:rsid w:val="00DA2A1E"/>
    <w:rPr>
      <w:color w:val="800080" w:themeColor="followedHyperlink"/>
      <w:u w:val="single"/>
    </w:rPr>
  </w:style>
  <w:style w:type="character" w:styleId="aa">
    <w:name w:val="Unresolved Mention"/>
    <w:basedOn w:val="a0"/>
    <w:uiPriority w:val="99"/>
    <w:semiHidden/>
    <w:unhideWhenUsed/>
    <w:rsid w:val="00DA2A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112482">
      <w:bodyDiv w:val="1"/>
      <w:marLeft w:val="0"/>
      <w:marRight w:val="0"/>
      <w:marTop w:val="0"/>
      <w:marBottom w:val="0"/>
      <w:divBdr>
        <w:top w:val="none" w:sz="0" w:space="0" w:color="auto"/>
        <w:left w:val="none" w:sz="0" w:space="0" w:color="auto"/>
        <w:bottom w:val="none" w:sz="0" w:space="0" w:color="auto"/>
        <w:right w:val="none" w:sz="0" w:space="0" w:color="auto"/>
      </w:divBdr>
    </w:div>
    <w:div w:id="987854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671</Words>
  <Characters>3826</Characters>
  <Application>Microsoft Office Word</Application>
  <DocSecurity>0</DocSecurity>
  <Lines>31</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Chem Bio</dc:creator>
  <cp:lastModifiedBy>田口 精一</cp:lastModifiedBy>
  <cp:revision>6</cp:revision>
  <dcterms:created xsi:type="dcterms:W3CDTF">2018-08-28T22:47:00Z</dcterms:created>
  <dcterms:modified xsi:type="dcterms:W3CDTF">2018-08-29T12:04:00Z</dcterms:modified>
</cp:coreProperties>
</file>