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DB57BE" w:rsidRDefault="00063182" w:rsidP="00494130">
      <w:pPr>
        <w:pStyle w:val="Ttulo1"/>
        <w:spacing w:before="170"/>
        <w:ind w:left="0"/>
        <w:rPr>
          <w:color w:val="337AB7"/>
        </w:rPr>
      </w:pPr>
      <w:r>
        <w:rPr>
          <w:color w:val="337AB7"/>
        </w:rPr>
        <w:t xml:space="preserve">Wind-solar hybrid plant economic risk analysis: A case study for Caetité plant  </w:t>
      </w:r>
    </w:p>
    <w:p w:rsidR="005973B9" w:rsidRDefault="005973B9" w:rsidP="005973B9">
      <w:pPr>
        <w:pStyle w:val="Corpodetexto"/>
        <w:spacing w:before="73" w:line="198" w:lineRule="exact"/>
        <w:ind w:left="100" w:right="5987"/>
        <w:rPr>
          <w:rFonts w:ascii="Arial"/>
        </w:rPr>
      </w:pPr>
      <w:r>
        <w:rPr>
          <w:rFonts w:ascii="Arial"/>
        </w:rPr>
        <w:t xml:space="preserve">Mulvihill, RN </w:t>
      </w:r>
      <w:r w:rsidRPr="003D313A">
        <w:rPr>
          <w:rFonts w:ascii="Arial"/>
          <w:noProof/>
        </w:rPr>
        <w:t>PhD</w:t>
      </w:r>
      <w:r>
        <w:rPr>
          <w:rFonts w:ascii="Arial"/>
        </w:rPr>
        <w:t xml:space="preserve">, TLI Foundation, USA Deanna L Mulvihill, RN </w:t>
      </w:r>
      <w:r w:rsidRPr="003D313A">
        <w:rPr>
          <w:rFonts w:ascii="Arial"/>
          <w:noProof/>
        </w:rPr>
        <w:t>PhD</w:t>
      </w:r>
      <w:r>
        <w:rPr>
          <w:rFonts w:ascii="Arial"/>
        </w:rPr>
        <w:t>, TLI Foundation, USA</w:t>
      </w:r>
    </w:p>
    <w:p w:rsidR="00AE3E37" w:rsidRDefault="00AE3E37">
      <w:pPr>
        <w:pStyle w:val="Corpodetexto"/>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Ttulo3"/>
        <w:spacing w:before="147"/>
        <w:jc w:val="both"/>
      </w:pPr>
      <w:r>
        <w:rPr>
          <w:color w:val="BF5A14"/>
        </w:rPr>
        <w:lastRenderedPageBreak/>
        <w:t>Abstract</w:t>
      </w:r>
      <w:r w:rsidR="00404E5B">
        <w:rPr>
          <w:color w:val="BF5A14"/>
        </w:rPr>
        <w:t xml:space="preserve"> (</w:t>
      </w:r>
      <w:r w:rsidR="00404E5B" w:rsidRPr="008D1B82">
        <w:rPr>
          <w:noProof/>
          <w:color w:val="BF5A14"/>
        </w:rPr>
        <w:t>300 word</w:t>
      </w:r>
      <w:r w:rsidR="00404E5B">
        <w:rPr>
          <w:color w:val="BF5A14"/>
        </w:rPr>
        <w:t xml:space="preserve"> limit)</w:t>
      </w:r>
    </w:p>
    <w:p w:rsidR="00AE3E37" w:rsidRPr="003D313A" w:rsidRDefault="00A9710C">
      <w:pPr>
        <w:pStyle w:val="Corpodetexto"/>
        <w:spacing w:before="90" w:line="280" w:lineRule="auto"/>
        <w:ind w:left="100"/>
        <w:jc w:val="both"/>
      </w:pPr>
      <w:r w:rsidRPr="003D313A">
        <w:rPr>
          <w:b/>
        </w:rPr>
        <w:t>Statement of the Problem:</w:t>
      </w:r>
      <w:r>
        <w:t xml:space="preserve"> </w:t>
      </w:r>
      <w:r w:rsidR="003D313A" w:rsidRPr="003D313A">
        <w:t>The use of renewable sources for generating electric energy has been growing in many countries around the world. Particularly, in Brazil, a hybrid of wind and solar plants has been implanted recently for energy large-scale production in the energetic market. Although this hybrid system is clean, it depends on natur</w:t>
      </w:r>
      <w:r w:rsidR="003D313A">
        <w:t xml:space="preserve">al resources to generate energy, i.e., it only </w:t>
      </w:r>
      <w:r w:rsidR="003D313A" w:rsidRPr="003D313A">
        <w:t xml:space="preserve">provides energy </w:t>
      </w:r>
      <w:r w:rsidR="003D313A">
        <w:t xml:space="preserve">if </w:t>
      </w:r>
      <w:r w:rsidR="003D313A" w:rsidRPr="003D313A">
        <w:t>these resources</w:t>
      </w:r>
      <w:r w:rsidR="003D313A">
        <w:t xml:space="preserve"> are abundant locally</w:t>
      </w:r>
      <w:r w:rsidR="003D313A" w:rsidRPr="003D313A">
        <w:t xml:space="preserve">. Here, the energy sector investors must be attentive once electric energy production fluctuation from wind and solar plants could </w:t>
      </w:r>
      <w:r w:rsidR="008D1B82">
        <w:t>increase the risk of</w:t>
      </w:r>
      <w:r w:rsidR="003D313A" w:rsidRPr="003D313A">
        <w:t xml:space="preserve"> </w:t>
      </w:r>
      <w:r w:rsidR="003D313A">
        <w:t xml:space="preserve">an unprofitable </w:t>
      </w:r>
      <w:r w:rsidR="008D1B82">
        <w:t>enterprise</w:t>
      </w:r>
      <w:r w:rsidR="003D313A" w:rsidRPr="003D313A">
        <w:t xml:space="preserve"> to them. The purpose of this work is to present a method, which is able to quantify hybrid plant investors’ financial risk as well as suggest a case study in order to evaluate the proposed methodology.</w:t>
      </w:r>
      <w:r w:rsidR="003D313A">
        <w:t xml:space="preserve"> </w:t>
      </w:r>
      <w:r w:rsidRPr="003D313A">
        <w:rPr>
          <w:b/>
        </w:rPr>
        <w:t>Methodolog</w:t>
      </w:r>
      <w:r w:rsidR="008756E6" w:rsidRPr="003D313A">
        <w:rPr>
          <w:b/>
        </w:rPr>
        <w:t>y &amp; Theoretical Orientation:</w:t>
      </w:r>
      <w:r w:rsidR="003D313A">
        <w:rPr>
          <w:b/>
        </w:rPr>
        <w:t xml:space="preserve"> </w:t>
      </w:r>
      <w:r w:rsidR="003D313A" w:rsidRPr="003D313A">
        <w:t xml:space="preserve">An economical risk study is </w:t>
      </w:r>
      <w:r w:rsidR="008D1B82">
        <w:t>accomplished</w:t>
      </w:r>
      <w:r w:rsidR="003D313A" w:rsidRPr="003D313A">
        <w:t xml:space="preserve"> by using Net Present Value (NPV) and Monte Carlo Simulation (MCS</w:t>
      </w:r>
      <w:r w:rsidR="008D1B82">
        <w:t>).</w:t>
      </w:r>
      <w:r w:rsidR="003D313A" w:rsidRPr="003D313A">
        <w:t xml:space="preserve"> To </w:t>
      </w:r>
      <w:r w:rsidR="008D1B82">
        <w:t>perform</w:t>
      </w:r>
      <w:r w:rsidR="003D313A" w:rsidRPr="003D313A">
        <w:t xml:space="preserve"> </w:t>
      </w:r>
      <w:r w:rsidR="008D1B82">
        <w:t>it</w:t>
      </w:r>
      <w:r w:rsidR="003D313A" w:rsidRPr="003D313A">
        <w:t>, the wind and solar plants' power is modeled mathematically whereas local wind speed and solar irradiation data are collected. Furthermore, the hybrid plant's total revenues and costs are estimated in order to build the cash flow of the project. Finally, statistical analyses are considered to run the MCS.</w:t>
      </w:r>
      <w:r w:rsidR="003D313A">
        <w:rPr>
          <w:b/>
        </w:rPr>
        <w:t xml:space="preserve"> </w:t>
      </w:r>
      <w:r w:rsidRPr="003D313A">
        <w:rPr>
          <w:b/>
        </w:rPr>
        <w:t>Findings:</w:t>
      </w:r>
      <w:r>
        <w:t xml:space="preserve"> </w:t>
      </w:r>
      <w:r w:rsidR="003D313A" w:rsidRPr="003D313A">
        <w:t xml:space="preserve">Real data from a Brazilian hybrid plant were considered to estimate its financial risk. By utilizing all the plant parameters, it was found that the hybrid plant set made of </w:t>
      </w:r>
      <w:r w:rsidR="008D1B82">
        <w:t>81.8</w:t>
      </w:r>
      <w:r w:rsidR="003D313A" w:rsidRPr="003D313A">
        <w:t xml:space="preserve">% of nominal power from wind power and </w:t>
      </w:r>
      <w:r w:rsidR="008D1B82">
        <w:t>18.2</w:t>
      </w:r>
      <w:r w:rsidR="003D313A" w:rsidRPr="003D313A">
        <w:t xml:space="preserve">% of nominal power from solar power has the same </w:t>
      </w:r>
      <w:r w:rsidR="003D313A" w:rsidRPr="008D1B82">
        <w:rPr>
          <w:noProof/>
        </w:rPr>
        <w:t>economical</w:t>
      </w:r>
      <w:r w:rsidR="003D313A" w:rsidRPr="003D313A">
        <w:t xml:space="preserve"> risk to investors that a </w:t>
      </w:r>
      <w:r w:rsidR="003D313A">
        <w:t xml:space="preserve">set of </w:t>
      </w:r>
      <w:r w:rsidR="003D313A" w:rsidRPr="003D313A">
        <w:t xml:space="preserve">plant made of 100% of wind power. </w:t>
      </w:r>
      <w:r w:rsidRPr="003D313A">
        <w:rPr>
          <w:b/>
        </w:rPr>
        <w:t>Conclusion &amp; Significance:</w:t>
      </w:r>
      <w:r w:rsidR="003D313A">
        <w:rPr>
          <w:b/>
        </w:rPr>
        <w:t xml:space="preserve"> </w:t>
      </w:r>
      <w:r w:rsidR="003D313A" w:rsidRPr="003D313A">
        <w:t xml:space="preserve">The proposed methodology has attended the expectations and allowed to identify the investor's risk in funding a hybrid plant. In addition, it was possible to verify that this risk increases as the percentage of solar energy in the hybrid plant increases.     </w:t>
      </w:r>
      <w:r w:rsidRPr="003D313A">
        <w:t xml:space="preserve"> </w:t>
      </w:r>
    </w:p>
    <w:p w:rsidR="00AE3E37" w:rsidRDefault="00A9710C">
      <w:pPr>
        <w:pStyle w:val="Ttulo3"/>
        <w:spacing w:before="74"/>
      </w:pPr>
      <w:r>
        <w:rPr>
          <w:b w:val="0"/>
        </w:rPr>
        <w:br w:type="column"/>
      </w:r>
      <w:r>
        <w:rPr>
          <w:color w:val="BF5A14"/>
        </w:rPr>
        <w:lastRenderedPageBreak/>
        <w:t>Image</w:t>
      </w:r>
    </w:p>
    <w:p w:rsidR="00AE3E37" w:rsidRDefault="00EB1491">
      <w:pPr>
        <w:pStyle w:val="Corpodetexto"/>
        <w:spacing w:before="2"/>
        <w:rPr>
          <w:rFonts w:ascii="Arial"/>
          <w:b/>
          <w:sz w:val="16"/>
        </w:rPr>
      </w:pPr>
      <w:r>
        <w:rPr>
          <w:rFonts w:ascii="Arial"/>
          <w:b/>
          <w:noProof/>
          <w:sz w:val="16"/>
          <w:lang w:val="pt-BR" w:eastAsia="pt-BR"/>
        </w:rPr>
        <w:drawing>
          <wp:inline distT="0" distB="0" distL="0" distR="0">
            <wp:extent cx="3165475" cy="2707640"/>
            <wp:effectExtent l="19050" t="0" r="0" b="0"/>
            <wp:docPr id="2" name="Imagem 1" descr="figu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png"/>
                    <pic:cNvPicPr/>
                  </pic:nvPicPr>
                  <pic:blipFill>
                    <a:blip r:embed="rId8"/>
                    <a:stretch>
                      <a:fillRect/>
                    </a:stretch>
                  </pic:blipFill>
                  <pic:spPr>
                    <a:xfrm>
                      <a:off x="0" y="0"/>
                      <a:ext cx="3165475" cy="2707640"/>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EB1491" w:rsidP="005973B9">
      <w:pPr>
        <w:pStyle w:val="PargrafodaLista"/>
        <w:numPr>
          <w:ilvl w:val="0"/>
          <w:numId w:val="3"/>
        </w:numPr>
        <w:tabs>
          <w:tab w:val="left" w:pos="384"/>
        </w:tabs>
        <w:spacing w:line="216" w:lineRule="exact"/>
        <w:ind w:right="137" w:hanging="283"/>
        <w:rPr>
          <w:sz w:val="18"/>
        </w:rPr>
      </w:pPr>
      <w:r w:rsidRPr="00EB1491">
        <w:rPr>
          <w:sz w:val="18"/>
        </w:rPr>
        <w:t xml:space="preserve">Rocha L. C. S., Aquila G., Pamplona E. de O., De Paiva, A. P., Chieregatti B. G., Lima J. de S. B. </w:t>
      </w:r>
      <w:r>
        <w:rPr>
          <w:sz w:val="18"/>
        </w:rPr>
        <w:t>(2017</w:t>
      </w:r>
      <w:r w:rsidR="005973B9">
        <w:rPr>
          <w:sz w:val="18"/>
        </w:rPr>
        <w:t xml:space="preserve">) </w:t>
      </w:r>
      <w:r w:rsidRPr="00EB1491">
        <w:rPr>
          <w:sz w:val="18"/>
        </w:rPr>
        <w:t>Photovoltaic electricity production in Brazil: A stochastic economic viability analysis for small systems in the face of net metering and tax incentives</w:t>
      </w:r>
      <w:r w:rsidR="005973B9">
        <w:rPr>
          <w:sz w:val="18"/>
        </w:rPr>
        <w:t xml:space="preserve">. </w:t>
      </w:r>
      <w:r>
        <w:rPr>
          <w:sz w:val="18"/>
        </w:rPr>
        <w:t>Journal of Cleaner Production</w:t>
      </w:r>
      <w:r w:rsidR="005973B9">
        <w:rPr>
          <w:sz w:val="18"/>
        </w:rPr>
        <w:t xml:space="preserve"> </w:t>
      </w:r>
      <w:r>
        <w:rPr>
          <w:sz w:val="18"/>
        </w:rPr>
        <w:t>1448-1462</w:t>
      </w:r>
    </w:p>
    <w:p w:rsidR="005316EA" w:rsidRPr="005316EA" w:rsidRDefault="005316EA" w:rsidP="005316EA">
      <w:pPr>
        <w:pStyle w:val="PargrafodaLista"/>
        <w:numPr>
          <w:ilvl w:val="0"/>
          <w:numId w:val="3"/>
        </w:numPr>
        <w:tabs>
          <w:tab w:val="left" w:pos="384"/>
        </w:tabs>
        <w:spacing w:before="103" w:line="216" w:lineRule="exact"/>
        <w:ind w:right="138" w:hanging="283"/>
        <w:rPr>
          <w:sz w:val="18"/>
        </w:rPr>
      </w:pPr>
      <w:r w:rsidRPr="008B3DD1">
        <w:rPr>
          <w:sz w:val="18"/>
          <w:lang w:val="en-CA"/>
        </w:rPr>
        <w:t>Aquila G., Rocha L. C. S., Junior P. R., Pamplona E. de O., De Queiroz A. R.</w:t>
      </w:r>
      <w:r>
        <w:rPr>
          <w:sz w:val="18"/>
          <w:lang w:val="en-CA"/>
        </w:rPr>
        <w:t>, De Paiva A. P.</w:t>
      </w:r>
      <w:r w:rsidRPr="008B3DD1">
        <w:rPr>
          <w:sz w:val="18"/>
          <w:lang w:val="en-CA"/>
        </w:rPr>
        <w:t xml:space="preserve"> </w:t>
      </w:r>
      <w:r>
        <w:rPr>
          <w:sz w:val="18"/>
        </w:rPr>
        <w:t xml:space="preserve">(2016) </w:t>
      </w:r>
      <w:r w:rsidRPr="00EB1491">
        <w:rPr>
          <w:sz w:val="18"/>
        </w:rPr>
        <w:t>Wind power generation: An impact analysis of incentive strategies for</w:t>
      </w:r>
      <w:r>
        <w:rPr>
          <w:sz w:val="18"/>
        </w:rPr>
        <w:t xml:space="preserve"> </w:t>
      </w:r>
      <w:r w:rsidRPr="00EB1491">
        <w:rPr>
          <w:sz w:val="18"/>
        </w:rPr>
        <w:t>cleaner energy provision in Brazil</w:t>
      </w:r>
      <w:r>
        <w:rPr>
          <w:sz w:val="18"/>
        </w:rPr>
        <w:t>. Journal of Cleaner Production 1100-1108</w:t>
      </w:r>
    </w:p>
    <w:p w:rsidR="005973B9" w:rsidRDefault="002A5DC9" w:rsidP="005973B9">
      <w:pPr>
        <w:pStyle w:val="PargrafodaLista"/>
        <w:numPr>
          <w:ilvl w:val="0"/>
          <w:numId w:val="3"/>
        </w:numPr>
        <w:tabs>
          <w:tab w:val="left" w:pos="384"/>
        </w:tabs>
        <w:spacing w:line="216" w:lineRule="exact"/>
        <w:ind w:right="138" w:hanging="283"/>
        <w:rPr>
          <w:sz w:val="18"/>
        </w:rPr>
      </w:pPr>
      <w:r>
        <w:rPr>
          <w:sz w:val="18"/>
        </w:rPr>
        <w:t>Arnold U., Yildiz O (2014</w:t>
      </w:r>
      <w:r w:rsidR="005973B9">
        <w:rPr>
          <w:sz w:val="18"/>
        </w:rPr>
        <w:t>)</w:t>
      </w:r>
      <w:r>
        <w:rPr>
          <w:sz w:val="18"/>
        </w:rPr>
        <w:t xml:space="preserve"> </w:t>
      </w:r>
      <w:r w:rsidRPr="002A5DC9">
        <w:rPr>
          <w:noProof/>
          <w:sz w:val="18"/>
        </w:rPr>
        <w:t>Economic risk analysis of decentralized renewable energy infrastructures e A Monte Carlo Simulation approach</w:t>
      </w:r>
      <w:r w:rsidR="005973B9">
        <w:rPr>
          <w:sz w:val="18"/>
        </w:rPr>
        <w:t xml:space="preserve">. </w:t>
      </w:r>
      <w:r>
        <w:rPr>
          <w:sz w:val="18"/>
        </w:rPr>
        <w:t>Renewable Energy 228-239</w:t>
      </w:r>
    </w:p>
    <w:p w:rsidR="005973B9" w:rsidRPr="002A5DC9" w:rsidRDefault="002A5DC9" w:rsidP="005973B9">
      <w:pPr>
        <w:pStyle w:val="PargrafodaLista"/>
        <w:numPr>
          <w:ilvl w:val="0"/>
          <w:numId w:val="3"/>
        </w:numPr>
        <w:tabs>
          <w:tab w:val="left" w:pos="384"/>
        </w:tabs>
        <w:spacing w:before="92" w:line="218" w:lineRule="exact"/>
        <w:ind w:hanging="283"/>
        <w:rPr>
          <w:sz w:val="18"/>
        </w:rPr>
      </w:pPr>
      <w:r>
        <w:rPr>
          <w:sz w:val="18"/>
        </w:rPr>
        <w:t>Riffonneau Y., Bacha S., Barruel F., Ploix S., (2011</w:t>
      </w:r>
      <w:r w:rsidR="005973B9">
        <w:rPr>
          <w:sz w:val="18"/>
        </w:rPr>
        <w:t xml:space="preserve">) </w:t>
      </w:r>
      <w:r w:rsidRPr="002A5DC9">
        <w:rPr>
          <w:sz w:val="18"/>
        </w:rPr>
        <w:t>Optimal Power Flow Management for Grid Connected PV Systems With Batteries</w:t>
      </w:r>
      <w:r w:rsidR="005973B9" w:rsidRPr="005973B9">
        <w:rPr>
          <w:sz w:val="18"/>
        </w:rPr>
        <w:t xml:space="preserve">. </w:t>
      </w:r>
      <w:r w:rsidRPr="002A5DC9">
        <w:rPr>
          <w:sz w:val="18"/>
        </w:rPr>
        <w:t>IEEE - Transactions on Sustainable Energy</w:t>
      </w:r>
      <w:r>
        <w:rPr>
          <w:sz w:val="18"/>
        </w:rPr>
        <w:t xml:space="preserve"> 309-320</w:t>
      </w:r>
    </w:p>
    <w:p w:rsidR="005973B9" w:rsidRDefault="005973B9" w:rsidP="005973B9">
      <w:pPr>
        <w:pStyle w:val="Corpodetexto"/>
        <w:spacing w:before="85" w:line="216" w:lineRule="exact"/>
        <w:ind w:left="383" w:right="138" w:hanging="284"/>
        <w:jc w:val="both"/>
        <w:rPr>
          <w:rFonts w:ascii="Calibri" w:hAnsi="Calibri"/>
        </w:rPr>
      </w:pPr>
      <w:r>
        <w:rPr>
          <w:rFonts w:ascii="Calibri" w:hAnsi="Calibri"/>
        </w:rPr>
        <w:t xml:space="preserve">5. </w:t>
      </w:r>
      <w:r w:rsidR="002A5DC9">
        <w:rPr>
          <w:rFonts w:ascii="Calibri" w:hAnsi="Calibri"/>
        </w:rPr>
        <w:t>Chen H. H., Kang H-Y., Lee A. H. I., (2009</w:t>
      </w:r>
      <w:r>
        <w:rPr>
          <w:rFonts w:ascii="Calibri" w:hAnsi="Calibri"/>
        </w:rPr>
        <w:t xml:space="preserve">) </w:t>
      </w:r>
      <w:r w:rsidR="002A5DC9" w:rsidRPr="002A5DC9">
        <w:rPr>
          <w:rFonts w:ascii="Calibri" w:hAnsi="Calibri"/>
        </w:rPr>
        <w:t>Strategic selection of suitable projects for hybrid solar-wind power generation systems</w:t>
      </w:r>
      <w:r>
        <w:rPr>
          <w:rFonts w:ascii="Calibri" w:hAnsi="Calibri"/>
          <w:spacing w:val="-4"/>
        </w:rPr>
        <w:t xml:space="preserve">. </w:t>
      </w:r>
      <w:r w:rsidR="002A5DC9" w:rsidRPr="002A5DC9">
        <w:rPr>
          <w:rFonts w:ascii="Calibri" w:hAnsi="Calibri"/>
        </w:rPr>
        <w:t>Renewable and Sustainable Energy Reviews</w:t>
      </w:r>
      <w:r w:rsidR="002A5DC9">
        <w:rPr>
          <w:rFonts w:ascii="Calibri" w:hAnsi="Calibri"/>
        </w:rPr>
        <w:t xml:space="preserve"> 413-421</w:t>
      </w:r>
      <w:r>
        <w:rPr>
          <w:rFonts w:ascii="Calibri" w:hAnsi="Calibri"/>
        </w:rPr>
        <w:t>.</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rsidR="00AE3E37" w:rsidRDefault="00AE3E37">
      <w:pPr>
        <w:pStyle w:val="Corpodetexto"/>
        <w:rPr>
          <w:rFonts w:ascii="Calibri"/>
          <w:sz w:val="20"/>
        </w:rPr>
      </w:pPr>
    </w:p>
    <w:p w:rsidR="00AE3E37" w:rsidRDefault="004019C3">
      <w:pPr>
        <w:pStyle w:val="Corpodetexto"/>
        <w:spacing w:line="40" w:lineRule="exact"/>
        <w:ind w:left="2202"/>
        <w:rPr>
          <w:rFonts w:ascii="Calibri"/>
          <w:sz w:val="4"/>
        </w:rPr>
      </w:pPr>
      <w:r w:rsidRPr="004019C3">
        <w:rPr>
          <w:rFonts w:ascii="Calibri"/>
          <w:noProof/>
          <w:sz w:val="4"/>
          <w:lang w:val="en-IN" w:eastAsia="en-IN"/>
        </w:rPr>
      </w:r>
      <w:r w:rsidRPr="004019C3">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4019C3" w:rsidP="00404E5B">
      <w:pPr>
        <w:spacing w:before="92"/>
        <w:ind w:right="4234"/>
        <w:rPr>
          <w:rFonts w:ascii="Arial"/>
        </w:rPr>
      </w:pPr>
      <w:bookmarkStart w:id="0" w:name="_GoBack"/>
      <w:bookmarkEnd w:id="0"/>
      <w:r w:rsidRPr="004019C3">
        <w:rPr>
          <w:rFonts w:ascii="Times New Roman" w:hAnsi="Times New Roman" w:cs="Times New Roman"/>
          <w:noProof/>
          <w:sz w:val="24"/>
          <w:szCs w:val="24"/>
          <w:lang w:val="en-IN" w:eastAsia="en-IN"/>
        </w:rPr>
        <w:pict>
          <v:roundrect id="Rounded Rectangle 2" o:spid="_x0000_s1029" style="position:absolute;margin-left:445.35pt;margin-top:4.45pt;width:79.7pt;height:44.9pt;z-index:2516602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w:r>
      <w:r w:rsidR="008756E6">
        <w:rPr>
          <w:noProof/>
          <w:lang w:val="pt-BR" w:eastAsia="pt-BR"/>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r w:rsidR="00404E5B" w:rsidRPr="008D1B82">
        <w:rPr>
          <w:rFonts w:ascii="Arial"/>
          <w:noProof/>
          <w:color w:val="BF5A14"/>
        </w:rPr>
        <w:t>150 word</w:t>
      </w:r>
      <w:r w:rsidR="00404E5B">
        <w:rPr>
          <w:rFonts w:ascii="Arial"/>
          <w:color w:val="BF5A14"/>
        </w:rPr>
        <w:t xml:space="preserve"> limit)</w:t>
      </w:r>
    </w:p>
    <w:p w:rsidR="00AE3E37" w:rsidRDefault="00A9710C">
      <w:pPr>
        <w:spacing w:before="41" w:line="154" w:lineRule="exact"/>
        <w:ind w:left="213" w:right="231"/>
        <w:jc w:val="both"/>
        <w:rPr>
          <w:rFonts w:ascii="Arial"/>
          <w:sz w:val="14"/>
        </w:rPr>
      </w:pPr>
      <w:r>
        <w:rPr>
          <w:rFonts w:ascii="Arial"/>
          <w:sz w:val="14"/>
        </w:rPr>
        <w:lastRenderedPageBreak/>
        <w:t xml:space="preserve">Deanna Mulvihill has her expertise in evaluation and passion </w:t>
      </w:r>
      <w:r w:rsidRPr="008D1B82">
        <w:rPr>
          <w:rFonts w:ascii="Arial"/>
          <w:noProof/>
          <w:sz w:val="14"/>
        </w:rPr>
        <w:t>in</w:t>
      </w:r>
      <w:r>
        <w:rPr>
          <w:rFonts w:ascii="Arial"/>
          <w:sz w:val="14"/>
        </w:rPr>
        <w:t xml:space="preserve"> improving the health and wellbeing. Her open and contextual evaluation model based on responsive </w:t>
      </w:r>
      <w:r w:rsidRPr="008D1B82">
        <w:rPr>
          <w:rFonts w:ascii="Arial"/>
          <w:noProof/>
          <w:sz w:val="14"/>
        </w:rPr>
        <w:t>constructivistscreatesnewpathwaysforimprovinghealthcare</w:t>
      </w:r>
      <w:r>
        <w:rPr>
          <w:rFonts w:ascii="Arial"/>
          <w:sz w:val="14"/>
        </w:rPr>
        <w:t>.Shehasbuiltthismodelafteryearsofexperienceinresearch</w:t>
      </w:r>
      <w:r w:rsidRPr="008D1B82">
        <w:rPr>
          <w:rFonts w:ascii="Arial"/>
          <w:noProof/>
          <w:sz w:val="14"/>
        </w:rPr>
        <w:t>,evaluation</w:t>
      </w:r>
      <w:r>
        <w:rPr>
          <w:rFonts w:ascii="Arial"/>
          <w:sz w:val="14"/>
        </w:rPr>
        <w:t>,</w:t>
      </w:r>
      <w:r w:rsidRPr="008D1B82">
        <w:rPr>
          <w:rFonts w:ascii="Arial"/>
          <w:noProof/>
          <w:sz w:val="14"/>
        </w:rPr>
        <w:t>teachingand</w:t>
      </w:r>
      <w:r w:rsidR="00380299" w:rsidRPr="008D1B82">
        <w:rPr>
          <w:rFonts w:ascii="Arial"/>
          <w:noProof/>
          <w:sz w:val="14"/>
        </w:rPr>
        <w:t>administration</w:t>
      </w:r>
      <w:r w:rsidR="00380299">
        <w:rPr>
          <w:rFonts w:ascii="Arial"/>
          <w:sz w:val="14"/>
        </w:rPr>
        <w:t xml:space="preserve"> both</w:t>
      </w:r>
      <w:r>
        <w:rPr>
          <w:rFonts w:ascii="Arial"/>
          <w:sz w:val="14"/>
        </w:rPr>
        <w:t xml:space="preserve"> in hospital and education institutions. The foundation is based on </w:t>
      </w:r>
      <w:r w:rsidRPr="008D1B82">
        <w:rPr>
          <w:rFonts w:ascii="Arial"/>
          <w:noProof/>
          <w:sz w:val="14"/>
        </w:rPr>
        <w:t>fourth generation</w:t>
      </w:r>
      <w:r>
        <w:rPr>
          <w:rFonts w:ascii="Arial"/>
          <w:sz w:val="14"/>
        </w:rPr>
        <w:t xml:space="preserve"> evaluation (Guba&amp; Lincoln, 1989) which is a methodology that utilizes the previous generations of evaluation: measurement, description </w:t>
      </w:r>
      <w:r w:rsidRPr="008D1B82">
        <w:rPr>
          <w:rFonts w:ascii="Arial"/>
          <w:noProof/>
          <w:sz w:val="14"/>
        </w:rPr>
        <w:t>and</w:t>
      </w:r>
      <w:r>
        <w:rPr>
          <w:rFonts w:ascii="Arial"/>
          <w:sz w:val="14"/>
        </w:rPr>
        <w:t xml:space="preserve"> judgment. It allows for value-pluralism. This approach is responsive to all stakeholders and has a different way </w:t>
      </w:r>
      <w:r w:rsidRPr="008D1B82">
        <w:rPr>
          <w:rFonts w:ascii="Arial"/>
          <w:noProof/>
          <w:sz w:val="14"/>
        </w:rPr>
        <w:t>offocusing</w:t>
      </w:r>
      <w:r>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0" w:history="1">
        <w:r w:rsidR="008756E6" w:rsidRPr="00616076">
          <w:rPr>
            <w:rStyle w:val="Hyperlink"/>
            <w:rFonts w:ascii="Arial"/>
            <w:sz w:val="14"/>
          </w:rPr>
          <w:t>drXXXXXXX@xxxmail.com</w:t>
        </w:r>
      </w:hyperlink>
    </w:p>
    <w:p w:rsidR="00AE3E37" w:rsidRDefault="004019C3">
      <w:pPr>
        <w:pStyle w:val="Corpodetexto"/>
        <w:spacing w:before="2"/>
        <w:rPr>
          <w:rFonts w:ascii="Arial"/>
          <w:sz w:val="19"/>
        </w:rPr>
      </w:pPr>
      <w:r w:rsidRPr="004019C3">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Corpodetexto"/>
        <w:rPr>
          <w:rFonts w:ascii="Arial"/>
          <w:sz w:val="20"/>
        </w:rPr>
      </w:pPr>
    </w:p>
    <w:p w:rsidR="00AE3E37" w:rsidRDefault="00AE3E37">
      <w:pPr>
        <w:pStyle w:val="Corpodetexto"/>
        <w:rPr>
          <w:rFonts w:ascii="Arial"/>
          <w:sz w:val="20"/>
        </w:rPr>
      </w:pPr>
    </w:p>
    <w:p w:rsidR="00AE3E37" w:rsidRDefault="00AE3E37">
      <w:pPr>
        <w:pStyle w:val="Corpodetexto"/>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rsidR="00F046EA" w:rsidRPr="0013708E" w:rsidRDefault="00F046EA" w:rsidP="00F046EA">
      <w:pPr>
        <w:jc w:val="both"/>
        <w:rPr>
          <w:b/>
        </w:rPr>
      </w:pPr>
      <w:r w:rsidRPr="0013708E">
        <w:rPr>
          <w:b/>
        </w:rPr>
        <w:lastRenderedPageBreak/>
        <w:t xml:space="preserve">Presenting author details </w:t>
      </w:r>
    </w:p>
    <w:p w:rsidR="00F046EA" w:rsidRPr="005C4F3E" w:rsidRDefault="00F046EA" w:rsidP="00F046EA">
      <w:pPr>
        <w:jc w:val="both"/>
        <w:rPr>
          <w:lang w:val="pt-BR"/>
        </w:rPr>
      </w:pPr>
      <w:r w:rsidRPr="005C4F3E">
        <w:rPr>
          <w:lang w:val="pt-BR"/>
        </w:rPr>
        <w:t xml:space="preserve">Full name: </w:t>
      </w:r>
      <w:r w:rsidR="005C4F3E" w:rsidRPr="005C4F3E">
        <w:rPr>
          <w:lang w:val="pt-BR"/>
        </w:rPr>
        <w:t>Diego Barbosa Carvalho</w:t>
      </w:r>
    </w:p>
    <w:p w:rsidR="00F046EA" w:rsidRPr="005C4F3E" w:rsidRDefault="00F046EA" w:rsidP="00F046EA">
      <w:pPr>
        <w:jc w:val="both"/>
        <w:rPr>
          <w:lang w:val="pt-BR"/>
        </w:rPr>
      </w:pPr>
      <w:r w:rsidRPr="005C4F3E">
        <w:rPr>
          <w:lang w:val="pt-BR"/>
        </w:rPr>
        <w:t>Contact number:</w:t>
      </w:r>
      <w:r w:rsidR="005C4F3E" w:rsidRPr="005C4F3E">
        <w:rPr>
          <w:lang w:val="pt-BR"/>
        </w:rPr>
        <w:t>+55 37 991616040</w:t>
      </w:r>
    </w:p>
    <w:p w:rsidR="00F046EA" w:rsidRPr="005C4F3E" w:rsidRDefault="00F046EA" w:rsidP="00F046EA">
      <w:pPr>
        <w:jc w:val="both"/>
        <w:rPr>
          <w:lang w:val="pt-BR"/>
        </w:rPr>
      </w:pPr>
      <w:r w:rsidRPr="005C4F3E">
        <w:rPr>
          <w:lang w:val="pt-BR"/>
        </w:rPr>
        <w:t xml:space="preserve">Mail id: </w:t>
      </w:r>
      <w:r w:rsidR="005C4F3E" w:rsidRPr="005C4F3E">
        <w:rPr>
          <w:lang w:val="pt-BR"/>
        </w:rPr>
        <w:t>Rua Sérgio de Lima Costa, 578, Costa II, Itajub</w:t>
      </w:r>
      <w:r w:rsidR="005C4F3E">
        <w:rPr>
          <w:lang w:val="pt-BR"/>
        </w:rPr>
        <w:t xml:space="preserve">á-MG/ Brazil </w:t>
      </w:r>
    </w:p>
    <w:p w:rsidR="00F046EA" w:rsidRDefault="00F046EA" w:rsidP="00F046EA">
      <w:pPr>
        <w:jc w:val="both"/>
      </w:pPr>
      <w:r w:rsidRPr="0013708E">
        <w:t>Category: (Oral presentation/ Poster presentation)</w:t>
      </w:r>
    </w:p>
    <w:p w:rsidR="00AE3E37" w:rsidRDefault="00AE3E37">
      <w:pPr>
        <w:pStyle w:val="Corpodetexto"/>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4A94" w:rsidRDefault="00584A94">
      <w:r>
        <w:separator/>
      </w:r>
    </w:p>
  </w:endnote>
  <w:endnote w:type="continuationSeparator" w:id="1">
    <w:p w:rsidR="00584A94" w:rsidRDefault="00584A9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4019C3">
    <w:pPr>
      <w:pStyle w:val="Corpodetexto"/>
      <w:spacing w:line="14" w:lineRule="auto"/>
      <w:rPr>
        <w:sz w:val="20"/>
      </w:rPr>
    </w:pPr>
    <w:r w:rsidRPr="004019C3">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4019C3">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4019C3">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4A94" w:rsidRDefault="00584A94">
      <w:r>
        <w:separator/>
      </w:r>
    </w:p>
  </w:footnote>
  <w:footnote w:type="continuationSeparator" w:id="1">
    <w:p w:rsidR="00584A94" w:rsidRDefault="00584A9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defaultTabStop w:val="720"/>
  <w:hyphenationZone w:val="425"/>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docVars>
    <w:docVar w:name="__Grammarly_42____i" w:val="H4sIAAAAAAAEAKtWckksSQxILCpxzi/NK1GyMqwFAAEhoTITAAAA"/>
    <w:docVar w:name="__Grammarly_42___1" w:val="H4sIAAAAAAAEAKtWcslP9kxRslIyNDY0MzI2tTCytDQ0NLcwMLNU0lEKTi0uzszPAykwqgUAkpVHzywAAAA="/>
  </w:docVars>
  <w:rsids>
    <w:rsidRoot w:val="00AE3E37"/>
    <w:rsid w:val="00007249"/>
    <w:rsid w:val="00063182"/>
    <w:rsid w:val="000E2911"/>
    <w:rsid w:val="001263DF"/>
    <w:rsid w:val="001B4478"/>
    <w:rsid w:val="001E767F"/>
    <w:rsid w:val="00292ED9"/>
    <w:rsid w:val="002A5DC9"/>
    <w:rsid w:val="00351D9B"/>
    <w:rsid w:val="00380299"/>
    <w:rsid w:val="003A3DA0"/>
    <w:rsid w:val="003D313A"/>
    <w:rsid w:val="004019C3"/>
    <w:rsid w:val="00404E5B"/>
    <w:rsid w:val="00414F7B"/>
    <w:rsid w:val="004355DC"/>
    <w:rsid w:val="004749B4"/>
    <w:rsid w:val="00494130"/>
    <w:rsid w:val="004F3523"/>
    <w:rsid w:val="005316EA"/>
    <w:rsid w:val="00584A94"/>
    <w:rsid w:val="005973B9"/>
    <w:rsid w:val="005B3A56"/>
    <w:rsid w:val="005C4F3E"/>
    <w:rsid w:val="006060CE"/>
    <w:rsid w:val="0061505C"/>
    <w:rsid w:val="0063497F"/>
    <w:rsid w:val="00714354"/>
    <w:rsid w:val="00873DF0"/>
    <w:rsid w:val="008756E6"/>
    <w:rsid w:val="00897EC5"/>
    <w:rsid w:val="008B3DD1"/>
    <w:rsid w:val="008D1B82"/>
    <w:rsid w:val="008E5477"/>
    <w:rsid w:val="00945DE1"/>
    <w:rsid w:val="009B2D44"/>
    <w:rsid w:val="00A07E82"/>
    <w:rsid w:val="00A52075"/>
    <w:rsid w:val="00A65E95"/>
    <w:rsid w:val="00A9710C"/>
    <w:rsid w:val="00AE3E37"/>
    <w:rsid w:val="00B21A57"/>
    <w:rsid w:val="00C33602"/>
    <w:rsid w:val="00C56C74"/>
    <w:rsid w:val="00CD6F55"/>
    <w:rsid w:val="00D674B9"/>
    <w:rsid w:val="00DB57BE"/>
    <w:rsid w:val="00DE3104"/>
    <w:rsid w:val="00DE6170"/>
    <w:rsid w:val="00E30AAC"/>
    <w:rsid w:val="00E95D97"/>
    <w:rsid w:val="00EB1491"/>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styleId="MapadoDocumento">
    <w:name w:val="Document Map"/>
    <w:basedOn w:val="Normal"/>
    <w:link w:val="MapadoDocumentoChar"/>
    <w:uiPriority w:val="99"/>
    <w:semiHidden/>
    <w:unhideWhenUsed/>
    <w:rsid w:val="00EB1491"/>
    <w:rPr>
      <w:rFonts w:ascii="Tahoma" w:hAnsi="Tahoma" w:cs="Tahoma"/>
      <w:sz w:val="16"/>
      <w:szCs w:val="16"/>
    </w:rPr>
  </w:style>
  <w:style w:type="character" w:customStyle="1" w:styleId="MapadoDocumentoChar">
    <w:name w:val="Mapa do Documento Char"/>
    <w:basedOn w:val="Fontepargpadro"/>
    <w:link w:val="MapadoDocumento"/>
    <w:uiPriority w:val="99"/>
    <w:semiHidden/>
    <w:rsid w:val="00EB1491"/>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3</Pages>
  <Words>668</Words>
  <Characters>3613</Characters>
  <Application>Microsoft Office Word</Application>
  <DocSecurity>0</DocSecurity>
  <Lines>30</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Diego</cp:lastModifiedBy>
  <cp:revision>8</cp:revision>
  <dcterms:created xsi:type="dcterms:W3CDTF">2017-10-16T06:14:00Z</dcterms:created>
  <dcterms:modified xsi:type="dcterms:W3CDTF">2018-02-06T04:09:00Z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