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70C" w:rsidRDefault="00F6370C" w:rsidP="00F6370C">
      <w:pPr>
        <w:autoSpaceDE w:val="0"/>
        <w:autoSpaceDN w:val="0"/>
        <w:adjustRightInd w:val="0"/>
        <w:spacing w:after="0" w:line="360" w:lineRule="auto"/>
        <w:rPr>
          <w:rFonts w:asciiTheme="majorBidi" w:hAnsiTheme="majorBidi"/>
          <w:b/>
          <w:sz w:val="32"/>
          <w:lang w:val="en-US"/>
        </w:rPr>
      </w:pPr>
      <w:r w:rsidRPr="00762E1A">
        <w:rPr>
          <w:rFonts w:asciiTheme="majorBidi" w:hAnsiTheme="majorBidi" w:cstheme="majorBidi"/>
          <w:b/>
          <w:bCs/>
          <w:iCs/>
          <w:sz w:val="32"/>
          <w:lang w:val="en-US"/>
        </w:rPr>
        <w:t>Production of fatty acid ethyl esters from</w:t>
      </w:r>
      <w:r w:rsidRPr="00762E1A">
        <w:rPr>
          <w:rFonts w:asciiTheme="majorBidi" w:hAnsiTheme="majorBidi" w:cstheme="majorBidi"/>
          <w:b/>
          <w:bCs/>
          <w:sz w:val="32"/>
          <w:lang w:val="en-US"/>
        </w:rPr>
        <w:t xml:space="preserve"> wet </w:t>
      </w:r>
      <w:proofErr w:type="spellStart"/>
      <w:r w:rsidRPr="00762E1A">
        <w:rPr>
          <w:rFonts w:asciiTheme="majorBidi" w:hAnsiTheme="majorBidi"/>
          <w:b/>
          <w:sz w:val="32"/>
          <w:lang w:val="en-US"/>
        </w:rPr>
        <w:t>microalgal</w:t>
      </w:r>
      <w:proofErr w:type="spellEnd"/>
      <w:r w:rsidRPr="00762E1A">
        <w:rPr>
          <w:rFonts w:asciiTheme="majorBidi" w:hAnsiTheme="majorBidi"/>
          <w:b/>
          <w:sz w:val="32"/>
          <w:lang w:val="en-US"/>
        </w:rPr>
        <w:t xml:space="preserve"> biomass with endogenous lipases and a lipase/acyltransferase in aqueous medium</w:t>
      </w:r>
    </w:p>
    <w:p w:rsidR="00F6370C" w:rsidRPr="00762E1A" w:rsidRDefault="00F6370C" w:rsidP="00F6370C">
      <w:pPr>
        <w:autoSpaceDE w:val="0"/>
        <w:autoSpaceDN w:val="0"/>
        <w:adjustRightInd w:val="0"/>
        <w:spacing w:after="0" w:line="360" w:lineRule="auto"/>
        <w:rPr>
          <w:rFonts w:asciiTheme="majorBidi" w:hAnsiTheme="majorBidi" w:cstheme="majorBidi"/>
          <w:b/>
          <w:bCs/>
          <w:lang w:val="en-US"/>
        </w:rPr>
      </w:pPr>
      <w:r w:rsidRPr="00762E1A">
        <w:rPr>
          <w:rFonts w:asciiTheme="majorBidi" w:hAnsiTheme="majorBidi"/>
          <w:b/>
          <w:lang w:val="en-US"/>
        </w:rPr>
        <w:t xml:space="preserve">S. </w:t>
      </w:r>
      <w:proofErr w:type="spellStart"/>
      <w:r w:rsidRPr="00762E1A">
        <w:rPr>
          <w:rFonts w:asciiTheme="majorBidi" w:hAnsiTheme="majorBidi"/>
          <w:b/>
          <w:lang w:val="en-US"/>
        </w:rPr>
        <w:t>Amamou</w:t>
      </w:r>
      <w:proofErr w:type="spellEnd"/>
      <w:r w:rsidRPr="00762E1A">
        <w:rPr>
          <w:rFonts w:asciiTheme="majorBidi" w:hAnsiTheme="majorBidi"/>
          <w:b/>
          <w:lang w:val="en-US"/>
        </w:rPr>
        <w:t xml:space="preserve">, </w:t>
      </w:r>
      <w:proofErr w:type="spellStart"/>
      <w:r w:rsidRPr="00762E1A">
        <w:rPr>
          <w:rFonts w:asciiTheme="majorBidi" w:hAnsiTheme="majorBidi"/>
          <w:b/>
          <w:lang w:val="en-US"/>
        </w:rPr>
        <w:t>Meneses</w:t>
      </w:r>
      <w:proofErr w:type="spellEnd"/>
      <w:r w:rsidRPr="00762E1A">
        <w:rPr>
          <w:rFonts w:asciiTheme="majorBidi" w:hAnsiTheme="majorBidi"/>
          <w:b/>
          <w:lang w:val="en-US"/>
        </w:rPr>
        <w:t xml:space="preserve"> Montero K., Jan A.H., Reis A.,</w:t>
      </w:r>
      <w:r>
        <w:rPr>
          <w:rFonts w:asciiTheme="majorBidi" w:hAnsiTheme="majorBidi"/>
          <w:b/>
          <w:lang w:val="en-US"/>
        </w:rPr>
        <w:t xml:space="preserve"> </w:t>
      </w:r>
      <w:proofErr w:type="spellStart"/>
      <w:r>
        <w:rPr>
          <w:rFonts w:asciiTheme="majorBidi" w:hAnsiTheme="majorBidi"/>
          <w:b/>
          <w:lang w:val="en-US"/>
        </w:rPr>
        <w:t>Barakat</w:t>
      </w:r>
      <w:proofErr w:type="spellEnd"/>
      <w:r>
        <w:rPr>
          <w:rFonts w:asciiTheme="majorBidi" w:hAnsiTheme="majorBidi"/>
          <w:b/>
          <w:lang w:val="en-US"/>
        </w:rPr>
        <w:t xml:space="preserve"> A., </w:t>
      </w:r>
      <w:proofErr w:type="spellStart"/>
      <w:r>
        <w:rPr>
          <w:rFonts w:asciiTheme="majorBidi" w:hAnsiTheme="majorBidi"/>
          <w:b/>
          <w:lang w:val="en-US"/>
        </w:rPr>
        <w:t>Dubreucq</w:t>
      </w:r>
      <w:proofErr w:type="spellEnd"/>
      <w:r>
        <w:rPr>
          <w:rFonts w:asciiTheme="majorBidi" w:hAnsiTheme="majorBidi"/>
          <w:b/>
          <w:lang w:val="en-US"/>
        </w:rPr>
        <w:t xml:space="preserve"> E. and </w:t>
      </w:r>
      <w:proofErr w:type="spellStart"/>
      <w:r>
        <w:rPr>
          <w:rFonts w:asciiTheme="majorBidi" w:hAnsiTheme="majorBidi"/>
          <w:b/>
          <w:lang w:val="en-US"/>
        </w:rPr>
        <w:t>Subileau</w:t>
      </w:r>
      <w:proofErr w:type="spellEnd"/>
      <w:r>
        <w:rPr>
          <w:rFonts w:asciiTheme="majorBidi" w:hAnsiTheme="majorBidi"/>
          <w:b/>
          <w:lang w:val="en-US"/>
        </w:rPr>
        <w:t xml:space="preserve"> M.</w:t>
      </w:r>
    </w:p>
    <w:p w:rsidR="00F6370C" w:rsidRPr="00762E1A" w:rsidRDefault="00F6370C" w:rsidP="00F6370C">
      <w:pPr>
        <w:autoSpaceDE w:val="0"/>
        <w:autoSpaceDN w:val="0"/>
        <w:adjustRightInd w:val="0"/>
        <w:spacing w:after="0" w:line="360" w:lineRule="auto"/>
        <w:jc w:val="center"/>
        <w:rPr>
          <w:rFonts w:asciiTheme="majorBidi" w:hAnsiTheme="majorBidi" w:cstheme="majorBidi"/>
          <w:b/>
          <w:bCs/>
          <w:i/>
          <w:iCs/>
          <w:lang w:val="en-US"/>
        </w:rPr>
      </w:pPr>
    </w:p>
    <w:p w:rsidR="00F6370C" w:rsidRPr="00962663" w:rsidRDefault="00F6370C" w:rsidP="00F6370C">
      <w:pPr>
        <w:pStyle w:val="NormalWeb"/>
        <w:spacing w:before="0" w:beforeAutospacing="0" w:after="0" w:line="360" w:lineRule="auto"/>
        <w:jc w:val="both"/>
        <w:rPr>
          <w:rFonts w:ascii="Times New Roman" w:hAnsi="Times New Roman"/>
          <w:szCs w:val="22"/>
          <w:lang w:val="en-US" w:eastAsia="en-GB"/>
        </w:rPr>
      </w:pPr>
      <w:r w:rsidRPr="00D76295">
        <w:rPr>
          <w:rFonts w:ascii="Times New Roman" w:hAnsi="Times New Roman"/>
          <w:szCs w:val="22"/>
          <w:lang w:val="en-US"/>
          <w:rPrChange w:id="0" w:author="Sameh" w:date="2018-01-03T20:31:00Z">
            <w:rPr>
              <w:rFonts w:ascii="Times New Roman" w:hAnsi="Times New Roman"/>
              <w:szCs w:val="22"/>
            </w:rPr>
          </w:rPrChange>
        </w:rPr>
        <w:t xml:space="preserve">INRA, Montpellier </w:t>
      </w:r>
      <w:proofErr w:type="spellStart"/>
      <w:r w:rsidRPr="00D76295">
        <w:rPr>
          <w:rFonts w:ascii="Times New Roman" w:hAnsi="Times New Roman"/>
          <w:szCs w:val="22"/>
          <w:lang w:val="en-US"/>
          <w:rPrChange w:id="1" w:author="Sameh" w:date="2018-01-03T20:31:00Z">
            <w:rPr>
              <w:rFonts w:ascii="Times New Roman" w:hAnsi="Times New Roman"/>
              <w:szCs w:val="22"/>
            </w:rPr>
          </w:rPrChange>
        </w:rPr>
        <w:t>SupAgro</w:t>
      </w:r>
      <w:proofErr w:type="spellEnd"/>
      <w:r w:rsidRPr="00D76295">
        <w:rPr>
          <w:rFonts w:ascii="Times New Roman" w:hAnsi="Times New Roman"/>
          <w:szCs w:val="22"/>
          <w:lang w:val="en-US"/>
          <w:rPrChange w:id="2" w:author="Sameh" w:date="2018-01-03T20:31:00Z">
            <w:rPr>
              <w:rFonts w:ascii="Times New Roman" w:hAnsi="Times New Roman"/>
              <w:szCs w:val="22"/>
            </w:rPr>
          </w:rPrChange>
        </w:rPr>
        <w:t xml:space="preserve">, UMR 1208 IATE, </w:t>
      </w:r>
      <w:r w:rsidRPr="00962663">
        <w:rPr>
          <w:rFonts w:ascii="Times New Roman" w:hAnsi="Times New Roman"/>
          <w:szCs w:val="22"/>
          <w:lang w:val="en-US"/>
        </w:rPr>
        <w:t xml:space="preserve">Montpellier, France </w:t>
      </w:r>
    </w:p>
    <w:p w:rsidR="00F6370C" w:rsidRPr="00A019AA" w:rsidRDefault="00F6370C" w:rsidP="00F6370C">
      <w:pPr>
        <w:autoSpaceDE w:val="0"/>
        <w:autoSpaceDN w:val="0"/>
        <w:adjustRightInd w:val="0"/>
        <w:spacing w:after="0" w:line="360" w:lineRule="auto"/>
        <w:jc w:val="both"/>
        <w:rPr>
          <w:rFonts w:asciiTheme="majorBidi" w:hAnsiTheme="majorBidi" w:cstheme="majorBidi"/>
          <w:lang w:val="en-US"/>
        </w:rPr>
      </w:pPr>
    </w:p>
    <w:p w:rsidR="00F6370C" w:rsidRDefault="00F6370C" w:rsidP="00F6370C">
      <w:pPr>
        <w:autoSpaceDE w:val="0"/>
        <w:autoSpaceDN w:val="0"/>
        <w:adjustRightInd w:val="0"/>
        <w:spacing w:after="0" w:line="360" w:lineRule="auto"/>
        <w:jc w:val="both"/>
        <w:rPr>
          <w:rFonts w:asciiTheme="majorBidi" w:hAnsiTheme="majorBidi" w:cstheme="majorBidi"/>
          <w:lang w:val="en-US"/>
        </w:rPr>
      </w:pPr>
      <w:r w:rsidRPr="00962663">
        <w:rPr>
          <w:rFonts w:asciiTheme="majorBidi" w:hAnsiTheme="majorBidi" w:cstheme="majorBidi"/>
          <w:b/>
          <w:lang w:val="en-US"/>
        </w:rPr>
        <w:t>Abstract</w:t>
      </w:r>
    </w:p>
    <w:p w:rsidR="00F6370C" w:rsidRDefault="00F6370C" w:rsidP="00F6370C">
      <w:pPr>
        <w:autoSpaceDE w:val="0"/>
        <w:autoSpaceDN w:val="0"/>
        <w:adjustRightInd w:val="0"/>
        <w:spacing w:after="0" w:line="360" w:lineRule="auto"/>
        <w:ind w:firstLine="567"/>
        <w:jc w:val="both"/>
        <w:rPr>
          <w:rFonts w:asciiTheme="majorBidi" w:hAnsiTheme="majorBidi" w:cstheme="majorBidi"/>
          <w:lang w:val="en-US"/>
        </w:rPr>
      </w:pPr>
      <w:r>
        <w:rPr>
          <w:rFonts w:asciiTheme="majorBidi" w:hAnsiTheme="majorBidi" w:cstheme="majorBidi"/>
          <w:lang w:val="en-US"/>
        </w:rPr>
        <w:t>In this work, a direct enzymatic transesterification process implemented on wet microalgae cells was developed to convert biomass lipids into fatty acid ethyl esters (FAEE). Two microalga species</w:t>
      </w:r>
      <w:r w:rsidRPr="00EF57C9">
        <w:rPr>
          <w:rFonts w:asciiTheme="majorBidi" w:hAnsiTheme="majorBidi" w:cstheme="majorBidi"/>
          <w:lang w:val="en-US"/>
        </w:rPr>
        <w:t xml:space="preserve"> </w:t>
      </w:r>
      <w:r>
        <w:rPr>
          <w:rFonts w:asciiTheme="majorBidi" w:hAnsiTheme="majorBidi" w:cstheme="majorBidi"/>
          <w:lang w:val="en-US"/>
        </w:rPr>
        <w:t xml:space="preserve">exhibited different lipid contents and profiles, </w:t>
      </w:r>
      <w:proofErr w:type="spellStart"/>
      <w:r>
        <w:rPr>
          <w:rFonts w:asciiTheme="majorBidi" w:hAnsiTheme="majorBidi" w:cstheme="majorBidi"/>
          <w:i/>
          <w:lang w:val="en-US"/>
        </w:rPr>
        <w:t>Chlamydomonas</w:t>
      </w:r>
      <w:proofErr w:type="spellEnd"/>
      <w:r>
        <w:rPr>
          <w:rFonts w:asciiTheme="majorBidi" w:hAnsiTheme="majorBidi" w:cstheme="majorBidi"/>
          <w:i/>
          <w:lang w:val="en-US"/>
        </w:rPr>
        <w:t xml:space="preserve"> </w:t>
      </w:r>
      <w:proofErr w:type="spellStart"/>
      <w:r>
        <w:rPr>
          <w:rFonts w:asciiTheme="majorBidi" w:hAnsiTheme="majorBidi" w:cstheme="majorBidi"/>
          <w:i/>
          <w:lang w:val="en-US"/>
        </w:rPr>
        <w:t>reinhardtii</w:t>
      </w:r>
      <w:proofErr w:type="spellEnd"/>
      <w:r>
        <w:rPr>
          <w:rFonts w:asciiTheme="majorBidi" w:hAnsiTheme="majorBidi" w:cstheme="majorBidi"/>
          <w:lang w:val="en-US"/>
        </w:rPr>
        <w:t xml:space="preserve"> and </w:t>
      </w:r>
      <w:r>
        <w:rPr>
          <w:rFonts w:asciiTheme="majorBidi" w:hAnsiTheme="majorBidi" w:cstheme="majorBidi"/>
          <w:i/>
          <w:lang w:val="en-US"/>
        </w:rPr>
        <w:t xml:space="preserve">Chlorella </w:t>
      </w:r>
      <w:proofErr w:type="spellStart"/>
      <w:r>
        <w:rPr>
          <w:rFonts w:asciiTheme="majorBidi" w:hAnsiTheme="majorBidi" w:cstheme="majorBidi"/>
          <w:i/>
          <w:lang w:val="en-US"/>
        </w:rPr>
        <w:t>protothecoides</w:t>
      </w:r>
      <w:proofErr w:type="spellEnd"/>
      <w:r>
        <w:rPr>
          <w:rFonts w:asciiTheme="majorBidi" w:hAnsiTheme="majorBidi" w:cstheme="majorBidi"/>
          <w:lang w:val="en-US"/>
        </w:rPr>
        <w:t>, were compared.</w:t>
      </w:r>
      <w:r w:rsidRPr="00EF57C9">
        <w:rPr>
          <w:rFonts w:asciiTheme="majorBidi" w:hAnsiTheme="majorBidi" w:cstheme="majorBidi"/>
          <w:lang w:val="en-US"/>
        </w:rPr>
        <w:t xml:space="preserve"> </w:t>
      </w:r>
      <w:r>
        <w:rPr>
          <w:rFonts w:asciiTheme="majorBidi" w:hAnsiTheme="majorBidi" w:cstheme="majorBidi"/>
          <w:lang w:val="en-US"/>
        </w:rPr>
        <w:t>Cell suspensions (50 g.L</w:t>
      </w:r>
      <w:r>
        <w:rPr>
          <w:rFonts w:asciiTheme="majorBidi" w:hAnsiTheme="majorBidi" w:cstheme="majorBidi"/>
          <w:vertAlign w:val="superscript"/>
          <w:lang w:val="en-US"/>
        </w:rPr>
        <w:noBreakHyphen/>
      </w:r>
      <w:r w:rsidRPr="00E94186">
        <w:rPr>
          <w:rFonts w:asciiTheme="majorBidi" w:hAnsiTheme="majorBidi" w:cstheme="majorBidi"/>
          <w:vertAlign w:val="superscript"/>
          <w:lang w:val="en-US"/>
        </w:rPr>
        <w:t>1</w:t>
      </w:r>
      <w:r>
        <w:rPr>
          <w:rFonts w:asciiTheme="majorBidi" w:hAnsiTheme="majorBidi" w:cstheme="majorBidi"/>
          <w:lang w:val="en-US"/>
        </w:rPr>
        <w:t xml:space="preserve">) of the </w:t>
      </w:r>
      <w:proofErr w:type="spellStart"/>
      <w:r>
        <w:rPr>
          <w:rFonts w:asciiTheme="majorBidi" w:hAnsiTheme="majorBidi" w:cstheme="majorBidi"/>
          <w:lang w:val="en-US"/>
        </w:rPr>
        <w:t>microalgal</w:t>
      </w:r>
      <w:proofErr w:type="spellEnd"/>
      <w:r>
        <w:rPr>
          <w:rFonts w:asciiTheme="majorBidi" w:hAnsiTheme="majorBidi" w:cstheme="majorBidi"/>
          <w:lang w:val="en-US"/>
        </w:rPr>
        <w:t xml:space="preserve"> biomasses were eventually pretreated by sonication and </w:t>
      </w:r>
      <w:proofErr w:type="spellStart"/>
      <w:r>
        <w:rPr>
          <w:rFonts w:asciiTheme="majorBidi" w:hAnsiTheme="majorBidi" w:cstheme="majorBidi"/>
          <w:lang w:val="en-US"/>
        </w:rPr>
        <w:t>vibro</w:t>
      </w:r>
      <w:proofErr w:type="spellEnd"/>
      <w:r>
        <w:rPr>
          <w:rFonts w:asciiTheme="majorBidi" w:hAnsiTheme="majorBidi" w:cstheme="majorBidi"/>
          <w:lang w:val="en-US"/>
        </w:rPr>
        <w:t xml:space="preserve">-ball milling to enhance cell disruption. Reactions were performed in the presence of lipases/acyltransferases, that are able to preferentially catalyze the transesterification reaction even in the presence of low ethanol concentration. Among the four lipases/acyltransferases tested, CpLIP2-YS, an improved mutant of the wild-type CpLIP2 from </w:t>
      </w:r>
      <w:r w:rsidRPr="000B5C91">
        <w:rPr>
          <w:rFonts w:asciiTheme="majorBidi" w:hAnsiTheme="majorBidi" w:cstheme="majorBidi"/>
          <w:i/>
          <w:lang w:val="en-US"/>
        </w:rPr>
        <w:t xml:space="preserve">Candida </w:t>
      </w:r>
      <w:proofErr w:type="spellStart"/>
      <w:r w:rsidRPr="000B5C91">
        <w:rPr>
          <w:rFonts w:asciiTheme="majorBidi" w:hAnsiTheme="majorBidi" w:cstheme="majorBidi"/>
          <w:i/>
          <w:lang w:val="en-US"/>
        </w:rPr>
        <w:t>parapsilosis</w:t>
      </w:r>
      <w:proofErr w:type="spellEnd"/>
      <w:r>
        <w:rPr>
          <w:rFonts w:asciiTheme="majorBidi" w:hAnsiTheme="majorBidi" w:cstheme="majorBidi"/>
          <w:lang w:val="en-US"/>
        </w:rPr>
        <w:t xml:space="preserve">, allowed the fastest and highest FAEE production. In most cases, FAEE synthesis was more efficient after mechanical treatment, particularly after </w:t>
      </w:r>
      <w:proofErr w:type="spellStart"/>
      <w:r>
        <w:rPr>
          <w:rFonts w:asciiTheme="majorBidi" w:hAnsiTheme="majorBidi" w:cstheme="majorBidi"/>
          <w:lang w:val="en-US"/>
        </w:rPr>
        <w:t>vibro</w:t>
      </w:r>
      <w:proofErr w:type="spellEnd"/>
      <w:r>
        <w:rPr>
          <w:rFonts w:asciiTheme="majorBidi" w:hAnsiTheme="majorBidi" w:cstheme="majorBidi"/>
          <w:lang w:val="en-US"/>
        </w:rPr>
        <w:t xml:space="preserve">-ball milling, that allowed an increase of FAEE production with both </w:t>
      </w:r>
      <w:r>
        <w:rPr>
          <w:rFonts w:asciiTheme="majorBidi" w:hAnsiTheme="majorBidi" w:cstheme="majorBidi"/>
          <w:i/>
          <w:iCs/>
          <w:lang w:val="en-US"/>
        </w:rPr>
        <w:t xml:space="preserve">C. </w:t>
      </w:r>
      <w:proofErr w:type="spellStart"/>
      <w:r>
        <w:rPr>
          <w:rFonts w:asciiTheme="majorBidi" w:hAnsiTheme="majorBidi" w:cstheme="majorBidi"/>
          <w:i/>
          <w:iCs/>
          <w:lang w:val="en-US"/>
        </w:rPr>
        <w:t>reinhardtii</w:t>
      </w:r>
      <w:proofErr w:type="spellEnd"/>
      <w:r>
        <w:rPr>
          <w:rFonts w:asciiTheme="majorBidi" w:hAnsiTheme="majorBidi" w:cstheme="majorBidi"/>
          <w:lang w:val="en-US"/>
        </w:rPr>
        <w:t xml:space="preserve"> and </w:t>
      </w:r>
      <w:r>
        <w:rPr>
          <w:rFonts w:asciiTheme="majorBidi" w:hAnsiTheme="majorBidi" w:cstheme="majorBidi"/>
          <w:i/>
          <w:iCs/>
          <w:lang w:val="en-US"/>
        </w:rPr>
        <w:t xml:space="preserve">C. </w:t>
      </w:r>
      <w:proofErr w:type="spellStart"/>
      <w:r>
        <w:rPr>
          <w:rFonts w:asciiTheme="majorBidi" w:hAnsiTheme="majorBidi" w:cstheme="majorBidi"/>
          <w:i/>
          <w:iCs/>
          <w:lang w:val="en-US"/>
        </w:rPr>
        <w:t>protothecoides</w:t>
      </w:r>
      <w:proofErr w:type="spellEnd"/>
      <w:r>
        <w:rPr>
          <w:rFonts w:asciiTheme="majorBidi" w:hAnsiTheme="majorBidi" w:cstheme="majorBidi"/>
          <w:lang w:val="en-US"/>
        </w:rPr>
        <w:t xml:space="preserve"> biomass (1.4 and </w:t>
      </w:r>
      <w:proofErr w:type="gramStart"/>
      <w:r>
        <w:rPr>
          <w:rFonts w:asciiTheme="majorBidi" w:hAnsiTheme="majorBidi" w:cstheme="majorBidi"/>
          <w:lang w:val="en-US"/>
        </w:rPr>
        <w:t>2.7 fold</w:t>
      </w:r>
      <w:proofErr w:type="gramEnd"/>
      <w:r>
        <w:rPr>
          <w:rFonts w:asciiTheme="majorBidi" w:hAnsiTheme="majorBidi" w:cstheme="majorBidi"/>
          <w:lang w:val="en-US"/>
        </w:rPr>
        <w:t xml:space="preserve"> increase, respectively). CpLIP2-YS was particularly efficient with biomasses containing </w:t>
      </w:r>
      <w:proofErr w:type="spellStart"/>
      <w:r>
        <w:rPr>
          <w:rFonts w:asciiTheme="majorBidi" w:hAnsiTheme="majorBidi" w:cstheme="majorBidi"/>
          <w:lang w:val="en-US"/>
        </w:rPr>
        <w:t>triacylglycerols</w:t>
      </w:r>
      <w:proofErr w:type="spellEnd"/>
      <w:r>
        <w:rPr>
          <w:rFonts w:asciiTheme="majorBidi" w:hAnsiTheme="majorBidi" w:cstheme="majorBidi"/>
          <w:lang w:val="en-US"/>
        </w:rPr>
        <w:t xml:space="preserve"> (TAG) as the main lipid substrates, in the presence of 1-2 M ethanol. However, with a </w:t>
      </w:r>
      <w:r>
        <w:rPr>
          <w:rFonts w:asciiTheme="majorBidi" w:hAnsiTheme="majorBidi" w:cstheme="majorBidi"/>
          <w:i/>
          <w:lang w:val="en-US"/>
        </w:rPr>
        <w:t xml:space="preserve">C. </w:t>
      </w:r>
      <w:proofErr w:type="spellStart"/>
      <w:r>
        <w:rPr>
          <w:rFonts w:asciiTheme="majorBidi" w:hAnsiTheme="majorBidi" w:cstheme="majorBidi"/>
          <w:i/>
          <w:lang w:val="en-US"/>
        </w:rPr>
        <w:t>reinhardtii</w:t>
      </w:r>
      <w:proofErr w:type="spellEnd"/>
      <w:r>
        <w:rPr>
          <w:rFonts w:asciiTheme="majorBidi" w:hAnsiTheme="majorBidi" w:cstheme="majorBidi"/>
          <w:lang w:val="en-US"/>
        </w:rPr>
        <w:t xml:space="preserve"> sample containing mainly free fatty acids (FFA) due to post-harvest degradation, the performance of the endogenous </w:t>
      </w:r>
      <w:proofErr w:type="spellStart"/>
      <w:r>
        <w:rPr>
          <w:rFonts w:asciiTheme="majorBidi" w:hAnsiTheme="majorBidi" w:cstheme="majorBidi"/>
          <w:lang w:val="en-US"/>
        </w:rPr>
        <w:t>microalgal</w:t>
      </w:r>
      <w:proofErr w:type="spellEnd"/>
      <w:r>
        <w:rPr>
          <w:rFonts w:asciiTheme="majorBidi" w:hAnsiTheme="majorBidi" w:cstheme="majorBidi"/>
          <w:lang w:val="en-US"/>
        </w:rPr>
        <w:t xml:space="preserve"> lipase activities was similar to that of the lipase/acyltransferase. In all cases, mass balance calculations suggested that the production of FAEE did not result only from the conversion of TAG and/or FFA but that other classes of lipids, such as membrane lipids, were probably transformed in the process. Lipases/acyltransferases were thus confirmed to be of great interest when implemented on wet biomass were TAG are preserved, while the direct usage of endogenous lipase activity should be considered when the FFA content of the biomass is high. </w:t>
      </w:r>
    </w:p>
    <w:p w:rsidR="00F6370C" w:rsidRDefault="00F6370C" w:rsidP="00F6370C">
      <w:pPr>
        <w:autoSpaceDE w:val="0"/>
        <w:autoSpaceDN w:val="0"/>
        <w:adjustRightInd w:val="0"/>
        <w:spacing w:after="0" w:line="360" w:lineRule="auto"/>
        <w:ind w:firstLine="567"/>
        <w:jc w:val="both"/>
        <w:rPr>
          <w:rFonts w:asciiTheme="majorBidi" w:hAnsiTheme="majorBidi" w:cstheme="majorBidi"/>
          <w:lang w:val="en-US"/>
        </w:rPr>
      </w:pPr>
    </w:p>
    <w:p w:rsidR="002B200B" w:rsidRPr="00F6370C" w:rsidRDefault="00F6370C" w:rsidP="00F6370C">
      <w:pPr>
        <w:rPr>
          <w:rFonts w:asciiTheme="majorBidi" w:hAnsiTheme="majorBidi" w:cstheme="majorBidi"/>
          <w:lang w:val="en-US"/>
        </w:rPr>
      </w:pPr>
      <w:r w:rsidRPr="009B78D1">
        <w:rPr>
          <w:rFonts w:asciiTheme="majorBidi" w:hAnsiTheme="majorBidi" w:cstheme="majorBidi"/>
          <w:i/>
          <w:lang w:val="en-US"/>
        </w:rPr>
        <w:t>Keywords</w:t>
      </w:r>
      <w:r w:rsidRPr="00F6370C">
        <w:rPr>
          <w:rFonts w:asciiTheme="majorBidi" w:hAnsiTheme="majorBidi" w:cstheme="majorBidi"/>
          <w:lang w:val="en-US"/>
        </w:rPr>
        <w:t>: microalgae, biodiesel, wet biomass, direct</w:t>
      </w:r>
      <w:bookmarkStart w:id="3" w:name="_GoBack"/>
      <w:bookmarkEnd w:id="3"/>
      <w:r w:rsidRPr="00F6370C">
        <w:rPr>
          <w:rFonts w:asciiTheme="majorBidi" w:hAnsiTheme="majorBidi" w:cstheme="majorBidi"/>
          <w:lang w:val="en-US"/>
        </w:rPr>
        <w:t xml:space="preserve"> transesterification, lipase/acyltransferase</w:t>
      </w:r>
    </w:p>
    <w:sectPr w:rsidR="002B200B" w:rsidRPr="00F637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meh">
    <w15:presenceInfo w15:providerId="None" w15:userId="Sam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70C"/>
    <w:rsid w:val="002B200B"/>
    <w:rsid w:val="002E0714"/>
    <w:rsid w:val="002E3D58"/>
    <w:rsid w:val="003D0AD0"/>
    <w:rsid w:val="009B78D1"/>
    <w:rsid w:val="00A272FF"/>
    <w:rsid w:val="00F6370C"/>
    <w:rsid w:val="00FC3A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40FD"/>
  <w15:chartTrackingRefBased/>
  <w15:docId w15:val="{4229920F-39AC-4DE9-84C9-F7E1D7322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70C"/>
    <w:pPr>
      <w:spacing w:after="200" w:line="276" w:lineRule="auto"/>
    </w:pPr>
    <w:rPr>
      <w:rFonts w:eastAsiaTheme="minorEastAsia"/>
      <w:lang w:eastAsia="fr-FR"/>
    </w:rPr>
  </w:style>
  <w:style w:type="paragraph" w:styleId="Titre2">
    <w:name w:val="heading 2"/>
    <w:basedOn w:val="Normal"/>
    <w:next w:val="Normal"/>
    <w:link w:val="Titre2Car"/>
    <w:uiPriority w:val="9"/>
    <w:unhideWhenUsed/>
    <w:qFormat/>
    <w:rsid w:val="002E0714"/>
    <w:pPr>
      <w:keepNext/>
      <w:keepLines/>
      <w:spacing w:before="40" w:beforeAutospacing="1" w:after="0" w:line="360" w:lineRule="auto"/>
      <w:contextualSpacing/>
      <w:jc w:val="both"/>
      <w:outlineLvl w:val="1"/>
    </w:pPr>
    <w:rPr>
      <w:rFonts w:ascii="Times New Roman" w:eastAsiaTheme="majorEastAsia" w:hAnsi="Times New Roman" w:cstheme="majorBidi"/>
      <w:b/>
      <w:color w:val="000000" w:themeColor="text1"/>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E0714"/>
    <w:rPr>
      <w:rFonts w:ascii="Times New Roman" w:eastAsiaTheme="majorEastAsia" w:hAnsi="Times New Roman" w:cstheme="majorBidi"/>
      <w:b/>
      <w:color w:val="000000" w:themeColor="text1"/>
      <w:szCs w:val="26"/>
    </w:rPr>
  </w:style>
  <w:style w:type="paragraph" w:styleId="NormalWeb">
    <w:name w:val="Normal (Web)"/>
    <w:basedOn w:val="Normal"/>
    <w:uiPriority w:val="99"/>
    <w:rsid w:val="00F6370C"/>
    <w:pPr>
      <w:spacing w:before="100" w:beforeAutospacing="1" w:after="119"/>
    </w:pPr>
    <w:rPr>
      <w:rFonts w:ascii="Calibri" w:eastAsia="Times New Roman" w:hAnsi="Calibri" w:cs="Times New Roman"/>
      <w:szCs w:val="24"/>
    </w:rPr>
  </w:style>
  <w:style w:type="paragraph" w:styleId="Textedebulles">
    <w:name w:val="Balloon Text"/>
    <w:basedOn w:val="Normal"/>
    <w:link w:val="TextedebullesCar"/>
    <w:uiPriority w:val="99"/>
    <w:semiHidden/>
    <w:unhideWhenUsed/>
    <w:rsid w:val="00F6370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6370C"/>
    <w:rPr>
      <w:rFonts w:ascii="Segoe UI" w:eastAsiaTheme="minorEastAsia"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361</Words>
  <Characters>1991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dc:creator>
  <cp:keywords/>
  <dc:description/>
  <cp:lastModifiedBy>Sameh</cp:lastModifiedBy>
  <cp:revision>2</cp:revision>
  <dcterms:created xsi:type="dcterms:W3CDTF">2018-01-09T16:12:00Z</dcterms:created>
  <dcterms:modified xsi:type="dcterms:W3CDTF">2018-01-09T16:27:00Z</dcterms:modified>
</cp:coreProperties>
</file>