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C58" w:rsidRPr="00C86C58" w:rsidRDefault="00C86C58" w:rsidP="00C86C58">
      <w:pPr>
        <w:pStyle w:val="BodyText"/>
        <w:spacing w:before="73" w:line="198" w:lineRule="exact"/>
        <w:ind w:left="100" w:right="5987"/>
        <w:rPr>
          <w:rFonts w:ascii="Minion Pro" w:eastAsia="Minion Pro" w:hAnsi="Minion Pro" w:cs="Minion Pro"/>
          <w:b/>
          <w:bCs/>
          <w:color w:val="337AB7"/>
          <w:sz w:val="24"/>
          <w:szCs w:val="36"/>
        </w:rPr>
      </w:pPr>
      <w:r w:rsidRPr="00C86C58">
        <w:rPr>
          <w:rFonts w:ascii="Minion Pro" w:eastAsia="Minion Pro" w:hAnsi="Minion Pro" w:cs="Minion Pro"/>
          <w:b/>
          <w:bCs/>
          <w:color w:val="337AB7"/>
          <w:sz w:val="24"/>
          <w:szCs w:val="36"/>
        </w:rPr>
        <w:t>Reactive coup</w:t>
      </w:r>
      <w:r>
        <w:rPr>
          <w:rFonts w:ascii="Minion Pro" w:eastAsia="Minion Pro" w:hAnsi="Minion Pro" w:cs="Minion Pro"/>
          <w:b/>
          <w:bCs/>
          <w:color w:val="337AB7"/>
          <w:sz w:val="24"/>
          <w:szCs w:val="36"/>
        </w:rPr>
        <w:t>ling of glycerol transformation to</w:t>
      </w:r>
      <w:r w:rsidRPr="00C86C58">
        <w:rPr>
          <w:rFonts w:ascii="Minion Pro" w:eastAsia="Minion Pro" w:hAnsi="Minion Pro" w:cs="Minion Pro"/>
          <w:b/>
          <w:bCs/>
          <w:color w:val="337AB7"/>
          <w:sz w:val="24"/>
          <w:szCs w:val="36"/>
        </w:rPr>
        <w:t xml:space="preserve"> solketal into biodiesel production process using organic acid catalyst</w:t>
      </w:r>
    </w:p>
    <w:p w:rsidR="00C86C58" w:rsidRDefault="00C86C58" w:rsidP="00C86C58">
      <w:pPr>
        <w:pStyle w:val="BodyText"/>
        <w:spacing w:before="73" w:line="198" w:lineRule="exact"/>
        <w:ind w:left="100" w:right="5987"/>
        <w:jc w:val="both"/>
        <w:rPr>
          <w:rFonts w:ascii="Minion Pro" w:eastAsia="Minion Pro" w:hAnsi="Minion Pro" w:cs="Minion Pro"/>
          <w:b/>
          <w:bCs/>
          <w:color w:val="337AB7"/>
          <w:sz w:val="36"/>
          <w:szCs w:val="36"/>
        </w:rPr>
      </w:pPr>
    </w:p>
    <w:p w:rsidR="00C86C58" w:rsidRDefault="00C86C58" w:rsidP="00C86C58">
      <w:pPr>
        <w:pStyle w:val="BodyText"/>
        <w:rPr>
          <w:rFonts w:ascii="Arial"/>
        </w:rPr>
      </w:pPr>
      <w:r w:rsidRPr="00C86C58">
        <w:rPr>
          <w:rFonts w:ascii="Arial"/>
        </w:rPr>
        <w:t xml:space="preserve">Luma Sh. Al-Saadi, </w:t>
      </w:r>
      <w:r>
        <w:rPr>
          <w:rFonts w:ascii="Arial"/>
        </w:rPr>
        <w:t>(UK)</w:t>
      </w:r>
    </w:p>
    <w:p w:rsidR="00C86C58" w:rsidRDefault="00C86C58" w:rsidP="00C86C58">
      <w:pPr>
        <w:pStyle w:val="BodyText"/>
        <w:rPr>
          <w:rFonts w:ascii="Arial"/>
        </w:rPr>
      </w:pPr>
      <w:r w:rsidRPr="00C86C58">
        <w:rPr>
          <w:rFonts w:ascii="Arial"/>
        </w:rPr>
        <w:t xml:space="preserve">Valentine C. </w:t>
      </w:r>
      <w:proofErr w:type="spellStart"/>
      <w:r w:rsidRPr="00C86C58">
        <w:rPr>
          <w:rFonts w:ascii="Arial"/>
        </w:rPr>
        <w:t>Eze</w:t>
      </w:r>
      <w:proofErr w:type="spellEnd"/>
      <w:r w:rsidRPr="00C86C58">
        <w:rPr>
          <w:rFonts w:ascii="Arial"/>
        </w:rPr>
        <w:t xml:space="preserve">, </w:t>
      </w:r>
      <w:r>
        <w:rPr>
          <w:rFonts w:ascii="Arial"/>
        </w:rPr>
        <w:t>(UK)</w:t>
      </w:r>
    </w:p>
    <w:p w:rsidR="00C86C58" w:rsidRPr="00C86C58" w:rsidRDefault="00C86C58" w:rsidP="00C86C58">
      <w:pPr>
        <w:pStyle w:val="BodyText"/>
        <w:rPr>
          <w:rFonts w:ascii="Arial"/>
        </w:rPr>
      </w:pPr>
      <w:r w:rsidRPr="00C86C58">
        <w:rPr>
          <w:rFonts w:ascii="Arial"/>
        </w:rPr>
        <w:t>Adam P. Harvey</w:t>
      </w:r>
      <w:r>
        <w:rPr>
          <w:rFonts w:ascii="Arial"/>
        </w:rPr>
        <w:t xml:space="preserve"> (UK)</w:t>
      </w:r>
    </w:p>
    <w:p w:rsidR="00C86C58" w:rsidRPr="00C86C58" w:rsidRDefault="00C86C58" w:rsidP="00C86C58">
      <w:pPr>
        <w:pStyle w:val="BodyText"/>
        <w:rPr>
          <w:rFonts w:ascii="Arial"/>
        </w:rPr>
      </w:pPr>
      <w:r w:rsidRPr="00C86C58">
        <w:rPr>
          <w:rFonts w:ascii="Arial"/>
        </w:rPr>
        <w:tab/>
      </w:r>
    </w:p>
    <w:p w:rsidR="00FD4411" w:rsidRDefault="00FD4411" w:rsidP="00FD4411">
      <w:pPr>
        <w:widowControl/>
        <w:rPr>
          <w:rFonts w:ascii="Arial"/>
          <w:sz w:val="21"/>
        </w:rPr>
        <w:sectPr w:rsidR="00FD4411">
          <w:pgSz w:w="11910" w:h="16840"/>
          <w:pgMar w:top="1740" w:right="600" w:bottom="840" w:left="620" w:header="541" w:footer="642" w:gutter="0"/>
          <w:cols w:space="720"/>
        </w:sectPr>
      </w:pPr>
    </w:p>
    <w:p w:rsidR="00FD4411" w:rsidRDefault="00FD4411" w:rsidP="00FD4411">
      <w:pPr>
        <w:pStyle w:val="Heading3"/>
        <w:spacing w:before="147"/>
        <w:jc w:val="both"/>
      </w:pPr>
      <w:r>
        <w:rPr>
          <w:color w:val="BF5A14"/>
        </w:rPr>
        <w:t>Abstract (300 word limit)</w:t>
      </w:r>
    </w:p>
    <w:p w:rsidR="00FD4411" w:rsidRDefault="00C86C58" w:rsidP="00C86C58">
      <w:pPr>
        <w:pStyle w:val="Heading3"/>
        <w:spacing w:before="74"/>
        <w:jc w:val="both"/>
      </w:pPr>
      <w:r w:rsidRPr="00C86C58">
        <w:rPr>
          <w:rFonts w:ascii="Tw Cen MT" w:eastAsia="Tw Cen MT" w:hAnsi="Tw Cen MT" w:cs="Tw Cen MT"/>
          <w:b w:val="0"/>
          <w:bCs w:val="0"/>
          <w:sz w:val="18"/>
          <w:szCs w:val="18"/>
        </w:rPr>
        <w:t xml:space="preserve">Reactive coupling of triglyceride transesterification and in situ </w:t>
      </w:r>
      <w:proofErr w:type="spellStart"/>
      <w:r w:rsidRPr="00C86C58">
        <w:rPr>
          <w:rFonts w:ascii="Tw Cen MT" w:eastAsia="Tw Cen MT" w:hAnsi="Tw Cen MT" w:cs="Tw Cen MT"/>
          <w:b w:val="0"/>
          <w:bCs w:val="0"/>
          <w:sz w:val="18"/>
          <w:szCs w:val="18"/>
        </w:rPr>
        <w:t>acetalisation</w:t>
      </w:r>
      <w:proofErr w:type="spellEnd"/>
      <w:r w:rsidRPr="00C86C58">
        <w:rPr>
          <w:rFonts w:ascii="Tw Cen MT" w:eastAsia="Tw Cen MT" w:hAnsi="Tw Cen MT" w:cs="Tw Cen MT"/>
          <w:b w:val="0"/>
          <w:bCs w:val="0"/>
          <w:sz w:val="18"/>
          <w:szCs w:val="18"/>
        </w:rPr>
        <w:t xml:space="preserve"> of the glycerol by-product was investigated by both experimental and kinetic modelling approach. This study was designed to </w:t>
      </w:r>
      <w:proofErr w:type="spellStart"/>
      <w:r w:rsidRPr="00C86C58">
        <w:rPr>
          <w:rFonts w:ascii="Tw Cen MT" w:eastAsia="Tw Cen MT" w:hAnsi="Tw Cen MT" w:cs="Tw Cen MT"/>
          <w:b w:val="0"/>
          <w:bCs w:val="0"/>
          <w:sz w:val="18"/>
          <w:szCs w:val="18"/>
        </w:rPr>
        <w:t>minimise</w:t>
      </w:r>
      <w:proofErr w:type="spellEnd"/>
      <w:r w:rsidRPr="00C86C58">
        <w:rPr>
          <w:rFonts w:ascii="Tw Cen MT" w:eastAsia="Tw Cen MT" w:hAnsi="Tw Cen MT" w:cs="Tw Cen MT"/>
          <w:b w:val="0"/>
          <w:bCs w:val="0"/>
          <w:sz w:val="18"/>
          <w:szCs w:val="18"/>
        </w:rPr>
        <w:t xml:space="preserve"> or prevent co-production of crude glycerol in a biodiesel process. This reduces the biodiesel cost, as the solketal produced could be left in the biodiesel as fuel additive. Kinetics of glycerol </w:t>
      </w:r>
      <w:proofErr w:type="spellStart"/>
      <w:r w:rsidRPr="00C86C58">
        <w:rPr>
          <w:rFonts w:ascii="Tw Cen MT" w:eastAsia="Tw Cen MT" w:hAnsi="Tw Cen MT" w:cs="Tw Cen MT"/>
          <w:b w:val="0"/>
          <w:bCs w:val="0"/>
          <w:sz w:val="18"/>
          <w:szCs w:val="18"/>
        </w:rPr>
        <w:t>acetalisation</w:t>
      </w:r>
      <w:proofErr w:type="spellEnd"/>
      <w:r w:rsidRPr="00C86C58">
        <w:rPr>
          <w:rFonts w:ascii="Tw Cen MT" w:eastAsia="Tw Cen MT" w:hAnsi="Tw Cen MT" w:cs="Tw Cen MT"/>
          <w:b w:val="0"/>
          <w:bCs w:val="0"/>
          <w:sz w:val="18"/>
          <w:szCs w:val="18"/>
        </w:rPr>
        <w:t xml:space="preserve"> was studied to obtain the data for numerical modelling of the reactively-coupled transesterification and </w:t>
      </w:r>
      <w:proofErr w:type="spellStart"/>
      <w:r w:rsidRPr="00C86C58">
        <w:rPr>
          <w:rFonts w:ascii="Tw Cen MT" w:eastAsia="Tw Cen MT" w:hAnsi="Tw Cen MT" w:cs="Tw Cen MT"/>
          <w:b w:val="0"/>
          <w:bCs w:val="0"/>
          <w:sz w:val="18"/>
          <w:szCs w:val="18"/>
        </w:rPr>
        <w:t>acetalisation</w:t>
      </w:r>
      <w:proofErr w:type="spellEnd"/>
      <w:r w:rsidRPr="00C86C58">
        <w:rPr>
          <w:rFonts w:ascii="Tw Cen MT" w:eastAsia="Tw Cen MT" w:hAnsi="Tw Cen MT" w:cs="Tw Cen MT"/>
          <w:b w:val="0"/>
          <w:bCs w:val="0"/>
          <w:sz w:val="18"/>
          <w:szCs w:val="18"/>
        </w:rPr>
        <w:t xml:space="preserve">. The kinetic model was established using MATLAB software to solve the rate equations by </w:t>
      </w:r>
      <w:proofErr w:type="spellStart"/>
      <w:r w:rsidRPr="00C86C58">
        <w:rPr>
          <w:rFonts w:ascii="Tw Cen MT" w:eastAsia="Tw Cen MT" w:hAnsi="Tw Cen MT" w:cs="Tw Cen MT"/>
          <w:b w:val="0"/>
          <w:bCs w:val="0"/>
          <w:sz w:val="18"/>
          <w:szCs w:val="18"/>
        </w:rPr>
        <w:t>Runge-Kutta</w:t>
      </w:r>
      <w:proofErr w:type="spellEnd"/>
      <w:r w:rsidRPr="00C86C58">
        <w:rPr>
          <w:rFonts w:ascii="Tw Cen MT" w:eastAsia="Tw Cen MT" w:hAnsi="Tw Cen MT" w:cs="Tw Cen MT"/>
          <w:b w:val="0"/>
          <w:bCs w:val="0"/>
          <w:sz w:val="18"/>
          <w:szCs w:val="18"/>
        </w:rPr>
        <w:t xml:space="preserve"> “ode45” solver. Parametric study of the reactive coupling process carried out by the use of Design of Experiments (DoE) statistics to evaluate the effects of the reaction conditions, such as acetone to glycerol (oil) molar ratio, residence time, and the silica gel loading, on a one-stage process. The reaction conditions were also investigated for a two-stage reactive coupling process to obtain optimal variables required for high fatty acid methyl esters (FAMEs) and solketal yields. The kinetic model for the reactive coupling of rapeseed oil transesterification and glycerol conversions to solketal showed that excellent match between the experimental and predicted values. The DoE results showed that the one-stage reactive coupling did not achieve high solketal conversions (&lt; 50%) at the reaction conditions studied, however, FAME conversion of up to 99% was achievable.  It was found that the two-stage process was more effective, achieving up to 99 % of FAME conversion and 82% for solketal.   </w:t>
      </w:r>
      <w:r w:rsidR="00FD4411">
        <w:rPr>
          <w:bCs w:val="0"/>
        </w:rPr>
        <w:br w:type="column"/>
      </w:r>
      <w:bookmarkStart w:id="0" w:name="_GoBack"/>
      <w:bookmarkEnd w:id="0"/>
    </w:p>
    <w:p w:rsidR="00FD4411" w:rsidRDefault="00FD4411" w:rsidP="00FD4411">
      <w:pPr>
        <w:pStyle w:val="BodyText"/>
        <w:spacing w:before="2"/>
        <w:rPr>
          <w:rFonts w:ascii="Arial"/>
          <w:b/>
          <w:sz w:val="16"/>
        </w:rPr>
      </w:pPr>
    </w:p>
    <w:p w:rsidR="00FD4411" w:rsidRDefault="00FD4411" w:rsidP="00FD4411">
      <w:pPr>
        <w:spacing w:line="204" w:lineRule="exact"/>
        <w:rPr>
          <w:rFonts w:ascii="Arial"/>
          <w:b/>
          <w:sz w:val="20"/>
        </w:rPr>
      </w:pPr>
      <w:r>
        <w:rPr>
          <w:rFonts w:ascii="Arial"/>
          <w:b/>
          <w:color w:val="BF5A14"/>
          <w:sz w:val="20"/>
        </w:rPr>
        <w:br/>
        <w:t xml:space="preserve">Recent Publications </w:t>
      </w:r>
    </w:p>
    <w:p w:rsidR="00C86C58" w:rsidRPr="00C86C58" w:rsidRDefault="00C86C58" w:rsidP="00C86C58">
      <w:pPr>
        <w:tabs>
          <w:tab w:val="left" w:pos="384"/>
        </w:tabs>
        <w:ind w:right="117"/>
        <w:rPr>
          <w:rFonts w:ascii="Calibri" w:eastAsia="Calibri" w:hAnsi="Calibri" w:cs="Calibri"/>
          <w:sz w:val="18"/>
        </w:rPr>
      </w:pPr>
      <w:r>
        <w:rPr>
          <w:rFonts w:ascii="Calibri" w:eastAsia="Calibri" w:hAnsi="Calibri" w:cs="Calibri"/>
          <w:sz w:val="18"/>
        </w:rPr>
        <w:t>[1]</w:t>
      </w:r>
      <w:r w:rsidRPr="00C86C58">
        <w:rPr>
          <w:rFonts w:ascii="Calibri" w:eastAsia="Calibri" w:hAnsi="Calibri" w:cs="Calibri"/>
          <w:sz w:val="18"/>
        </w:rPr>
        <w:t xml:space="preserve">M. </w:t>
      </w:r>
      <w:proofErr w:type="spellStart"/>
      <w:r w:rsidRPr="00C86C58">
        <w:rPr>
          <w:rFonts w:ascii="Calibri" w:eastAsia="Calibri" w:hAnsi="Calibri" w:cs="Calibri"/>
          <w:sz w:val="18"/>
        </w:rPr>
        <w:t>Ayoub</w:t>
      </w:r>
      <w:proofErr w:type="spellEnd"/>
      <w:r w:rsidRPr="00C86C58">
        <w:rPr>
          <w:rFonts w:ascii="Calibri" w:eastAsia="Calibri" w:hAnsi="Calibri" w:cs="Calibri"/>
          <w:sz w:val="18"/>
        </w:rPr>
        <w:t>, A.Z. Abdullah, Critical review on the current scenario and significance of crude glycerol resulting from biodiesel industry towards more sustainable renewable energy industry, Renewable and Sustainable Energy Reviews 16 (2012) 2671-2686.</w:t>
      </w:r>
    </w:p>
    <w:p w:rsidR="00C86C58" w:rsidRPr="00C86C58" w:rsidRDefault="00C86C58" w:rsidP="00C86C58">
      <w:pPr>
        <w:tabs>
          <w:tab w:val="left" w:pos="384"/>
        </w:tabs>
        <w:ind w:right="117"/>
        <w:rPr>
          <w:rFonts w:ascii="Calibri" w:eastAsia="Calibri" w:hAnsi="Calibri" w:cs="Calibri"/>
          <w:sz w:val="18"/>
        </w:rPr>
      </w:pPr>
      <w:r w:rsidRPr="00C86C58">
        <w:rPr>
          <w:rFonts w:ascii="Calibri" w:eastAsia="Calibri" w:hAnsi="Calibri" w:cs="Calibri"/>
          <w:sz w:val="18"/>
        </w:rPr>
        <w:t xml:space="preserve">[2] A.B. </w:t>
      </w:r>
      <w:proofErr w:type="spellStart"/>
      <w:proofErr w:type="gramStart"/>
      <w:r w:rsidRPr="00C86C58">
        <w:rPr>
          <w:rFonts w:ascii="Calibri" w:eastAsia="Calibri" w:hAnsi="Calibri" w:cs="Calibri"/>
          <w:sz w:val="18"/>
        </w:rPr>
        <w:t>Leoneti</w:t>
      </w:r>
      <w:proofErr w:type="spellEnd"/>
      <w:r w:rsidRPr="00C86C58">
        <w:rPr>
          <w:rFonts w:ascii="Calibri" w:eastAsia="Calibri" w:hAnsi="Calibri" w:cs="Calibri"/>
          <w:sz w:val="18"/>
        </w:rPr>
        <w:t xml:space="preserve"> ,</w:t>
      </w:r>
      <w:proofErr w:type="gramEnd"/>
      <w:r w:rsidRPr="00C86C58">
        <w:rPr>
          <w:rFonts w:ascii="Calibri" w:eastAsia="Calibri" w:hAnsi="Calibri" w:cs="Calibri"/>
          <w:sz w:val="18"/>
        </w:rPr>
        <w:t xml:space="preserve"> </w:t>
      </w:r>
      <w:proofErr w:type="spellStart"/>
      <w:r w:rsidRPr="00C86C58">
        <w:rPr>
          <w:rFonts w:ascii="Calibri" w:eastAsia="Calibri" w:hAnsi="Calibri" w:cs="Calibri"/>
          <w:sz w:val="18"/>
        </w:rPr>
        <w:t>Valquiria</w:t>
      </w:r>
      <w:proofErr w:type="spellEnd"/>
      <w:r w:rsidRPr="00C86C58">
        <w:rPr>
          <w:rFonts w:ascii="Calibri" w:eastAsia="Calibri" w:hAnsi="Calibri" w:cs="Calibri"/>
          <w:sz w:val="18"/>
        </w:rPr>
        <w:t xml:space="preserve"> </w:t>
      </w:r>
      <w:proofErr w:type="spellStart"/>
      <w:r w:rsidRPr="00C86C58">
        <w:rPr>
          <w:rFonts w:ascii="Calibri" w:eastAsia="Calibri" w:hAnsi="Calibri" w:cs="Calibri"/>
          <w:sz w:val="18"/>
        </w:rPr>
        <w:t>Aragão-Leoneti</w:t>
      </w:r>
      <w:proofErr w:type="spellEnd"/>
      <w:r w:rsidRPr="00C86C58">
        <w:rPr>
          <w:rFonts w:ascii="Calibri" w:eastAsia="Calibri" w:hAnsi="Calibri" w:cs="Calibri"/>
          <w:sz w:val="18"/>
        </w:rPr>
        <w:t xml:space="preserve"> , </w:t>
      </w:r>
      <w:proofErr w:type="spellStart"/>
      <w:r w:rsidRPr="00C86C58">
        <w:rPr>
          <w:rFonts w:ascii="Calibri" w:eastAsia="Calibri" w:hAnsi="Calibri" w:cs="Calibri"/>
          <w:sz w:val="18"/>
        </w:rPr>
        <w:t>S.V.W.B.d</w:t>
      </w:r>
      <w:proofErr w:type="spellEnd"/>
      <w:r w:rsidRPr="00C86C58">
        <w:rPr>
          <w:rFonts w:ascii="Calibri" w:eastAsia="Calibri" w:hAnsi="Calibri" w:cs="Calibri"/>
          <w:sz w:val="18"/>
        </w:rPr>
        <w:t>. Oliveira, Glycerol as a by-product of biodiesel production in Brazil: Alternatives for the use of unrefined glycerol, Renewable Energy   45 (2012) 138-145.</w:t>
      </w:r>
    </w:p>
    <w:p w:rsidR="00C86C58" w:rsidRPr="00C86C58" w:rsidRDefault="00C86C58" w:rsidP="00C86C58">
      <w:pPr>
        <w:tabs>
          <w:tab w:val="left" w:pos="384"/>
        </w:tabs>
        <w:ind w:right="117"/>
        <w:rPr>
          <w:rFonts w:ascii="Calibri" w:eastAsia="Calibri" w:hAnsi="Calibri" w:cs="Calibri"/>
          <w:sz w:val="18"/>
        </w:rPr>
      </w:pPr>
      <w:r w:rsidRPr="00C86C58">
        <w:rPr>
          <w:rFonts w:ascii="Calibri" w:eastAsia="Calibri" w:hAnsi="Calibri" w:cs="Calibri"/>
          <w:sz w:val="18"/>
        </w:rPr>
        <w:t>[3] F. Yang, M.A. Hanna, R. Sun, Value-added uses for crude glycerol a byproduct of biodiesel production, Biotechnology for Biofuels (2012) 5:13.</w:t>
      </w:r>
    </w:p>
    <w:p w:rsidR="00C86C58" w:rsidRPr="00C86C58" w:rsidRDefault="00C86C58" w:rsidP="00C86C58">
      <w:pPr>
        <w:tabs>
          <w:tab w:val="left" w:pos="384"/>
        </w:tabs>
        <w:ind w:right="117"/>
        <w:rPr>
          <w:rFonts w:ascii="Calibri" w:eastAsia="Calibri" w:hAnsi="Calibri" w:cs="Calibri"/>
          <w:sz w:val="18"/>
        </w:rPr>
      </w:pPr>
      <w:r w:rsidRPr="00C86C58">
        <w:rPr>
          <w:rFonts w:ascii="Calibri" w:eastAsia="Calibri" w:hAnsi="Calibri" w:cs="Calibri"/>
          <w:sz w:val="18"/>
        </w:rPr>
        <w:t xml:space="preserve">[4] G. </w:t>
      </w:r>
      <w:proofErr w:type="spellStart"/>
      <w:proofErr w:type="gramStart"/>
      <w:r w:rsidRPr="00C86C58">
        <w:rPr>
          <w:rFonts w:ascii="Calibri" w:eastAsia="Calibri" w:hAnsi="Calibri" w:cs="Calibri"/>
          <w:sz w:val="18"/>
        </w:rPr>
        <w:t>Knothe</w:t>
      </w:r>
      <w:proofErr w:type="spellEnd"/>
      <w:r w:rsidRPr="00C86C58">
        <w:rPr>
          <w:rFonts w:ascii="Calibri" w:eastAsia="Calibri" w:hAnsi="Calibri" w:cs="Calibri"/>
          <w:sz w:val="18"/>
        </w:rPr>
        <w:t xml:space="preserve"> ,</w:t>
      </w:r>
      <w:proofErr w:type="gramEnd"/>
      <w:r w:rsidRPr="00C86C58">
        <w:rPr>
          <w:rFonts w:ascii="Calibri" w:eastAsia="Calibri" w:hAnsi="Calibri" w:cs="Calibri"/>
          <w:sz w:val="18"/>
        </w:rPr>
        <w:t xml:space="preserve"> J. </w:t>
      </w:r>
      <w:proofErr w:type="spellStart"/>
      <w:r w:rsidRPr="00C86C58">
        <w:rPr>
          <w:rFonts w:ascii="Calibri" w:eastAsia="Calibri" w:hAnsi="Calibri" w:cs="Calibri"/>
          <w:sz w:val="18"/>
        </w:rPr>
        <w:t>Krahl</w:t>
      </w:r>
      <w:proofErr w:type="spellEnd"/>
      <w:r w:rsidRPr="00C86C58">
        <w:rPr>
          <w:rFonts w:ascii="Calibri" w:eastAsia="Calibri" w:hAnsi="Calibri" w:cs="Calibri"/>
          <w:sz w:val="18"/>
        </w:rPr>
        <w:t xml:space="preserve">, J. Van </w:t>
      </w:r>
      <w:proofErr w:type="spellStart"/>
      <w:r w:rsidRPr="00C86C58">
        <w:rPr>
          <w:rFonts w:ascii="Calibri" w:eastAsia="Calibri" w:hAnsi="Calibri" w:cs="Calibri"/>
          <w:sz w:val="18"/>
        </w:rPr>
        <w:t>Gerpen</w:t>
      </w:r>
      <w:proofErr w:type="spellEnd"/>
      <w:r w:rsidRPr="00C86C58">
        <w:rPr>
          <w:rFonts w:ascii="Calibri" w:eastAsia="Calibri" w:hAnsi="Calibri" w:cs="Calibri"/>
          <w:sz w:val="18"/>
        </w:rPr>
        <w:t>, The Biodiesel Handbook: Second Edition, 2010.</w:t>
      </w:r>
    </w:p>
    <w:p w:rsidR="00FD4411" w:rsidRDefault="00C86C58" w:rsidP="00C86C58">
      <w:pPr>
        <w:tabs>
          <w:tab w:val="left" w:pos="384"/>
        </w:tabs>
        <w:ind w:right="117"/>
      </w:pPr>
      <w:r w:rsidRPr="00C86C58">
        <w:rPr>
          <w:rFonts w:ascii="Calibri" w:eastAsia="Calibri" w:hAnsi="Calibri" w:cs="Calibri"/>
          <w:sz w:val="18"/>
        </w:rPr>
        <w:t>[5] D.Y.C. Leung, X. Wu, M.K.H. Leung, A review on biodiesel production using catalyzed transesterification, Applied Energy 87 (2010) 1083-1095.</w:t>
      </w:r>
    </w:p>
    <w:p w:rsidR="00FD4411" w:rsidRDefault="00FD4411" w:rsidP="00FD4411">
      <w:pPr>
        <w:spacing w:line="200" w:lineRule="exact"/>
        <w:jc w:val="both"/>
        <w:rPr>
          <w:rFonts w:ascii="Calibri" w:hAnsi="Calibri"/>
        </w:rPr>
      </w:pPr>
      <w:r>
        <w:rPr>
          <w:rFonts w:ascii="Calibri" w:hAnsi="Calibri"/>
        </w:rPr>
        <w:t xml:space="preserve">   </w:t>
      </w:r>
    </w:p>
    <w:p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rsidR="00FD4411" w:rsidRDefault="00FD4411" w:rsidP="00FD4411">
      <w:pPr>
        <w:pStyle w:val="BodyText"/>
        <w:rPr>
          <w:rFonts w:ascii="Calibri"/>
          <w:sz w:val="20"/>
        </w:rPr>
      </w:pPr>
    </w:p>
    <w:p w:rsidR="00C86C58" w:rsidRDefault="00C86C58" w:rsidP="00FD4411">
      <w:pPr>
        <w:pStyle w:val="BodyText"/>
        <w:rPr>
          <w:rFonts w:ascii="Calibri"/>
          <w:sz w:val="20"/>
        </w:rPr>
      </w:pPr>
    </w:p>
    <w:p w:rsidR="00FD4411" w:rsidRDefault="00C86C58" w:rsidP="00FD4411">
      <w:pPr>
        <w:pStyle w:val="BodyText"/>
        <w:spacing w:line="40" w:lineRule="exact"/>
        <w:ind w:left="2202"/>
        <w:rPr>
          <w:rFonts w:ascii="Calibri"/>
          <w:sz w:val="4"/>
        </w:rPr>
      </w:pPr>
      <w:r w:rsidRPr="00C86C58">
        <w:rPr>
          <w:noProof/>
          <w:lang w:val="en-GB" w:eastAsia="zh-CN"/>
        </w:rPr>
        <w:drawing>
          <wp:anchor distT="0" distB="0" distL="114300" distR="114300" simplePos="0" relativeHeight="251658752" behindDoc="0" locked="0" layoutInCell="1" allowOverlap="1">
            <wp:simplePos x="0" y="0"/>
            <wp:positionH relativeFrom="column">
              <wp:posOffset>95206</wp:posOffset>
            </wp:positionH>
            <wp:positionV relativeFrom="paragraph">
              <wp:posOffset>10010</wp:posOffset>
            </wp:positionV>
            <wp:extent cx="630936" cy="612648"/>
            <wp:effectExtent l="0" t="0" r="0" b="0"/>
            <wp:wrapSquare wrapText="bothSides"/>
            <wp:docPr id="3" name="Picture 3" descr="H:\confrence photo\CROPPED-l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confrence photo\CROPPED-luma.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0936" cy="6126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4411">
        <w:rPr>
          <w:noProof/>
          <w:lang w:val="en-GB" w:eastAsia="zh-CN"/>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16B2C3"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C86C58" w:rsidRDefault="00FD4411" w:rsidP="00FD4411">
      <w:pPr>
        <w:spacing w:before="92"/>
        <w:ind w:right="4234"/>
        <w:rPr>
          <w:noProof/>
        </w:rPr>
      </w:pPr>
      <w:r>
        <w:rPr>
          <w:noProof/>
        </w:rPr>
        <w:t xml:space="preserve">             </w:t>
      </w:r>
    </w:p>
    <w:p w:rsidR="00C86C58" w:rsidRDefault="00C86C58" w:rsidP="00FD4411">
      <w:pPr>
        <w:spacing w:before="92"/>
        <w:ind w:right="4234"/>
        <w:rPr>
          <w:noProof/>
        </w:rPr>
      </w:pPr>
    </w:p>
    <w:p w:rsidR="00C86C58" w:rsidRDefault="00C86C58" w:rsidP="00FD4411">
      <w:pPr>
        <w:spacing w:before="92"/>
        <w:ind w:right="4234"/>
        <w:rPr>
          <w:noProof/>
        </w:rPr>
      </w:pPr>
    </w:p>
    <w:p w:rsidR="00FD4411" w:rsidRDefault="00FD4411" w:rsidP="00FD4411">
      <w:pPr>
        <w:spacing w:before="92"/>
        <w:ind w:right="4234"/>
        <w:rPr>
          <w:rFonts w:ascii="Arial"/>
          <w:color w:val="BF5A14"/>
        </w:rPr>
      </w:pPr>
      <w:r>
        <w:rPr>
          <w:noProof/>
        </w:rPr>
        <w:t xml:space="preserve"> </w:t>
      </w:r>
      <w:r w:rsidR="00C86C58" w:rsidRPr="00C86C58">
        <w:rPr>
          <w:noProof/>
          <w:lang w:val="en-GB" w:eastAsia="zh-CN"/>
        </w:rPr>
        <w:t xml:space="preserve"> </w:t>
      </w:r>
      <w:r>
        <w:rPr>
          <w:rFonts w:ascii="Arial"/>
          <w:color w:val="BF5A14"/>
        </w:rPr>
        <w:t>Biography (150 word limit)</w:t>
      </w:r>
    </w:p>
    <w:p w:rsidR="00C86C58" w:rsidRPr="00C86C58" w:rsidRDefault="00C86C58" w:rsidP="00C86C58">
      <w:pPr>
        <w:spacing w:before="41" w:line="154" w:lineRule="exact"/>
        <w:ind w:left="213" w:right="231"/>
        <w:jc w:val="both"/>
        <w:rPr>
          <w:rFonts w:ascii="Arial"/>
          <w:sz w:val="14"/>
        </w:rPr>
      </w:pPr>
      <w:r w:rsidRPr="00C86C58">
        <w:rPr>
          <w:rFonts w:ascii="Arial"/>
          <w:sz w:val="14"/>
        </w:rPr>
        <w:t>Luma</w:t>
      </w:r>
      <w:r>
        <w:rPr>
          <w:rFonts w:ascii="Arial"/>
          <w:sz w:val="14"/>
        </w:rPr>
        <w:t xml:space="preserve"> </w:t>
      </w:r>
      <w:proofErr w:type="spellStart"/>
      <w:r>
        <w:rPr>
          <w:rFonts w:ascii="Arial"/>
          <w:sz w:val="14"/>
        </w:rPr>
        <w:t>Al-saadi</w:t>
      </w:r>
      <w:proofErr w:type="spellEnd"/>
      <w:r>
        <w:rPr>
          <w:rFonts w:ascii="Arial"/>
          <w:sz w:val="14"/>
        </w:rPr>
        <w:t xml:space="preserve"> </w:t>
      </w:r>
      <w:r w:rsidR="00FE7D31">
        <w:rPr>
          <w:rFonts w:ascii="Arial"/>
          <w:sz w:val="14"/>
        </w:rPr>
        <w:t>is</w:t>
      </w:r>
      <w:r w:rsidR="00FE7D31" w:rsidRPr="00FE7D31">
        <w:rPr>
          <w:rFonts w:ascii="Arial"/>
          <w:sz w:val="14"/>
        </w:rPr>
        <w:t xml:space="preserve"> a PhD Student with a good research background. Confident, reliable, hardworking and organized, able to work under pressure, highly motivated</w:t>
      </w:r>
      <w:r w:rsidR="00FE7D31">
        <w:rPr>
          <w:rFonts w:ascii="Arial"/>
          <w:sz w:val="14"/>
        </w:rPr>
        <w:t>.</w:t>
      </w:r>
      <w:r w:rsidR="007974FE">
        <w:rPr>
          <w:rFonts w:ascii="Arial"/>
          <w:sz w:val="14"/>
        </w:rPr>
        <w:t xml:space="preserve"> After her graduation from university of technology in Iraq with honor degree she got a scholarship from Iraqi government as a reward to complete her PhD in the UK.  She</w:t>
      </w:r>
      <w:r w:rsidR="00FE7D31">
        <w:rPr>
          <w:rFonts w:ascii="Arial"/>
          <w:sz w:val="14"/>
        </w:rPr>
        <w:t xml:space="preserve"> has got her experience in biodiesel area after working in Newcastle University since 2015. She got 4</w:t>
      </w:r>
      <w:r w:rsidR="00FE7D31" w:rsidRPr="00FE7D31">
        <w:rPr>
          <w:rFonts w:ascii="Arial"/>
          <w:sz w:val="14"/>
          <w:vertAlign w:val="superscript"/>
        </w:rPr>
        <w:t>th</w:t>
      </w:r>
      <w:r w:rsidR="00FE7D31">
        <w:rPr>
          <w:rFonts w:ascii="Arial"/>
          <w:sz w:val="14"/>
        </w:rPr>
        <w:t xml:space="preserve"> papers from her hardworking in this field</w:t>
      </w:r>
      <w:r w:rsidR="007974FE">
        <w:rPr>
          <w:rFonts w:ascii="Arial"/>
          <w:sz w:val="14"/>
        </w:rPr>
        <w:t xml:space="preserve"> so far</w:t>
      </w:r>
      <w:r w:rsidR="00FE7D31">
        <w:rPr>
          <w:rFonts w:ascii="Arial"/>
          <w:sz w:val="14"/>
        </w:rPr>
        <w:t xml:space="preserve">.  </w:t>
      </w:r>
    </w:p>
    <w:p w:rsidR="00FD4411" w:rsidRDefault="00FD4411" w:rsidP="00FD4411">
      <w:pPr>
        <w:spacing w:before="62"/>
        <w:ind w:left="4217" w:right="4235"/>
        <w:jc w:val="center"/>
        <w:rPr>
          <w:rFonts w:ascii="Arial"/>
          <w:sz w:val="14"/>
        </w:rPr>
      </w:pPr>
      <w:r>
        <w:rPr>
          <w:rFonts w:ascii="Arial"/>
          <w:sz w:val="14"/>
        </w:rPr>
        <w:t xml:space="preserve">Email: </w:t>
      </w:r>
      <w:r w:rsidR="00C86C58" w:rsidRPr="00C86C58">
        <w:rPr>
          <w:rStyle w:val="Hyperlink"/>
          <w:rFonts w:ascii="Arial"/>
          <w:sz w:val="14"/>
        </w:rPr>
        <w:t>l.al-saadi@newcastle.ac.uk</w:t>
      </w:r>
    </w:p>
    <w:p w:rsidR="00FD4411" w:rsidRDefault="00FD4411" w:rsidP="00FD4411">
      <w:pPr>
        <w:pStyle w:val="BodyText"/>
        <w:spacing w:before="2"/>
        <w:rPr>
          <w:rFonts w:ascii="Arial"/>
          <w:sz w:val="19"/>
        </w:rPr>
      </w:pPr>
      <w:r>
        <w:rPr>
          <w:noProof/>
          <w:lang w:val="en-GB" w:eastAsia="zh-CN"/>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7BED7F"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FD4411" w:rsidRDefault="00FD4411" w:rsidP="00FD4411">
      <w:pPr>
        <w:pStyle w:val="BodyText"/>
        <w:rPr>
          <w:rFonts w:ascii="Arial"/>
          <w:sz w:val="20"/>
        </w:rPr>
      </w:pPr>
    </w:p>
    <w:p w:rsidR="00FD4411" w:rsidRDefault="00FD4411" w:rsidP="00FD4411">
      <w:pPr>
        <w:pStyle w:val="BodyText"/>
        <w:rPr>
          <w:rFonts w:ascii="Arial"/>
          <w:sz w:val="20"/>
        </w:rPr>
      </w:pPr>
    </w:p>
    <w:p w:rsidR="00FD4411" w:rsidRDefault="00FD4411" w:rsidP="00FD4411">
      <w:pPr>
        <w:pStyle w:val="BodyText"/>
        <w:spacing w:before="7"/>
        <w:rPr>
          <w:rFonts w:ascii="Arial"/>
          <w:sz w:val="29"/>
        </w:rPr>
      </w:pPr>
    </w:p>
    <w:p w:rsidR="00FD4411" w:rsidRPr="00C86C58" w:rsidRDefault="00C86C58" w:rsidP="00C86C58">
      <w:pPr>
        <w:spacing w:before="39"/>
        <w:ind w:left="100"/>
        <w:rPr>
          <w:rFonts w:ascii="Minion Pro"/>
          <w:b/>
          <w:sz w:val="20"/>
        </w:rPr>
        <w:sectPr w:rsidR="00FD4411" w:rsidRPr="00C86C58">
          <w:type w:val="continuous"/>
          <w:pgSz w:w="11910" w:h="16840"/>
          <w:pgMar w:top="1740" w:right="600" w:bottom="840" w:left="620" w:header="720" w:footer="720" w:gutter="0"/>
          <w:cols w:space="720"/>
        </w:sectPr>
      </w:pPr>
      <w:r>
        <w:rPr>
          <w:rFonts w:ascii="Minion Pro"/>
          <w:b/>
          <w:sz w:val="20"/>
        </w:rPr>
        <w:t>Notes/Comments</w:t>
      </w:r>
      <w:r w:rsidR="007974FE">
        <w:rPr>
          <w:rFonts w:ascii="Minion Pro"/>
          <w:b/>
          <w:sz w:val="20"/>
        </w:rPr>
        <w:t>:  N/A</w:t>
      </w:r>
    </w:p>
    <w:p w:rsidR="00C86C58" w:rsidRDefault="00C86C58" w:rsidP="00C86C58"/>
    <w:sectPr w:rsidR="00C86C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11"/>
    <w:rsid w:val="007974FE"/>
    <w:rsid w:val="00B77E33"/>
    <w:rsid w:val="00BA7DA2"/>
    <w:rsid w:val="00C86C58"/>
    <w:rsid w:val="00FD4411"/>
    <w:rsid w:val="00FE7D3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135AC4-4364-4E21-A2F0-B7D641444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semiHidden/>
    <w:unhideWhenUsed/>
    <w:rsid w:val="00FD4411"/>
    <w:rPr>
      <w:color w:val="0000FF" w:themeColor="hyperlink"/>
      <w:u w:val="single"/>
    </w:rPr>
  </w:style>
  <w:style w:type="paragraph" w:styleId="BodyText">
    <w:name w:val="Body Text"/>
    <w:basedOn w:val="Normal"/>
    <w:link w:val="BodyTextChar"/>
    <w:uiPriority w:val="1"/>
    <w:semiHidden/>
    <w:unhideWhenUsed/>
    <w:qFormat/>
    <w:rsid w:val="00FD4411"/>
    <w:rPr>
      <w:sz w:val="18"/>
      <w:szCs w:val="18"/>
    </w:rPr>
  </w:style>
  <w:style w:type="character" w:customStyle="1" w:styleId="BodyTextChar">
    <w:name w:val="Body Text Char"/>
    <w:basedOn w:val="DefaultParagraphFont"/>
    <w:link w:val="BodyText"/>
    <w:uiPriority w:val="1"/>
    <w:semiHidden/>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Chem Bio</dc:creator>
  <cp:lastModifiedBy>Luma Al-Saadi (UG)</cp:lastModifiedBy>
  <cp:revision>2</cp:revision>
  <dcterms:created xsi:type="dcterms:W3CDTF">2017-12-06T15:16:00Z</dcterms:created>
  <dcterms:modified xsi:type="dcterms:W3CDTF">2017-12-06T15:16:00Z</dcterms:modified>
</cp:coreProperties>
</file>