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8EC" w:rsidRPr="000A68EC" w:rsidRDefault="000A68EC" w:rsidP="000A68EC">
      <w:pPr>
        <w:rPr>
          <w:rFonts w:ascii="Minion Pro" w:eastAsia="Minion Pro" w:hAnsi="Minion Pro" w:cs="Minion Pro"/>
          <w:b/>
          <w:bCs/>
          <w:color w:val="337AB7"/>
          <w:sz w:val="36"/>
          <w:szCs w:val="36"/>
        </w:rPr>
      </w:pPr>
      <w:r w:rsidRPr="000A68EC">
        <w:rPr>
          <w:rFonts w:ascii="Minion Pro" w:eastAsia="Minion Pro" w:hAnsi="Minion Pro" w:cs="Minion Pro"/>
          <w:b/>
          <w:bCs/>
          <w:color w:val="337AB7"/>
          <w:sz w:val="36"/>
          <w:szCs w:val="36"/>
        </w:rPr>
        <w:t>Opportunities for renewable ethylene production via utilization of crude glycerol tolerant microbial strains</w:t>
      </w:r>
    </w:p>
    <w:p w:rsidR="000A68EC" w:rsidRDefault="000A68EC" w:rsidP="00FD4411">
      <w:pPr>
        <w:pStyle w:val="BodyText"/>
        <w:spacing w:before="73" w:line="198" w:lineRule="exact"/>
        <w:ind w:left="100" w:right="5987"/>
        <w:rPr>
          <w:rFonts w:ascii="Arial"/>
        </w:rPr>
      </w:pPr>
      <w:r>
        <w:rPr>
          <w:rFonts w:ascii="Arial"/>
        </w:rPr>
        <w:t>Idan Chiyanzu</w:t>
      </w:r>
      <w:r w:rsidR="00FD4411">
        <w:rPr>
          <w:rFonts w:ascii="Arial"/>
        </w:rPr>
        <w:t xml:space="preserve">, PhD, </w:t>
      </w:r>
      <w:r w:rsidRPr="000A68EC">
        <w:rPr>
          <w:rFonts w:ascii="Arial"/>
        </w:rPr>
        <w:t>Institute for Agricultural Engineerin</w:t>
      </w:r>
      <w:r>
        <w:rPr>
          <w:rFonts w:ascii="Arial"/>
        </w:rPr>
        <w:t>g, ARC</w:t>
      </w:r>
      <w:r w:rsidRPr="000A68EC">
        <w:rPr>
          <w:rFonts w:ascii="Arial"/>
        </w:rPr>
        <w:t xml:space="preserve">, P/B X519, Silverton, </w:t>
      </w:r>
      <w:r>
        <w:rPr>
          <w:rFonts w:ascii="Arial"/>
        </w:rPr>
        <w:t xml:space="preserve">Pretoria, </w:t>
      </w:r>
      <w:r w:rsidRPr="000A68EC">
        <w:rPr>
          <w:rFonts w:ascii="Arial"/>
        </w:rPr>
        <w:t>South Africa.</w:t>
      </w:r>
    </w:p>
    <w:p w:rsidR="00FD4411" w:rsidRDefault="000A68EC" w:rsidP="00FD4411">
      <w:pPr>
        <w:pStyle w:val="BodyText"/>
        <w:spacing w:before="73" w:line="198" w:lineRule="exact"/>
        <w:ind w:left="100" w:right="5987"/>
        <w:rPr>
          <w:rFonts w:ascii="Arial"/>
        </w:rPr>
      </w:pPr>
      <w:r>
        <w:rPr>
          <w:rFonts w:ascii="Arial"/>
        </w:rPr>
        <w:t>Maruping Mangena,</w:t>
      </w:r>
      <w:r w:rsidR="00FD4411">
        <w:rPr>
          <w:rFonts w:ascii="Arial"/>
        </w:rPr>
        <w:t xml:space="preserve"> </w:t>
      </w:r>
      <w:r>
        <w:rPr>
          <w:rFonts w:ascii="Arial"/>
        </w:rPr>
        <w:t>MSc</w:t>
      </w:r>
      <w:r w:rsidR="00FD4411">
        <w:rPr>
          <w:rFonts w:ascii="Arial"/>
        </w:rPr>
        <w:t xml:space="preserve">, </w:t>
      </w:r>
      <w:r>
        <w:rPr>
          <w:rFonts w:ascii="Arial"/>
        </w:rPr>
        <w:t>Biotechnology Platform, ARC,</w:t>
      </w:r>
    </w:p>
    <w:p w:rsidR="000A68EC" w:rsidRDefault="000A68EC" w:rsidP="00FD4411">
      <w:pPr>
        <w:pStyle w:val="BodyText"/>
        <w:spacing w:before="73" w:line="198" w:lineRule="exact"/>
        <w:ind w:left="100" w:right="5987"/>
        <w:rPr>
          <w:rFonts w:ascii="Arial"/>
        </w:rPr>
      </w:pPr>
      <w:r>
        <w:rPr>
          <w:rFonts w:ascii="Arial"/>
        </w:rPr>
        <w:t>P/BX</w:t>
      </w:r>
      <w:r w:rsidR="00D414BF">
        <w:rPr>
          <w:rFonts w:ascii="Arial"/>
        </w:rPr>
        <w:t>5, Onderstepoort, Pretoria, South Africa</w:t>
      </w:r>
    </w:p>
    <w:p w:rsidR="00FD4411" w:rsidRDefault="00FD4411" w:rsidP="00FD4411">
      <w:pPr>
        <w:pStyle w:val="BodyText"/>
        <w:rPr>
          <w:rFonts w:ascii="Arial"/>
          <w:sz w:val="20"/>
        </w:rPr>
      </w:pPr>
    </w:p>
    <w:p w:rsidR="00FD4411" w:rsidRDefault="00FD4411" w:rsidP="00FD4411">
      <w:pPr>
        <w:pStyle w:val="BodyText"/>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Pr="002337A9" w:rsidRDefault="00FD4411" w:rsidP="00FD4411">
      <w:pPr>
        <w:pStyle w:val="Heading3"/>
        <w:spacing w:before="147"/>
        <w:jc w:val="both"/>
      </w:pPr>
      <w:r w:rsidRPr="002337A9">
        <w:t xml:space="preserve">Abstract </w:t>
      </w:r>
    </w:p>
    <w:p w:rsidR="00FD4411" w:rsidRPr="002337A9" w:rsidRDefault="002F113A" w:rsidP="002F113A">
      <w:pPr>
        <w:pStyle w:val="Heading3"/>
        <w:spacing w:before="74"/>
        <w:jc w:val="both"/>
      </w:pPr>
      <w:r w:rsidRPr="002F113A">
        <w:rPr>
          <w:rFonts w:ascii="Tw Cen MT" w:eastAsia="Tw Cen MT" w:hAnsi="Tw Cen MT" w:cs="Tw Cen MT"/>
          <w:b w:val="0"/>
          <w:bCs w:val="0"/>
          <w:sz w:val="18"/>
          <w:szCs w:val="18"/>
        </w:rPr>
        <w:t xml:space="preserve">Crude glycerol, a major by-product from the transesterification of Sunflower oil with alcohol to biodiesel, can pose danger to the environment in large quantities. Studies have shown that utilization of the glycerol to afford commercial products is one of the promising options for lowering its pollution effects and biodiesel production costs. For example, its bioconversion can offer a wide range of chemicals including alcohols, organic acids, hydrogen, solvents and precursors for bioplastics. In </w:t>
      </w:r>
      <w:r w:rsidRPr="002F113A">
        <w:rPr>
          <w:rFonts w:ascii="Tw Cen MT" w:eastAsia="Tw Cen MT" w:hAnsi="Tw Cen MT" w:cs="Tw Cen MT"/>
          <w:b w:val="0"/>
          <w:bCs w:val="0"/>
          <w:i/>
          <w:sz w:val="18"/>
          <w:szCs w:val="18"/>
        </w:rPr>
        <w:t>Pseudomonas syringae</w:t>
      </w:r>
      <w:r w:rsidRPr="002F113A">
        <w:rPr>
          <w:rFonts w:ascii="Tw Cen MT" w:eastAsia="Tw Cen MT" w:hAnsi="Tw Cen MT" w:cs="Tw Cen MT"/>
          <w:b w:val="0"/>
          <w:bCs w:val="0"/>
          <w:sz w:val="18"/>
          <w:szCs w:val="18"/>
        </w:rPr>
        <w:t xml:space="preserve"> species of bacteria, the 2-oxoglutarate dioxygenase (2-OGD) are widely known to be among the enzymes with an emerging importance in ethylene formation. However, the optimization and industrial applications of enzyme as recombinant systems for crude glycerol conversion to ethylene is still not been reported. The present study investigated the production of ethylene from crude glycerol using engineered </w:t>
      </w:r>
      <w:r w:rsidRPr="002F113A">
        <w:rPr>
          <w:rFonts w:ascii="Tw Cen MT" w:eastAsia="Tw Cen MT" w:hAnsi="Tw Cen MT" w:cs="Tw Cen MT"/>
          <w:b w:val="0"/>
          <w:bCs w:val="0"/>
          <w:i/>
          <w:sz w:val="18"/>
          <w:szCs w:val="18"/>
        </w:rPr>
        <w:t>Pichia pastoris</w:t>
      </w:r>
      <w:r w:rsidRPr="002F113A">
        <w:rPr>
          <w:rFonts w:ascii="Tw Cen MT" w:eastAsia="Tw Cen MT" w:hAnsi="Tw Cen MT" w:cs="Tw Cen MT"/>
          <w:b w:val="0"/>
          <w:bCs w:val="0"/>
          <w:sz w:val="18"/>
          <w:szCs w:val="18"/>
        </w:rPr>
        <w:t xml:space="preserve">, </w:t>
      </w:r>
      <w:r w:rsidRPr="002F113A">
        <w:rPr>
          <w:rFonts w:ascii="Tw Cen MT" w:eastAsia="Tw Cen MT" w:hAnsi="Tw Cen MT" w:cs="Tw Cen MT"/>
          <w:b w:val="0"/>
          <w:bCs w:val="0"/>
          <w:i/>
          <w:sz w:val="18"/>
          <w:szCs w:val="18"/>
        </w:rPr>
        <w:t>E. coli</w:t>
      </w:r>
      <w:r w:rsidRPr="002F113A">
        <w:rPr>
          <w:rFonts w:ascii="Tw Cen MT" w:eastAsia="Tw Cen MT" w:hAnsi="Tw Cen MT" w:cs="Tw Cen MT"/>
          <w:b w:val="0"/>
          <w:bCs w:val="0"/>
          <w:sz w:val="18"/>
          <w:szCs w:val="18"/>
        </w:rPr>
        <w:t xml:space="preserve"> MG1655 and JM109 strains. Ethylene production with a codon-optimized expression system for 2-OGD was studied in </w:t>
      </w:r>
      <w:r w:rsidRPr="00C21E2D">
        <w:rPr>
          <w:rFonts w:ascii="Tw Cen MT" w:eastAsia="Tw Cen MT" w:hAnsi="Tw Cen MT" w:cs="Tw Cen MT"/>
          <w:b w:val="0"/>
          <w:bCs w:val="0"/>
          <w:i/>
          <w:sz w:val="18"/>
          <w:szCs w:val="18"/>
        </w:rPr>
        <w:t>Pichia pastoris</w:t>
      </w:r>
      <w:r w:rsidRPr="002F113A">
        <w:rPr>
          <w:rFonts w:ascii="Tw Cen MT" w:eastAsia="Tw Cen MT" w:hAnsi="Tw Cen MT" w:cs="Tw Cen MT"/>
          <w:b w:val="0"/>
          <w:bCs w:val="0"/>
          <w:sz w:val="18"/>
          <w:szCs w:val="18"/>
        </w:rPr>
        <w:t xml:space="preserve"> and E. coli. The effect of codon optimization resulted in a 20-fold increase of protein production and thus an enhanced production of the ethylene gas. For a reliable bioreactor performance, the effect of temperature, fermentation time, pH, substrate concentration, concentration of methanol, concentration of potassium hydroxide and media supplements on ethylene yield was investigated. The results demonstrate that the recombinant enzyme can be used for future studies to exploit the conversion of low-priced crude glycerol into advanced value products like light olefins, and tools including recombineering techniques for DNA, molecular biology and bioengineering can be used to allowing unlimited the production of ethylene directly from fermentation of crude glycerol. It </w:t>
      </w:r>
      <w:proofErr w:type="gramStart"/>
      <w:r w:rsidRPr="002F113A">
        <w:rPr>
          <w:rFonts w:ascii="Tw Cen MT" w:eastAsia="Tw Cen MT" w:hAnsi="Tw Cen MT" w:cs="Tw Cen MT"/>
          <w:b w:val="0"/>
          <w:bCs w:val="0"/>
          <w:sz w:val="18"/>
          <w:szCs w:val="18"/>
        </w:rPr>
        <w:t>can be concluded</w:t>
      </w:r>
      <w:proofErr w:type="gramEnd"/>
      <w:r w:rsidRPr="002F113A">
        <w:rPr>
          <w:rFonts w:ascii="Tw Cen MT" w:eastAsia="Tw Cen MT" w:hAnsi="Tw Cen MT" w:cs="Tw Cen MT"/>
          <w:b w:val="0"/>
          <w:bCs w:val="0"/>
          <w:sz w:val="18"/>
          <w:szCs w:val="18"/>
        </w:rPr>
        <w:t xml:space="preserve"> that recombinant E.coli production systems represent significantly secure, renewable and environmentally safe alternative to thermochemical approach to ethylene production.</w:t>
      </w:r>
      <w:r w:rsidR="00FD4411">
        <w:rPr>
          <w:bCs w:val="0"/>
        </w:rPr>
        <w:br w:type="column"/>
      </w:r>
      <w:r w:rsidR="00086E44" w:rsidRPr="002337A9">
        <w:rPr>
          <w:bCs w:val="0"/>
        </w:rPr>
        <w:t>Graphic</w:t>
      </w:r>
      <w:r w:rsidR="00C21E2D">
        <w:rPr>
          <w:bCs w:val="0"/>
        </w:rPr>
        <w:t>al</w:t>
      </w:r>
    </w:p>
    <w:p w:rsidR="00FD4411" w:rsidRDefault="002F113A" w:rsidP="00FD4411">
      <w:pPr>
        <w:pStyle w:val="BodyText"/>
        <w:spacing w:before="2"/>
        <w:rPr>
          <w:rFonts w:ascii="Arial"/>
          <w:b/>
          <w:sz w:val="16"/>
        </w:rPr>
      </w:pPr>
      <w:r w:rsidRPr="00014A9D">
        <w:rPr>
          <w:noProof/>
          <w:lang w:val="en-ZA" w:eastAsia="en-ZA"/>
        </w:rPr>
        <w:drawing>
          <wp:inline distT="0" distB="0" distL="0" distR="0" wp14:anchorId="17AD9C93" wp14:editId="7A5C71AA">
            <wp:extent cx="3165475" cy="3150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5475" cy="3150235"/>
                    </a:xfrm>
                    <a:prstGeom prst="rect">
                      <a:avLst/>
                    </a:prstGeom>
                    <a:noFill/>
                    <a:ln>
                      <a:noFill/>
                    </a:ln>
                  </pic:spPr>
                </pic:pic>
              </a:graphicData>
            </a:graphic>
          </wp:inline>
        </w:drawing>
      </w:r>
    </w:p>
    <w:p w:rsidR="00FD4411" w:rsidRPr="00086E44" w:rsidRDefault="002F113A" w:rsidP="00FD4411">
      <w:pPr>
        <w:spacing w:line="204" w:lineRule="exact"/>
        <w:rPr>
          <w:rFonts w:ascii="Arial"/>
          <w:b/>
          <w:sz w:val="20"/>
        </w:rPr>
      </w:pPr>
      <w:r>
        <w:rPr>
          <w:rFonts w:ascii="Arial"/>
          <w:b/>
          <w:color w:val="BF5A14"/>
          <w:sz w:val="20"/>
        </w:rPr>
        <w:br/>
      </w:r>
      <w:r w:rsidRPr="00086E44">
        <w:rPr>
          <w:rFonts w:ascii="Arial"/>
          <w:b/>
          <w:sz w:val="20"/>
        </w:rPr>
        <w:t>Recent Publications</w:t>
      </w:r>
    </w:p>
    <w:p w:rsidR="002F113A" w:rsidRPr="00830D3B" w:rsidRDefault="002F113A" w:rsidP="002F113A">
      <w:pPr>
        <w:numPr>
          <w:ilvl w:val="0"/>
          <w:numId w:val="1"/>
        </w:numPr>
        <w:tabs>
          <w:tab w:val="left" w:pos="384"/>
        </w:tabs>
        <w:ind w:right="117"/>
        <w:rPr>
          <w:rFonts w:eastAsia="Calibri" w:cs="Calibri"/>
          <w:sz w:val="18"/>
        </w:rPr>
      </w:pPr>
      <w:proofErr w:type="spellStart"/>
      <w:r w:rsidRPr="00830D3B">
        <w:rPr>
          <w:rFonts w:eastAsia="Calibri" w:cs="Calibri"/>
          <w:sz w:val="18"/>
          <w:lang w:val="en-ZA"/>
        </w:rPr>
        <w:t>Garlapati</w:t>
      </w:r>
      <w:proofErr w:type="spellEnd"/>
      <w:r w:rsidRPr="00830D3B">
        <w:rPr>
          <w:rFonts w:eastAsia="Calibri" w:cs="Calibri"/>
          <w:sz w:val="18"/>
          <w:lang w:val="en-ZA"/>
        </w:rPr>
        <w:t xml:space="preserve"> V K, Shankar U, </w:t>
      </w:r>
      <w:proofErr w:type="spellStart"/>
      <w:r w:rsidRPr="00830D3B">
        <w:rPr>
          <w:rFonts w:eastAsia="Calibri" w:cs="Calibri"/>
          <w:sz w:val="18"/>
          <w:lang w:val="en-ZA"/>
        </w:rPr>
        <w:t>Budhiraja</w:t>
      </w:r>
      <w:proofErr w:type="spellEnd"/>
      <w:r w:rsidRPr="00830D3B">
        <w:rPr>
          <w:rFonts w:eastAsia="Calibri" w:cs="Calibri"/>
          <w:sz w:val="18"/>
          <w:lang w:val="en-ZA"/>
        </w:rPr>
        <w:t xml:space="preserve"> A</w:t>
      </w:r>
      <w:r w:rsidRPr="00830D3B">
        <w:rPr>
          <w:rFonts w:eastAsia="Calibri" w:cs="Calibri"/>
          <w:sz w:val="18"/>
        </w:rPr>
        <w:t xml:space="preserve"> (2016) Bioconversion technologies of crude glycerol to value added industrial products. Biotechnology Reports 9: 9–14.</w:t>
      </w:r>
    </w:p>
    <w:p w:rsidR="002F113A" w:rsidRPr="00830D3B" w:rsidRDefault="002F113A" w:rsidP="002F113A">
      <w:pPr>
        <w:numPr>
          <w:ilvl w:val="0"/>
          <w:numId w:val="1"/>
        </w:numPr>
        <w:tabs>
          <w:tab w:val="left" w:pos="384"/>
        </w:tabs>
        <w:ind w:right="117"/>
        <w:rPr>
          <w:rFonts w:eastAsia="Calibri" w:cs="Calibri"/>
          <w:sz w:val="18"/>
        </w:rPr>
      </w:pPr>
      <w:r w:rsidRPr="00830D3B">
        <w:rPr>
          <w:rFonts w:eastAsia="Calibri" w:cs="Calibri"/>
          <w:sz w:val="18"/>
        </w:rPr>
        <w:t xml:space="preserve">Valerio O, Horvath T, Pond C, </w:t>
      </w:r>
      <w:proofErr w:type="spellStart"/>
      <w:r w:rsidRPr="00830D3B">
        <w:rPr>
          <w:rFonts w:eastAsia="Calibri" w:cs="Calibri"/>
          <w:sz w:val="18"/>
        </w:rPr>
        <w:t>Misra</w:t>
      </w:r>
      <w:proofErr w:type="spellEnd"/>
      <w:r w:rsidRPr="00830D3B">
        <w:rPr>
          <w:rFonts w:eastAsia="Calibri" w:cs="Calibri"/>
          <w:sz w:val="18"/>
        </w:rPr>
        <w:t xml:space="preserve"> M, </w:t>
      </w:r>
      <w:proofErr w:type="spellStart"/>
      <w:r w:rsidRPr="00830D3B">
        <w:rPr>
          <w:rFonts w:eastAsia="Calibri" w:cs="Calibri"/>
          <w:sz w:val="18"/>
        </w:rPr>
        <w:t>Mohanty</w:t>
      </w:r>
      <w:proofErr w:type="spellEnd"/>
      <w:r w:rsidRPr="00830D3B">
        <w:rPr>
          <w:rFonts w:eastAsia="Calibri" w:cs="Calibri"/>
          <w:sz w:val="18"/>
        </w:rPr>
        <w:t xml:space="preserve"> A (2015) Improved utilization of crude glycerol from biodiesel industries: Synthesis and characterization of sustainable </w:t>
      </w:r>
      <w:proofErr w:type="spellStart"/>
      <w:r w:rsidRPr="00830D3B">
        <w:rPr>
          <w:rFonts w:eastAsia="Calibri" w:cs="Calibri"/>
          <w:sz w:val="18"/>
        </w:rPr>
        <w:t>biobased</w:t>
      </w:r>
      <w:proofErr w:type="spellEnd"/>
      <w:r w:rsidRPr="00830D3B">
        <w:rPr>
          <w:rFonts w:eastAsia="Calibri" w:cs="Calibri"/>
          <w:sz w:val="18"/>
        </w:rPr>
        <w:t xml:space="preserve"> polyesters. Industrial Crops and Products 78: 141–147.</w:t>
      </w:r>
    </w:p>
    <w:p w:rsidR="002F113A" w:rsidRPr="00830D3B" w:rsidRDefault="002F113A" w:rsidP="002F113A">
      <w:pPr>
        <w:numPr>
          <w:ilvl w:val="0"/>
          <w:numId w:val="1"/>
        </w:numPr>
        <w:tabs>
          <w:tab w:val="left" w:pos="384"/>
        </w:tabs>
        <w:ind w:right="117"/>
        <w:rPr>
          <w:rFonts w:eastAsia="Calibri" w:cs="Calibri"/>
          <w:sz w:val="18"/>
        </w:rPr>
      </w:pPr>
      <w:proofErr w:type="spellStart"/>
      <w:r w:rsidRPr="00830D3B">
        <w:rPr>
          <w:rFonts w:eastAsia="Calibri" w:cs="Calibri"/>
          <w:sz w:val="18"/>
        </w:rPr>
        <w:t>Anitha</w:t>
      </w:r>
      <w:proofErr w:type="spellEnd"/>
      <w:r w:rsidRPr="00830D3B">
        <w:rPr>
          <w:rFonts w:eastAsia="Calibri" w:cs="Calibri"/>
          <w:sz w:val="18"/>
        </w:rPr>
        <w:t xml:space="preserve"> M, </w:t>
      </w:r>
      <w:proofErr w:type="spellStart"/>
      <w:r w:rsidRPr="00830D3B">
        <w:rPr>
          <w:rFonts w:eastAsia="Calibri" w:cs="Calibri"/>
          <w:sz w:val="18"/>
        </w:rPr>
        <w:t>Kamarudin</w:t>
      </w:r>
      <w:proofErr w:type="spellEnd"/>
      <w:r w:rsidRPr="00830D3B">
        <w:rPr>
          <w:rFonts w:eastAsia="Calibri" w:cs="Calibri"/>
          <w:sz w:val="18"/>
        </w:rPr>
        <w:t xml:space="preserve"> S.K, </w:t>
      </w:r>
      <w:proofErr w:type="spellStart"/>
      <w:r w:rsidRPr="00830D3B">
        <w:rPr>
          <w:rFonts w:eastAsia="Calibri" w:cs="Calibri"/>
          <w:sz w:val="18"/>
        </w:rPr>
        <w:t>Kofli</w:t>
      </w:r>
      <w:proofErr w:type="spellEnd"/>
      <w:r w:rsidRPr="00830D3B">
        <w:rPr>
          <w:rFonts w:eastAsia="Calibri" w:cs="Calibri"/>
          <w:sz w:val="18"/>
        </w:rPr>
        <w:t xml:space="preserve"> N.T (2016) </w:t>
      </w:r>
      <w:proofErr w:type="gramStart"/>
      <w:r w:rsidRPr="00830D3B">
        <w:rPr>
          <w:rFonts w:eastAsia="Calibri" w:cs="Calibri"/>
          <w:sz w:val="18"/>
        </w:rPr>
        <w:t>The</w:t>
      </w:r>
      <w:proofErr w:type="gramEnd"/>
      <w:r w:rsidRPr="00830D3B">
        <w:rPr>
          <w:rFonts w:eastAsia="Calibri" w:cs="Calibri"/>
          <w:sz w:val="18"/>
        </w:rPr>
        <w:t xml:space="preserve"> potential of glycerol as a value-added commodity: Review. </w:t>
      </w:r>
      <w:proofErr w:type="spellStart"/>
      <w:r w:rsidRPr="00830D3B">
        <w:rPr>
          <w:rFonts w:eastAsia="Calibri" w:cs="Calibri"/>
          <w:sz w:val="18"/>
        </w:rPr>
        <w:t>Chem</w:t>
      </w:r>
      <w:proofErr w:type="spellEnd"/>
      <w:r w:rsidRPr="00830D3B">
        <w:rPr>
          <w:rFonts w:eastAsia="Calibri" w:cs="Calibri"/>
          <w:sz w:val="18"/>
        </w:rPr>
        <w:t xml:space="preserve"> </w:t>
      </w:r>
      <w:proofErr w:type="spellStart"/>
      <w:r w:rsidRPr="00830D3B">
        <w:rPr>
          <w:rFonts w:eastAsia="Calibri" w:cs="Calibri"/>
          <w:sz w:val="18"/>
        </w:rPr>
        <w:t>Eng</w:t>
      </w:r>
      <w:proofErr w:type="spellEnd"/>
      <w:r w:rsidRPr="00830D3B">
        <w:rPr>
          <w:rFonts w:eastAsia="Calibri" w:cs="Calibri"/>
          <w:sz w:val="18"/>
        </w:rPr>
        <w:t xml:space="preserve"> J 295:119-1305. </w:t>
      </w:r>
    </w:p>
    <w:p w:rsidR="002F113A" w:rsidRPr="00830D3B" w:rsidRDefault="002F113A" w:rsidP="002F113A">
      <w:pPr>
        <w:numPr>
          <w:ilvl w:val="0"/>
          <w:numId w:val="1"/>
        </w:numPr>
        <w:tabs>
          <w:tab w:val="left" w:pos="384"/>
        </w:tabs>
        <w:ind w:right="117"/>
        <w:rPr>
          <w:rFonts w:eastAsia="Calibri" w:cs="Calibri"/>
          <w:sz w:val="18"/>
        </w:rPr>
      </w:pPr>
      <w:r w:rsidRPr="00830D3B">
        <w:rPr>
          <w:rFonts w:eastAsia="Calibri" w:cs="Calibri"/>
          <w:sz w:val="18"/>
        </w:rPr>
        <w:t xml:space="preserve">H.W. Tan, A.R. Abdul Aziz, M.K. </w:t>
      </w:r>
      <w:proofErr w:type="spellStart"/>
      <w:r w:rsidRPr="00830D3B">
        <w:rPr>
          <w:rFonts w:eastAsia="Calibri" w:cs="Calibri"/>
          <w:sz w:val="18"/>
        </w:rPr>
        <w:t>Aroua</w:t>
      </w:r>
      <w:proofErr w:type="spellEnd"/>
      <w:r w:rsidRPr="00830D3B">
        <w:rPr>
          <w:rFonts w:eastAsia="Calibri" w:cs="Calibri"/>
          <w:sz w:val="18"/>
        </w:rPr>
        <w:t xml:space="preserve"> (2013) Glycerol production and its applications as a raw material: A review Renewable and Sustainable Energy Reviews: 118-127. </w:t>
      </w:r>
    </w:p>
    <w:p w:rsidR="002F113A" w:rsidRPr="00830D3B" w:rsidRDefault="002F113A" w:rsidP="002F113A">
      <w:pPr>
        <w:numPr>
          <w:ilvl w:val="0"/>
          <w:numId w:val="1"/>
        </w:numPr>
        <w:tabs>
          <w:tab w:val="left" w:pos="384"/>
        </w:tabs>
        <w:ind w:right="117"/>
        <w:rPr>
          <w:rFonts w:eastAsia="Calibri" w:cs="Calibri"/>
          <w:sz w:val="18"/>
        </w:rPr>
      </w:pPr>
      <w:r w:rsidRPr="00830D3B">
        <w:rPr>
          <w:rFonts w:eastAsia="Calibri" w:cs="Calibri"/>
          <w:sz w:val="18"/>
        </w:rPr>
        <w:t xml:space="preserve">Luo X, Ge X, Cui S, Li Y (2016) Value-added processing of crude glycerol into chemicals and polymers: Review </w:t>
      </w:r>
      <w:proofErr w:type="spellStart"/>
      <w:r w:rsidRPr="00830D3B">
        <w:rPr>
          <w:rFonts w:eastAsia="Calibri" w:cs="Calibri"/>
          <w:sz w:val="18"/>
        </w:rPr>
        <w:t>Bioresource</w:t>
      </w:r>
      <w:proofErr w:type="spellEnd"/>
      <w:r w:rsidRPr="00830D3B">
        <w:rPr>
          <w:rFonts w:eastAsia="Calibri" w:cs="Calibri"/>
          <w:sz w:val="18"/>
        </w:rPr>
        <w:t xml:space="preserve"> Technology, 215:144-154.</w:t>
      </w:r>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BodyText"/>
        <w:rPr>
          <w:rFonts w:ascii="Calibri"/>
          <w:sz w:val="20"/>
        </w:rPr>
      </w:pPr>
    </w:p>
    <w:p w:rsidR="00FD4411" w:rsidRDefault="00FD4411" w:rsidP="00FD4411">
      <w:pPr>
        <w:pStyle w:val="BodyText"/>
        <w:spacing w:line="40" w:lineRule="exact"/>
        <w:ind w:left="2202"/>
        <w:rPr>
          <w:rFonts w:ascii="Calibri"/>
          <w:sz w:val="4"/>
        </w:rPr>
      </w:pPr>
      <w:r>
        <w:rPr>
          <w:noProof/>
          <w:lang w:val="en-ZA" w:eastAsia="en-ZA"/>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3EE288"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FD4411" w:rsidRDefault="00A83286" w:rsidP="00A83286">
      <w:pPr>
        <w:spacing w:before="92"/>
        <w:ind w:right="4234" w:firstLine="213"/>
        <w:rPr>
          <w:rFonts w:ascii="Arial"/>
        </w:rPr>
      </w:pPr>
      <w:r w:rsidRPr="00A83286">
        <w:rPr>
          <w:noProof/>
          <w:lang w:val="en-ZA" w:eastAsia="en-ZA"/>
        </w:rPr>
        <w:drawing>
          <wp:inline distT="0" distB="0" distL="0" distR="0">
            <wp:extent cx="904875" cy="783489"/>
            <wp:effectExtent l="0" t="0" r="0" b="0"/>
            <wp:docPr id="3" name="Picture 3" descr="C:\Users\ChiyanzuI\Desktop\Idan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yanzuI\Desktop\Idan p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2389" cy="789995"/>
                    </a:xfrm>
                    <a:prstGeom prst="rect">
                      <a:avLst/>
                    </a:prstGeom>
                    <a:noFill/>
                    <a:ln>
                      <a:noFill/>
                    </a:ln>
                  </pic:spPr>
                </pic:pic>
              </a:graphicData>
            </a:graphic>
          </wp:inline>
        </w:drawing>
      </w:r>
      <w:r w:rsidR="00FD4411" w:rsidRPr="00086E44">
        <w:rPr>
          <w:rFonts w:ascii="Arial"/>
          <w:b/>
        </w:rPr>
        <w:t xml:space="preserve"> </w:t>
      </w:r>
    </w:p>
    <w:p w:rsidR="00086E44" w:rsidRPr="00556F21" w:rsidRDefault="00086E44" w:rsidP="00086E44">
      <w:pPr>
        <w:spacing w:before="41" w:line="154" w:lineRule="exact"/>
        <w:ind w:left="213" w:right="231"/>
        <w:jc w:val="both"/>
        <w:rPr>
          <w:rFonts w:ascii="Arial"/>
          <w:sz w:val="14"/>
        </w:rPr>
      </w:pPr>
      <w:r>
        <w:rPr>
          <w:rFonts w:ascii="Arial"/>
          <w:sz w:val="14"/>
        </w:rPr>
        <w:t>Idan Chiyanzu has his expertise in bioenergy and researches associated with conversion of waste to energy. His area of focus has been in the assessment and evaluation of various technologies to create new pathways for improving transformation of agricultural residues and biodiesel waste to value compounds. He has been developing this concept model after years of experience in chemistry, biochemistry, and bioprocess engineering both in academic and research institutions. The underpinning principle for the current project is based on r</w:t>
      </w:r>
      <w:r w:rsidRPr="00DC7DE6">
        <w:rPr>
          <w:rFonts w:ascii="Arial"/>
          <w:sz w:val="14"/>
        </w:rPr>
        <w:t xml:space="preserve">e-engineering </w:t>
      </w:r>
      <w:r>
        <w:rPr>
          <w:rFonts w:ascii="Arial"/>
          <w:sz w:val="14"/>
        </w:rPr>
        <w:t>of</w:t>
      </w:r>
      <w:r w:rsidRPr="00DC7DE6">
        <w:rPr>
          <w:rFonts w:ascii="Arial"/>
          <w:sz w:val="14"/>
        </w:rPr>
        <w:t xml:space="preserve"> regulatory pathways to enhance </w:t>
      </w:r>
      <w:r>
        <w:rPr>
          <w:rFonts w:ascii="Arial"/>
          <w:sz w:val="14"/>
        </w:rPr>
        <w:t>specific genes, a methodology that utilizes the</w:t>
      </w:r>
      <w:r w:rsidRPr="00556F21">
        <w:rPr>
          <w:rFonts w:ascii="Arial"/>
          <w:sz w:val="14"/>
        </w:rPr>
        <w:t xml:space="preserve"> most significant genes and disca</w:t>
      </w:r>
      <w:r>
        <w:rPr>
          <w:rFonts w:ascii="Arial"/>
          <w:sz w:val="14"/>
        </w:rPr>
        <w:t xml:space="preserve">rds the others. This methodology </w:t>
      </w:r>
      <w:r w:rsidRPr="00556F21">
        <w:rPr>
          <w:rFonts w:ascii="Arial"/>
          <w:sz w:val="14"/>
        </w:rPr>
        <w:t>allow better target substance yield in a metabolic network</w:t>
      </w:r>
      <w:r>
        <w:rPr>
          <w:rFonts w:ascii="Arial"/>
          <w:sz w:val="14"/>
        </w:rPr>
        <w:t>.</w:t>
      </w:r>
    </w:p>
    <w:p w:rsidR="00086E44" w:rsidRDefault="00086E44" w:rsidP="00086E44">
      <w:pPr>
        <w:spacing w:before="62"/>
        <w:ind w:left="4217" w:right="4235"/>
        <w:jc w:val="center"/>
        <w:rPr>
          <w:rFonts w:ascii="Arial"/>
          <w:sz w:val="19"/>
        </w:rPr>
      </w:pPr>
      <w:r>
        <w:rPr>
          <w:rFonts w:ascii="Arial"/>
          <w:sz w:val="14"/>
        </w:rPr>
        <w:t xml:space="preserve">Email: </w:t>
      </w:r>
      <w:r>
        <w:rPr>
          <w:noProof/>
          <w:lang w:val="en-ZA" w:eastAsia="en-ZA"/>
        </w:rPr>
        <mc:AlternateContent>
          <mc:Choice Requires="wps">
            <w:drawing>
              <wp:anchor distT="0" distB="0" distL="0" distR="0" simplePos="0" relativeHeight="251660800" behindDoc="0" locked="0" layoutInCell="1" allowOverlap="1" wp14:anchorId="33D237BC" wp14:editId="22B0E4AA">
                <wp:simplePos x="0" y="0"/>
                <wp:positionH relativeFrom="page">
                  <wp:posOffset>2058670</wp:posOffset>
                </wp:positionH>
                <wp:positionV relativeFrom="paragraph">
                  <wp:posOffset>168275</wp:posOffset>
                </wp:positionV>
                <wp:extent cx="3442335" cy="0"/>
                <wp:effectExtent l="10795" t="6985" r="13970" b="1206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D417C"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mDf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KkSId&#10;SLQViqM8TKY3roSEldrZ0Bs9qxez1fS7Q0qvWqIOPDJ8vRgoy0JF8lASNs4A/r7/rBnkkKPXcUzn&#10;xnYBEgaAzlGNy10NfvaIws+8KCZ5DrT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ci&#10;YN8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Pr>
          <w:rFonts w:ascii="Arial"/>
          <w:sz w:val="14"/>
        </w:rPr>
        <w:t>ChiyanzuI@arc.agric.za</w:t>
      </w:r>
    </w:p>
    <w:p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rsidR="00B77E33" w:rsidRDefault="00B77E33" w:rsidP="00BA490C">
      <w:bookmarkStart w:id="0" w:name="_GoBack"/>
      <w:bookmarkEnd w:id="0"/>
    </w:p>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86E44"/>
    <w:rsid w:val="000A68EC"/>
    <w:rsid w:val="002337A9"/>
    <w:rsid w:val="002B00F4"/>
    <w:rsid w:val="002F113A"/>
    <w:rsid w:val="003C2C69"/>
    <w:rsid w:val="00800744"/>
    <w:rsid w:val="00830D3B"/>
    <w:rsid w:val="00A83286"/>
    <w:rsid w:val="00B77E33"/>
    <w:rsid w:val="00BA490C"/>
    <w:rsid w:val="00C21E2D"/>
    <w:rsid w:val="00D04675"/>
    <w:rsid w:val="00D414BF"/>
    <w:rsid w:val="00DA6E08"/>
    <w:rsid w:val="00FD337D"/>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4AE9"/>
  <w15:docId w15:val="{179CD51B-F11E-494F-ABD8-41F80F3B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unhideWhenUsed/>
    <w:qFormat/>
    <w:rsid w:val="00FD4411"/>
    <w:rPr>
      <w:sz w:val="18"/>
      <w:szCs w:val="18"/>
    </w:rPr>
  </w:style>
  <w:style w:type="character" w:customStyle="1" w:styleId="BodyTextChar">
    <w:name w:val="Body Text Char"/>
    <w:basedOn w:val="DefaultParagraphFont"/>
    <w:link w:val="BodyText"/>
    <w:uiPriority w:val="1"/>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Idan Chiyanzu</cp:lastModifiedBy>
  <cp:revision>15</cp:revision>
  <dcterms:created xsi:type="dcterms:W3CDTF">2017-01-07T07:12:00Z</dcterms:created>
  <dcterms:modified xsi:type="dcterms:W3CDTF">2017-09-29T09:27:00Z</dcterms:modified>
</cp:coreProperties>
</file>