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4BC" w:rsidRPr="008E54BC" w:rsidRDefault="008E54BC" w:rsidP="008E54BC">
      <w:pPr>
        <w:jc w:val="center"/>
        <w:rPr>
          <w:rFonts w:ascii="Minion Pro" w:eastAsia="Minion Pro" w:hAnsi="Minion Pro" w:cs="Minion Pro"/>
          <w:b/>
          <w:bCs/>
          <w:color w:val="337AB7"/>
          <w:sz w:val="36"/>
          <w:szCs w:val="36"/>
        </w:rPr>
      </w:pPr>
      <w:r w:rsidRPr="008E54BC">
        <w:rPr>
          <w:rFonts w:ascii="Minion Pro" w:eastAsia="Minion Pro" w:hAnsi="Minion Pro" w:cs="Minion Pro"/>
          <w:b/>
          <w:bCs/>
          <w:color w:val="337AB7"/>
          <w:sz w:val="36"/>
          <w:szCs w:val="36"/>
        </w:rPr>
        <w:t>AN ALGORITHM FOR DEVELOPMENT OF TRANSITION PROBABILITIES MATRICES TO PREDICTING RAMP EVENTS, BASED ON MARKOV MODEL</w:t>
      </w:r>
    </w:p>
    <w:p w:rsidR="008E54BC" w:rsidRDefault="008E54BC" w:rsidP="008E54BC">
      <w:pPr>
        <w:pStyle w:val="Corpodetexto"/>
        <w:spacing w:before="73" w:line="198" w:lineRule="exact"/>
        <w:ind w:left="100" w:right="5987"/>
        <w:rPr>
          <w:rFonts w:ascii="Arial"/>
        </w:rPr>
      </w:pPr>
    </w:p>
    <w:p w:rsidR="00AE3E37" w:rsidRDefault="008E54BC" w:rsidP="00477BC6">
      <w:pPr>
        <w:pStyle w:val="Corpodetexto"/>
        <w:spacing w:before="73" w:line="198" w:lineRule="exact"/>
        <w:ind w:left="100" w:right="58"/>
        <w:jc w:val="center"/>
        <w:rPr>
          <w:rFonts w:ascii="Arial"/>
          <w:sz w:val="20"/>
        </w:rPr>
      </w:pPr>
      <w:r>
        <w:rPr>
          <w:rFonts w:ascii="Arial"/>
        </w:rPr>
        <w:t xml:space="preserve">MS.c. Eng. Hermes Jose Loschi, </w:t>
      </w:r>
      <w:r w:rsidR="005973B9">
        <w:rPr>
          <w:rFonts w:ascii="Arial"/>
        </w:rPr>
        <w:t>Ph</w:t>
      </w:r>
      <w:r>
        <w:rPr>
          <w:rFonts w:ascii="Arial"/>
        </w:rPr>
        <w:t>.</w:t>
      </w:r>
      <w:r w:rsidR="005973B9">
        <w:rPr>
          <w:rFonts w:ascii="Arial"/>
        </w:rPr>
        <w:t>D</w:t>
      </w:r>
      <w:r>
        <w:rPr>
          <w:rFonts w:ascii="Arial"/>
        </w:rPr>
        <w:t xml:space="preserve"> candidate</w:t>
      </w:r>
      <w:r w:rsidR="005973B9">
        <w:rPr>
          <w:rFonts w:ascii="Arial"/>
        </w:rPr>
        <w:t>,</w:t>
      </w:r>
      <w:r>
        <w:rPr>
          <w:rFonts w:ascii="Arial"/>
        </w:rPr>
        <w:t xml:space="preserve"> </w:t>
      </w:r>
      <w:r w:rsidRPr="008E54BC">
        <w:rPr>
          <w:rFonts w:ascii="Arial"/>
        </w:rPr>
        <w:t>Department of Communications (DECOM) of the Faculty of Electrical and Computer Engineering (FEEC) at State University of Campinas (UNICAMP),</w:t>
      </w:r>
      <w:r>
        <w:rPr>
          <w:rFonts w:ascii="Arial"/>
        </w:rPr>
        <w:t xml:space="preserve"> SP-Brazil</w:t>
      </w:r>
    </w:p>
    <w:p w:rsidR="00AE3E37" w:rsidRDefault="00AE3E37">
      <w:pPr>
        <w:pStyle w:val="Corpodetexto"/>
        <w:spacing w:before="3"/>
        <w:rPr>
          <w:rFonts w:ascii="Arial"/>
          <w:sz w:val="21"/>
        </w:rPr>
      </w:pPr>
    </w:p>
    <w:p w:rsidR="00AE3E37" w:rsidRDefault="00AE3E37">
      <w:pPr>
        <w:rPr>
          <w:rFonts w:ascii="Arial"/>
          <w:sz w:val="21"/>
        </w:rPr>
        <w:sectPr w:rsidR="00AE3E37" w:rsidSect="008E54BC">
          <w:headerReference w:type="default" r:id="rId8"/>
          <w:footerReference w:type="default" r:id="rId9"/>
          <w:type w:val="continuous"/>
          <w:pgSz w:w="11910" w:h="16840"/>
          <w:pgMar w:top="1276"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bookmarkStart w:id="0" w:name="_GoBack"/>
      <w:bookmarkEnd w:id="0"/>
    </w:p>
    <w:p w:rsidR="008E54BC" w:rsidRPr="008E54BC" w:rsidRDefault="008E54BC" w:rsidP="008E54BC">
      <w:pPr>
        <w:ind w:left="142"/>
        <w:jc w:val="both"/>
      </w:pPr>
      <w:r w:rsidRPr="008E54BC">
        <w:t>The uncertainly management is a key challenge in grid operations and the probabilistic forecasts will play an important role toward this end as the penetration of photovoltaic solar generation continues to increase. Since so many different aspects can influence in forecasting of photovoltaic solar generation, mainly for this forecasting does an intermediate step of global solar irradiance forecasting, the probabilistic forecasting to predicting ramp events is increasingly used to deal with the factor of global solar irradiance dependence to the dynamics atmospheric and presence and level of clouds, and contribute to higher prediction accuracy through characterization of the ramp events. This paper proposes an algorithm for development of transition probabilities matrices to predicting ramp events, based on Markov model, for application, mainly in local site where there is the absence of a long amount of solarimetric dates and clouds patters information to represent the best characteristics of the ramp events. The tests are repeated for solar data set and observations are presented, prediction modeling results with distinct properties in terms of accuracy are achieved.</w:t>
      </w:r>
      <w:r>
        <w:t xml:space="preserve"> </w:t>
      </w:r>
      <w:r w:rsidRPr="008E54BC">
        <w:t xml:space="preserve">Through the calculation results of RMSE for the tests of the solar data set referring to the January 2015 of Natal city, It was possible to establish a performance of the prediction method, at time intervals that presented ramp events, with an accuracy </w:t>
      </w:r>
      <w:proofErr w:type="gramStart"/>
      <w:r w:rsidRPr="008E54BC">
        <w:t xml:space="preserve">from </w:t>
      </w:r>
      <w:proofErr w:type="gramEnd"/>
      <m:oMath>
        <m:r>
          <m:rPr>
            <m:sty m:val="p"/>
          </m:rPr>
          <w:rPr>
            <w:rFonts w:ascii="Cambria Math" w:hAnsi="Cambria Math"/>
          </w:rPr>
          <m:t>6,94% to 12,35%</m:t>
        </m:r>
      </m:oMath>
      <w:r w:rsidRPr="008E54BC">
        <w:t xml:space="preserve">. </w:t>
      </w:r>
      <w:r w:rsidRPr="008E54BC">
        <w:t xml:space="preserve">Through the calculation results of RMSE for the tests of the solar data set referring to the January 2016 of Natal city, It was possible to establish a performance of the prediction method, at time intervals that presented ramp events, with an accuracy </w:t>
      </w:r>
      <w:proofErr w:type="gramStart"/>
      <w:r w:rsidRPr="008E54BC">
        <w:t xml:space="preserve">from </w:t>
      </w:r>
      <m:oMath>
        <m:r>
          <m:rPr>
            <m:sty m:val="p"/>
          </m:rPr>
          <w:rPr>
            <w:rFonts w:ascii="Cambria Math" w:hAnsi="Cambria Math"/>
          </w:rPr>
          <m:t>7</m:t>
        </m:r>
        <w:proofErr w:type="gramEnd"/>
        <m:r>
          <m:rPr>
            <m:sty m:val="p"/>
          </m:rPr>
          <w:rPr>
            <w:rFonts w:ascii="Cambria Math" w:hAnsi="Cambria Math"/>
          </w:rPr>
          <m:t>,06% to 19,36%</m:t>
        </m:r>
      </m:oMath>
      <w:r w:rsidRPr="008E54BC">
        <w:t xml:space="preserve"> .</w:t>
      </w:r>
      <w:r w:rsidR="00B14221">
        <w:t xml:space="preserve"> T</w:t>
      </w:r>
      <w:r w:rsidR="00B14221" w:rsidRPr="00B14221">
        <w:t xml:space="preserve">his algorithm can be useful and contribute to higher prediction accuracy of global solar irradiance incidence, </w:t>
      </w:r>
      <w:r w:rsidR="00B14221" w:rsidRPr="00B14221">
        <w:t>consequently</w:t>
      </w:r>
      <w:r w:rsidR="00B14221">
        <w:t xml:space="preserve">, </w:t>
      </w:r>
      <w:r w:rsidR="00B14221" w:rsidRPr="008E54BC">
        <w:t>photovoltaic solar generation</w:t>
      </w:r>
      <w:r w:rsidR="00B14221" w:rsidRPr="00B14221">
        <w:t>.</w:t>
      </w:r>
    </w:p>
    <w:p w:rsidR="00AE3E37" w:rsidRDefault="00A9710C">
      <w:pPr>
        <w:pStyle w:val="Ttulo3"/>
        <w:spacing w:before="74"/>
        <w:rPr>
          <w:color w:val="BF5A14"/>
        </w:rPr>
      </w:pPr>
      <w:r>
        <w:rPr>
          <w:b w:val="0"/>
        </w:rPr>
        <w:br w:type="column"/>
      </w:r>
      <w:r>
        <w:rPr>
          <w:color w:val="BF5A14"/>
        </w:rPr>
        <w:lastRenderedPageBreak/>
        <w:t>Image</w:t>
      </w:r>
    </w:p>
    <w:p w:rsidR="002C0F69" w:rsidRPr="002C0F69" w:rsidRDefault="00477BC6">
      <w:pPr>
        <w:pStyle w:val="Ttulo3"/>
        <w:spacing w:before="74"/>
        <w:rPr>
          <w:sz w:val="10"/>
        </w:rPr>
      </w:pPr>
      <w:r>
        <w:rPr>
          <w:noProof/>
          <w:lang w:val="pt-BR" w:eastAsia="pt-BR"/>
        </w:rPr>
        <w:drawing>
          <wp:anchor distT="0" distB="0" distL="0" distR="0" simplePos="0" relativeHeight="251658240" behindDoc="0" locked="0" layoutInCell="1" allowOverlap="1" wp14:anchorId="24A70826" wp14:editId="36F067F5">
            <wp:simplePos x="0" y="0"/>
            <wp:positionH relativeFrom="page">
              <wp:posOffset>3858895</wp:posOffset>
            </wp:positionH>
            <wp:positionV relativeFrom="paragraph">
              <wp:posOffset>53340</wp:posOffset>
            </wp:positionV>
            <wp:extent cx="3265805" cy="2185035"/>
            <wp:effectExtent l="0" t="0" r="0" b="571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5805" cy="2185035"/>
                    </a:xfrm>
                    <a:prstGeom prst="rect">
                      <a:avLst/>
                    </a:prstGeom>
                  </pic:spPr>
                </pic:pic>
              </a:graphicData>
            </a:graphic>
            <wp14:sizeRelH relativeFrom="margin">
              <wp14:pctWidth>0</wp14:pctWidth>
            </wp14:sizeRelH>
            <wp14:sizeRelV relativeFrom="margin">
              <wp14:pctHeight>0</wp14:pctHeight>
            </wp14:sizeRelV>
          </wp:anchor>
        </w:drawing>
      </w:r>
    </w:p>
    <w:p w:rsidR="00B14221" w:rsidRPr="00477BC6" w:rsidRDefault="00B14221" w:rsidP="00477BC6">
      <w:pPr>
        <w:spacing w:line="204" w:lineRule="exact"/>
        <w:jc w:val="center"/>
        <w:rPr>
          <w:sz w:val="20"/>
        </w:rPr>
      </w:pPr>
      <w:r w:rsidRPr="00477BC6">
        <w:rPr>
          <w:sz w:val="20"/>
        </w:rPr>
        <w:t xml:space="preserve">Fig.1 </w:t>
      </w:r>
      <w:proofErr w:type="gramStart"/>
      <w:r w:rsidRPr="00477BC6">
        <w:rPr>
          <w:sz w:val="20"/>
        </w:rPr>
        <w:t>Who</w:t>
      </w:r>
      <w:proofErr w:type="gramEnd"/>
      <w:r w:rsidRPr="00477BC6">
        <w:rPr>
          <w:sz w:val="20"/>
        </w:rPr>
        <w:t xml:space="preserve"> will benefit </w:t>
      </w:r>
      <w:r w:rsidR="00477BC6" w:rsidRPr="00477BC6">
        <w:rPr>
          <w:sz w:val="20"/>
        </w:rPr>
        <w:t>from the prediction information</w:t>
      </w:r>
      <w:r w:rsidR="00477BC6">
        <w:rPr>
          <w:sz w:val="20"/>
        </w:rPr>
        <w:t>!</w:t>
      </w:r>
    </w:p>
    <w:p w:rsidR="005973B9" w:rsidRDefault="005973B9" w:rsidP="005973B9">
      <w:pPr>
        <w:spacing w:line="204" w:lineRule="exact"/>
        <w:rPr>
          <w:rFonts w:ascii="Arial"/>
          <w:b/>
          <w:sz w:val="20"/>
        </w:rPr>
      </w:pPr>
      <w:r w:rsidRPr="00B14221">
        <w:br/>
      </w:r>
      <w:r>
        <w:rPr>
          <w:rFonts w:ascii="Arial"/>
          <w:b/>
          <w:color w:val="BF5A14"/>
          <w:sz w:val="20"/>
        </w:rPr>
        <w:t xml:space="preserve">Recent Publications </w:t>
      </w:r>
    </w:p>
    <w:p w:rsidR="00B14221" w:rsidRPr="00B14221" w:rsidRDefault="00B14221" w:rsidP="00B14221">
      <w:pPr>
        <w:pStyle w:val="PargrafodaLista"/>
        <w:numPr>
          <w:ilvl w:val="0"/>
          <w:numId w:val="3"/>
        </w:numPr>
        <w:tabs>
          <w:tab w:val="left" w:pos="384"/>
        </w:tabs>
        <w:spacing w:before="103" w:line="216" w:lineRule="exact"/>
        <w:ind w:right="138" w:hanging="283"/>
        <w:rPr>
          <w:sz w:val="18"/>
        </w:rPr>
      </w:pPr>
      <w:r w:rsidRPr="00B14221">
        <w:rPr>
          <w:sz w:val="18"/>
        </w:rPr>
        <w:t>E. J. Lawrence, Renewable Energy Integration: practical management of variability, uncertainty, and flexibility in power grids. Elsevier Inc., 2014.</w:t>
      </w:r>
    </w:p>
    <w:p w:rsidR="00B14221" w:rsidRPr="00B14221" w:rsidRDefault="00B14221" w:rsidP="00B14221">
      <w:pPr>
        <w:pStyle w:val="PargrafodaLista"/>
        <w:numPr>
          <w:ilvl w:val="0"/>
          <w:numId w:val="3"/>
        </w:numPr>
        <w:tabs>
          <w:tab w:val="left" w:pos="384"/>
        </w:tabs>
        <w:spacing w:before="103" w:line="216" w:lineRule="exact"/>
        <w:ind w:right="138" w:hanging="283"/>
        <w:rPr>
          <w:sz w:val="18"/>
        </w:rPr>
      </w:pPr>
      <w:r w:rsidRPr="00B14221">
        <w:rPr>
          <w:sz w:val="18"/>
        </w:rPr>
        <w:t>H. J. Loschi, Y. Iano, J. León, A. Moretti, F. D. Conte, and H. Braga, “A Review on Photovoltaic Systems : Mechanisms and Methods for Irradiation Tracking and Prediction,” Smart Grid Renew. Energy, vol. 6, no. July, pp. 187–208, 2015.</w:t>
      </w:r>
    </w:p>
    <w:p w:rsidR="00B14221" w:rsidRPr="00B14221" w:rsidRDefault="00B14221" w:rsidP="00B14221">
      <w:pPr>
        <w:pStyle w:val="PargrafodaLista"/>
        <w:numPr>
          <w:ilvl w:val="0"/>
          <w:numId w:val="3"/>
        </w:numPr>
        <w:tabs>
          <w:tab w:val="left" w:pos="384"/>
        </w:tabs>
        <w:spacing w:before="103" w:line="216" w:lineRule="exact"/>
        <w:ind w:right="138" w:hanging="283"/>
        <w:rPr>
          <w:sz w:val="18"/>
        </w:rPr>
      </w:pPr>
      <w:r w:rsidRPr="00B14221">
        <w:rPr>
          <w:sz w:val="18"/>
        </w:rPr>
        <w:tab/>
        <w:t>H. J. Loschi, “Proposal of a global solar irradiance prediction complementary method for short-term, based on Markov processes,” State University of Campinas, 2017.</w:t>
      </w:r>
    </w:p>
    <w:p w:rsidR="00B14221" w:rsidRPr="00B14221" w:rsidRDefault="00B14221" w:rsidP="00B14221">
      <w:pPr>
        <w:pStyle w:val="PargrafodaLista"/>
        <w:numPr>
          <w:ilvl w:val="0"/>
          <w:numId w:val="3"/>
        </w:numPr>
        <w:tabs>
          <w:tab w:val="left" w:pos="384"/>
        </w:tabs>
        <w:spacing w:before="103" w:line="216" w:lineRule="exact"/>
        <w:ind w:right="138" w:hanging="283"/>
        <w:rPr>
          <w:sz w:val="18"/>
        </w:rPr>
      </w:pPr>
      <w:r w:rsidRPr="00B14221">
        <w:rPr>
          <w:sz w:val="18"/>
        </w:rPr>
        <w:tab/>
        <w:t>N. Kakimoto, S. Matsumura, K. Kobayashi, and M. Shoji, “Two-State Markov Model of Solar Radiation and Consideration on Storage Size,” vol. 5, no. 1, pp. 171–181, 2014.</w:t>
      </w:r>
    </w:p>
    <w:p w:rsidR="00B14221" w:rsidRPr="00B14221" w:rsidRDefault="00B14221" w:rsidP="00B14221">
      <w:pPr>
        <w:pStyle w:val="PargrafodaLista"/>
        <w:numPr>
          <w:ilvl w:val="0"/>
          <w:numId w:val="3"/>
        </w:numPr>
        <w:tabs>
          <w:tab w:val="left" w:pos="384"/>
        </w:tabs>
        <w:spacing w:before="103" w:line="216" w:lineRule="exact"/>
        <w:ind w:right="138" w:hanging="283"/>
        <w:rPr>
          <w:sz w:val="18"/>
        </w:rPr>
      </w:pPr>
      <w:r w:rsidRPr="00B14221">
        <w:rPr>
          <w:sz w:val="18"/>
        </w:rPr>
        <w:tab/>
        <w:t xml:space="preserve">G. Rosenwald and N. Navid, “Market solutions for managing ramp flexibility with high penetration of renewable </w:t>
      </w:r>
      <w:proofErr w:type="gramStart"/>
      <w:r w:rsidRPr="00B14221">
        <w:rPr>
          <w:sz w:val="18"/>
        </w:rPr>
        <w:t>resources.,</w:t>
      </w:r>
      <w:proofErr w:type="gramEnd"/>
      <w:r w:rsidRPr="00B14221">
        <w:rPr>
          <w:sz w:val="18"/>
        </w:rPr>
        <w:t>” IEEE Trans. Sustain. Energy, vol. 3, no. 4, pp. 784–90, 2012.</w:t>
      </w:r>
    </w:p>
    <w:p w:rsidR="00AE3E37" w:rsidRPr="00477BC6" w:rsidRDefault="00B14221" w:rsidP="002C0F69">
      <w:pPr>
        <w:pStyle w:val="PargrafodaLista"/>
        <w:numPr>
          <w:ilvl w:val="0"/>
          <w:numId w:val="3"/>
        </w:numPr>
        <w:tabs>
          <w:tab w:val="left" w:pos="384"/>
        </w:tabs>
        <w:spacing w:before="103" w:line="216" w:lineRule="exact"/>
        <w:ind w:right="138" w:hanging="283"/>
        <w:rPr>
          <w:sz w:val="18"/>
        </w:rPr>
      </w:pPr>
      <w:r w:rsidRPr="00477BC6">
        <w:rPr>
          <w:sz w:val="18"/>
        </w:rPr>
        <w:tab/>
        <w:t>S. Pelland, J. Remund, J. Kleissl, T. Oozeki, and K. De Brabandere, “Photovoltaic and Solar Forecasting: State of the Art,” Int. Energy Agency Photovolt. Power Syst. Program. Rep. IEA PVPS T14, pp. 1–40, 2013.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14221" w:rsidP="00404E5B">
      <w:pPr>
        <w:spacing w:before="92"/>
        <w:ind w:right="4234"/>
        <w:rPr>
          <w:rFonts w:ascii="Arial"/>
        </w:rPr>
      </w:pPr>
      <w:r>
        <w:rPr>
          <w:noProof/>
          <w:lang w:val="pt-BR" w:eastAsia="pt-BR"/>
        </w:rPr>
        <w:drawing>
          <wp:anchor distT="0" distB="0" distL="114300" distR="114300" simplePos="0" relativeHeight="251659264" behindDoc="1" locked="0" layoutInCell="1" allowOverlap="1" wp14:anchorId="7B56E63C" wp14:editId="4FCB86E7">
            <wp:simplePos x="0" y="0"/>
            <wp:positionH relativeFrom="column">
              <wp:posOffset>160020</wp:posOffset>
            </wp:positionH>
            <wp:positionV relativeFrom="paragraph">
              <wp:posOffset>57785</wp:posOffset>
            </wp:positionV>
            <wp:extent cx="690245" cy="796925"/>
            <wp:effectExtent l="0" t="0" r="0" b="3175"/>
            <wp:wrapTight wrapText="bothSides">
              <wp:wrapPolygon edited="0">
                <wp:start x="0" y="0"/>
                <wp:lineTo x="0" y="21170"/>
                <wp:lineTo x="20865" y="21170"/>
                <wp:lineTo x="2086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90245" cy="79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477BC6" w:rsidRDefault="00477BC6" w:rsidP="00477BC6">
      <w:pPr>
        <w:spacing w:before="41" w:line="154" w:lineRule="exact"/>
        <w:ind w:left="213" w:right="231"/>
        <w:jc w:val="both"/>
        <w:rPr>
          <w:rFonts w:ascii="Arial"/>
          <w:sz w:val="14"/>
        </w:rPr>
      </w:pPr>
      <w:r w:rsidRPr="00477BC6">
        <w:rPr>
          <w:rFonts w:ascii="Arial"/>
          <w:sz w:val="14"/>
        </w:rPr>
        <w:t>Hermes Jos</w:t>
      </w:r>
      <w:r w:rsidRPr="00477BC6">
        <w:rPr>
          <w:rFonts w:ascii="Arial"/>
          <w:sz w:val="14"/>
        </w:rPr>
        <w:t>é</w:t>
      </w:r>
      <w:r w:rsidRPr="00477BC6">
        <w:rPr>
          <w:rFonts w:ascii="Arial"/>
          <w:sz w:val="14"/>
        </w:rPr>
        <w:t xml:space="preserve"> Loschi is currently working as a Professor in photovoltaic systems courses at </w:t>
      </w:r>
      <w:proofErr w:type="spellStart"/>
      <w:r w:rsidRPr="00477BC6">
        <w:rPr>
          <w:rFonts w:ascii="Arial"/>
          <w:sz w:val="14"/>
        </w:rPr>
        <w:t>Unicamp's</w:t>
      </w:r>
      <w:proofErr w:type="spellEnd"/>
      <w:r w:rsidRPr="00477BC6">
        <w:rPr>
          <w:rFonts w:ascii="Arial"/>
          <w:sz w:val="14"/>
        </w:rPr>
        <w:t xml:space="preserve"> Extension School (EXTECAMP) and he is a Ph.D candidate by the Department of Communications (DECOM) of the Faculty of Electrical and Computer Engineering (FEEC) at State University of Campinas (UNICAMP), SP-Brazil. He is also a Technical Program and Finance Chair of Brazilian Technology Symposium (</w:t>
      </w:r>
      <w:proofErr w:type="spellStart"/>
      <w:r w:rsidRPr="00477BC6">
        <w:rPr>
          <w:rFonts w:ascii="Arial"/>
          <w:sz w:val="14"/>
        </w:rPr>
        <w:t>BTSym</w:t>
      </w:r>
      <w:proofErr w:type="spellEnd"/>
      <w:r w:rsidRPr="00477BC6">
        <w:rPr>
          <w:rFonts w:ascii="Arial"/>
          <w:sz w:val="14"/>
        </w:rPr>
        <w:t xml:space="preserve">). In the research area of renewable energy, he had the opportunity to: published five articles in scientific </w:t>
      </w:r>
      <w:proofErr w:type="gramStart"/>
      <w:r w:rsidRPr="00477BC6">
        <w:rPr>
          <w:rFonts w:ascii="Arial"/>
          <w:sz w:val="14"/>
        </w:rPr>
        <w:t>journals,</w:t>
      </w:r>
      <w:proofErr w:type="gramEnd"/>
      <w:r w:rsidRPr="00477BC6">
        <w:rPr>
          <w:rFonts w:ascii="Arial"/>
          <w:sz w:val="14"/>
        </w:rPr>
        <w:t xml:space="preserve"> published one book on photovoltaic systems and published seven articles in conferences proceedings. He also </w:t>
      </w:r>
      <w:proofErr w:type="gramStart"/>
      <w:r w:rsidRPr="00477BC6">
        <w:rPr>
          <w:rFonts w:ascii="Arial"/>
          <w:sz w:val="14"/>
        </w:rPr>
        <w:t>develop</w:t>
      </w:r>
      <w:proofErr w:type="gramEnd"/>
      <w:r w:rsidRPr="00477BC6">
        <w:rPr>
          <w:rFonts w:ascii="Arial"/>
          <w:sz w:val="14"/>
        </w:rPr>
        <w:t xml:space="preserve"> review activities for reputed scientific journals, as the Renewable &amp; Sustainable Energy Reviews from Elsevier</w:t>
      </w:r>
      <w:r>
        <w:rPr>
          <w:rFonts w:ascii="Arial"/>
          <w:sz w:val="14"/>
        </w:rPr>
        <w:t xml:space="preserve">.  </w:t>
      </w:r>
    </w:p>
    <w:p w:rsidR="00477BC6" w:rsidRDefault="00477BC6" w:rsidP="00477BC6">
      <w:pPr>
        <w:spacing w:before="41" w:line="154" w:lineRule="exact"/>
        <w:ind w:left="213" w:right="231"/>
        <w:jc w:val="both"/>
        <w:rPr>
          <w:rFonts w:ascii="Arial"/>
          <w:sz w:val="14"/>
        </w:rPr>
      </w:pPr>
    </w:p>
    <w:p w:rsidR="00AE3E37" w:rsidRDefault="00A9710C" w:rsidP="00477BC6">
      <w:pPr>
        <w:spacing w:before="41" w:line="154" w:lineRule="exact"/>
        <w:ind w:left="213" w:right="231"/>
        <w:jc w:val="both"/>
        <w:rPr>
          <w:rFonts w:ascii="Arial"/>
          <w:sz w:val="14"/>
        </w:rPr>
      </w:pPr>
      <w:r>
        <w:rPr>
          <w:rFonts w:ascii="Arial"/>
          <w:sz w:val="14"/>
        </w:rPr>
        <w:t xml:space="preserve">Email: </w:t>
      </w:r>
      <w:hyperlink r:id="rId12" w:history="1">
        <w:r w:rsidR="00B14221" w:rsidRPr="00B14221">
          <w:rPr>
            <w:rStyle w:val="Hyperlink"/>
            <w:rFonts w:ascii="Arial"/>
            <w:sz w:val="14"/>
          </w:rPr>
          <w:t>eng.hermes.loschi@ieee.org</w:t>
        </w:r>
      </w:hyperlink>
    </w:p>
    <w:p w:rsidR="00B14221" w:rsidRDefault="00292ED9" w:rsidP="00B14221">
      <w:pPr>
        <w:pStyle w:val="Corpodetexto"/>
        <w:spacing w:before="2"/>
        <w:rPr>
          <w:rFonts w:ascii="Minion Pro"/>
          <w:b/>
          <w:sz w:val="20"/>
        </w:rPr>
      </w:pPr>
      <w:r>
        <w:rPr>
          <w:noProof/>
          <w:lang w:val="pt-BR" w:eastAsia="pt-BR"/>
        </w:rPr>
        <mc:AlternateContent>
          <mc:Choice Requires="wps">
            <w:drawing>
              <wp:anchor distT="0" distB="0" distL="0" distR="0" simplePos="0" relativeHeight="1072" behindDoc="0" locked="0" layoutInCell="1" allowOverlap="1" wp14:anchorId="630BFC5B" wp14:editId="5DDD09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B14221" w:rsidSect="00477BC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EA7" w:rsidRDefault="004F3EA7">
      <w:r>
        <w:separator/>
      </w:r>
    </w:p>
  </w:endnote>
  <w:endnote w:type="continuationSeparator" w:id="0">
    <w:p w:rsidR="004F3EA7" w:rsidRDefault="004F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750766C7" wp14:editId="37FEDA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7000501" wp14:editId="66CCE0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CDB4E88" wp14:editId="6460A5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EA7" w:rsidRDefault="004F3EA7">
      <w:r>
        <w:separator/>
      </w:r>
    </w:p>
  </w:footnote>
  <w:footnote w:type="continuationSeparator" w:id="0">
    <w:p w:rsidR="004F3EA7" w:rsidRDefault="004F3E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33D76538" wp14:editId="6952E6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2C4FFF86" wp14:editId="140A95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3397"/>
    <w:rsid w:val="001263DF"/>
    <w:rsid w:val="00292ED9"/>
    <w:rsid w:val="002C0F69"/>
    <w:rsid w:val="00404E5B"/>
    <w:rsid w:val="00414F7B"/>
    <w:rsid w:val="004355DC"/>
    <w:rsid w:val="004749B4"/>
    <w:rsid w:val="00477BC6"/>
    <w:rsid w:val="00494130"/>
    <w:rsid w:val="004F3523"/>
    <w:rsid w:val="004F3EA7"/>
    <w:rsid w:val="005973B9"/>
    <w:rsid w:val="005B3A56"/>
    <w:rsid w:val="006060CE"/>
    <w:rsid w:val="0063497F"/>
    <w:rsid w:val="00873DF0"/>
    <w:rsid w:val="008756E6"/>
    <w:rsid w:val="008E54BC"/>
    <w:rsid w:val="009B2D44"/>
    <w:rsid w:val="00A07E82"/>
    <w:rsid w:val="00A9710C"/>
    <w:rsid w:val="00AE3E37"/>
    <w:rsid w:val="00B14221"/>
    <w:rsid w:val="00B21A57"/>
    <w:rsid w:val="00B73036"/>
    <w:rsid w:val="00C33602"/>
    <w:rsid w:val="00CD6F55"/>
    <w:rsid w:val="00DE3104"/>
    <w:rsid w:val="00EC46C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eng.hermes.loschi@iee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668</Words>
  <Characters>3612</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Hermes</cp:lastModifiedBy>
  <cp:revision>6</cp:revision>
  <cp:lastPrinted>2017-07-14T18:58:00Z</cp:lastPrinted>
  <dcterms:created xsi:type="dcterms:W3CDTF">2017-07-14T18:31:00Z</dcterms:created>
  <dcterms:modified xsi:type="dcterms:W3CDTF">2017-07-14T18:58:00Z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