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F79E3" w14:textId="09ED13C3" w:rsidR="00FD4411" w:rsidRDefault="005D582B" w:rsidP="00FD4411">
      <w:pPr>
        <w:pStyle w:val="Heading1"/>
        <w:spacing w:before="170"/>
        <w:ind w:left="0"/>
      </w:pPr>
      <w:r>
        <w:rPr>
          <w:color w:val="337AB7"/>
        </w:rPr>
        <w:t>Tackling Carbon Catabolite Repression in Parageobacillus thermoglucosidasius</w:t>
      </w:r>
    </w:p>
    <w:p w14:paraId="7903E67B" w14:textId="3F550C6B" w:rsidR="00FD4411" w:rsidRPr="005D582B" w:rsidRDefault="005D582B" w:rsidP="005D582B">
      <w:pPr>
        <w:pStyle w:val="BodyText"/>
        <w:spacing w:before="73" w:line="198" w:lineRule="exact"/>
        <w:ind w:right="5500"/>
        <w:rPr>
          <w:rFonts w:ascii="Arial"/>
        </w:rPr>
      </w:pPr>
      <w:r w:rsidRPr="005D582B">
        <w:rPr>
          <w:rFonts w:ascii="Arial"/>
        </w:rPr>
        <w:t xml:space="preserve">Jinghui Liang, </w:t>
      </w:r>
      <w:r w:rsidRPr="005D582B">
        <w:rPr>
          <w:rFonts w:ascii="Arial"/>
        </w:rPr>
        <w:t>MSCA-FIRE</w:t>
      </w:r>
      <w:r w:rsidRPr="005D582B">
        <w:rPr>
          <w:rFonts w:ascii="Arial"/>
        </w:rPr>
        <w:t xml:space="preserve"> PhD</w:t>
      </w:r>
      <w:r w:rsidRPr="005D582B">
        <w:rPr>
          <w:rFonts w:ascii="Arial"/>
        </w:rPr>
        <w:t xml:space="preserve"> Fellow</w:t>
      </w:r>
      <w:r w:rsidRPr="005D582B">
        <w:rPr>
          <w:rFonts w:ascii="Arial"/>
        </w:rPr>
        <w:t>, University of Bath, UK</w:t>
      </w:r>
    </w:p>
    <w:p w14:paraId="25AE07FA" w14:textId="77777777" w:rsidR="00FD4411" w:rsidRDefault="00FD4411" w:rsidP="00FD4411">
      <w:pPr>
        <w:pStyle w:val="BodyText"/>
        <w:rPr>
          <w:rFonts w:ascii="Arial"/>
          <w:sz w:val="20"/>
        </w:rPr>
      </w:pPr>
    </w:p>
    <w:p w14:paraId="3C38C9CB" w14:textId="52B4456C"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77777777" w:rsidR="00FD4411" w:rsidRDefault="00FD4411" w:rsidP="00FD4411">
      <w:pPr>
        <w:pStyle w:val="Heading3"/>
        <w:spacing w:before="147"/>
        <w:jc w:val="both"/>
      </w:pPr>
      <w:r>
        <w:rPr>
          <w:color w:val="BF5A14"/>
        </w:rPr>
        <w:t>Abstract (300 word limit)</w:t>
      </w:r>
    </w:p>
    <w:p w14:paraId="4C9B2F92" w14:textId="0F1C49DA" w:rsidR="00D46EDB" w:rsidRDefault="00D46EDB" w:rsidP="00224C22">
      <w:pPr>
        <w:pStyle w:val="Heading3"/>
        <w:adjustRightInd w:val="0"/>
        <w:spacing w:before="120" w:after="240"/>
        <w:ind w:left="142" w:right="142"/>
        <w:jc w:val="both"/>
        <w:rPr>
          <w:rFonts w:ascii="Calibri" w:eastAsia="Calibri" w:hAnsi="Calibri" w:cs="Calibri"/>
          <w:b w:val="0"/>
          <w:bCs w:val="0"/>
          <w:sz w:val="18"/>
          <w:szCs w:val="22"/>
        </w:rPr>
      </w:pPr>
      <w:r w:rsidRPr="00D46EDB">
        <w:rPr>
          <w:rFonts w:ascii="Calibri" w:eastAsia="Calibri" w:hAnsi="Calibri" w:cs="Calibri"/>
          <w:b w:val="0"/>
          <w:bCs w:val="0"/>
          <w:sz w:val="18"/>
          <w:szCs w:val="22"/>
        </w:rPr>
        <w:t>The genus Parageobacillus are thermophilic gram-positive bacteria of industrial interest for lignocellulosic biomass fermentation. Though Parageobacillus spp. are facultative anaerobes microbes capable of fermenting a wide range of C6 and C5 sugars, carbon catabolite repression (CCR) has been a bottleneck in the complete utilization of mixed-sugar substrates, constraining microbial growth rate and productivity. This study aims to remove CCR from Parageobacillus thermoglucosidasius DSM2542 with devising methods in order to optimize its industrial performance.</w:t>
      </w:r>
    </w:p>
    <w:p w14:paraId="58B259C1" w14:textId="77777777" w:rsidR="00224C22" w:rsidRPr="00224C22" w:rsidRDefault="00224C22" w:rsidP="00224C22">
      <w:pPr>
        <w:pStyle w:val="Heading3"/>
        <w:adjustRightInd w:val="0"/>
        <w:spacing w:before="120" w:after="240"/>
        <w:ind w:left="142" w:right="142"/>
        <w:jc w:val="both"/>
        <w:rPr>
          <w:rFonts w:ascii="Calibri" w:eastAsia="Calibri" w:hAnsi="Calibri" w:cs="Calibri"/>
          <w:b w:val="0"/>
          <w:bCs w:val="0"/>
          <w:sz w:val="18"/>
          <w:szCs w:val="22"/>
        </w:rPr>
      </w:pPr>
      <w:r>
        <w:rPr>
          <w:rFonts w:ascii="Calibri" w:eastAsia="Calibri" w:hAnsi="Calibri" w:cs="Calibri"/>
          <w:b w:val="0"/>
          <w:bCs w:val="0"/>
          <w:sz w:val="18"/>
          <w:szCs w:val="22"/>
        </w:rPr>
        <w:t>Firstly, i</w:t>
      </w:r>
      <w:r w:rsidR="00D46EDB" w:rsidRPr="00D46EDB">
        <w:rPr>
          <w:rFonts w:ascii="Calibri" w:eastAsia="Calibri" w:hAnsi="Calibri" w:cs="Calibri"/>
          <w:b w:val="0"/>
          <w:bCs w:val="0"/>
          <w:sz w:val="18"/>
          <w:szCs w:val="22"/>
        </w:rPr>
        <w:t>n gram-positive bacteria, CCR is mediated via the PTS system through transcriptional regulation of catabolic gene expression. With a preferred PTS sugar in the substrate, high glycolytic activity leads to the accumulation of glucose-6-phosphate and fructose-1,6-biophosphate, resulting in the regulatory phosphorylation of HPr and Crh on Ser46 residue by HPrK</w:t>
      </w:r>
      <w:r w:rsidR="00D46EDB" w:rsidRPr="00D46EDB">
        <w:rPr>
          <w:rFonts w:ascii="Calibri" w:eastAsia="Calibri" w:hAnsi="Calibri" w:cs="Calibri"/>
          <w:b w:val="0"/>
          <w:bCs w:val="0"/>
          <w:sz w:val="18"/>
          <w:szCs w:val="22"/>
        </w:rPr>
        <w:fldChar w:fldCharType="begin"/>
      </w:r>
      <w:r w:rsidR="00D46EDB" w:rsidRPr="00D46EDB">
        <w:rPr>
          <w:rFonts w:ascii="Calibri" w:eastAsia="Calibri" w:hAnsi="Calibri" w:cs="Calibri"/>
          <w:b w:val="0"/>
          <w:bCs w:val="0"/>
          <w:sz w:val="18"/>
          <w:szCs w:val="22"/>
        </w:rPr>
        <w:instrText xml:space="preserve"> ADDIN EN.CITE &lt;EndNote&gt;&lt;Cite&gt;&lt;Author&gt;Fujita&lt;/Author&gt;&lt;Year&gt;2009&lt;/Year&gt;&lt;RecNum&gt;15&lt;/RecNum&gt;&lt;DisplayText&gt;&lt;style face="superscript"&gt;16&lt;/style&gt;&lt;/DisplayText&gt;&lt;record&gt;&lt;rec-number&gt;15&lt;/rec-number&gt;&lt;foreign-keys&gt;&lt;key app="EN" db-id="fsxfprrwud0ed7e9wt8xxr0z59x9at09ev9a" timestamp="1492440331"&gt;15&lt;/key&gt;&lt;/foreign-keys&gt;&lt;ref-type name="Journal Article"&gt;17&lt;/ref-type&gt;&lt;contributors&gt;&lt;authors&gt;&lt;author&gt;Fujita, Yasutaro&lt;/author&gt;&lt;/authors&gt;&lt;/contributors&gt;&lt;titles&gt;&lt;title&gt;Carbon catabolite control of the metabolic network in Bacillus subtilis&lt;/title&gt;&lt;secondary-title&gt;Bioscience, biotechnology, and biochemistry&lt;/secondary-title&gt;&lt;/titles&gt;&lt;periodical&gt;&lt;full-title&gt;Bioscience, biotechnology, and biochemistry&lt;/full-title&gt;&lt;/periodical&gt;&lt;pages&gt;245-259 %@ 1347-6947&lt;/pages&gt;&lt;volume&gt;73&lt;/volume&gt;&lt;number&gt;2&lt;/number&gt;&lt;dates&gt;&lt;year&gt;2009&lt;/year&gt;&lt;/dates&gt;&lt;urls&gt;&lt;related-urls&gt;&lt;url&gt;https://www.jstage.jst.go.jp/article/bbb/73/2/73_80479/_pdf&lt;/url&gt;&lt;/related-urls&gt;&lt;/urls&gt;&lt;/record&gt;&lt;/Cite&gt;&lt;/EndNote&gt;</w:instrText>
      </w:r>
      <w:r w:rsidR="00D46EDB" w:rsidRPr="00D46EDB">
        <w:rPr>
          <w:rFonts w:ascii="Calibri" w:eastAsia="Calibri" w:hAnsi="Calibri" w:cs="Calibri"/>
          <w:b w:val="0"/>
          <w:bCs w:val="0"/>
          <w:sz w:val="18"/>
          <w:szCs w:val="22"/>
        </w:rPr>
        <w:fldChar w:fldCharType="separate"/>
      </w:r>
      <w:r w:rsidR="00D46EDB" w:rsidRPr="00D46EDB">
        <w:rPr>
          <w:rFonts w:ascii="Calibri" w:eastAsia="Calibri" w:hAnsi="Calibri" w:cs="Calibri"/>
          <w:b w:val="0"/>
          <w:bCs w:val="0"/>
          <w:sz w:val="18"/>
          <w:szCs w:val="22"/>
        </w:rPr>
        <w:t>16</w:t>
      </w:r>
      <w:r w:rsidR="00D46EDB" w:rsidRPr="00D46EDB">
        <w:rPr>
          <w:rFonts w:ascii="Calibri" w:eastAsia="Calibri" w:hAnsi="Calibri" w:cs="Calibri"/>
          <w:b w:val="0"/>
          <w:bCs w:val="0"/>
          <w:sz w:val="18"/>
          <w:szCs w:val="22"/>
        </w:rPr>
        <w:fldChar w:fldCharType="end"/>
      </w:r>
      <w:r w:rsidR="00D46EDB" w:rsidRPr="00D46EDB">
        <w:rPr>
          <w:rFonts w:ascii="Calibri" w:eastAsia="Calibri" w:hAnsi="Calibri" w:cs="Calibri"/>
          <w:b w:val="0"/>
          <w:bCs w:val="0"/>
          <w:sz w:val="18"/>
          <w:szCs w:val="22"/>
        </w:rPr>
        <w:t xml:space="preserve">. The activated HPr (Ser-P) and Crh (Ser-P) bind to CcpA to form a HPr-Ser46-P/CcpA or Crh-Ser46-P/CcpA complex which can bind to cre elements located 5’ or within the catabolic genes, and CCR occurs when the genes are down-regulated. </w:t>
      </w:r>
      <w:r w:rsidR="00D46EDB">
        <w:rPr>
          <w:rFonts w:ascii="Calibri" w:eastAsia="Calibri" w:hAnsi="Calibri" w:cs="Calibri"/>
          <w:b w:val="0"/>
          <w:bCs w:val="0"/>
          <w:sz w:val="18"/>
          <w:szCs w:val="22"/>
        </w:rPr>
        <w:t xml:space="preserve">However, </w:t>
      </w:r>
      <w:r w:rsidRPr="00224C22">
        <w:rPr>
          <w:rFonts w:ascii="Calibri" w:eastAsia="Calibri" w:hAnsi="Calibri" w:cs="Calibri"/>
          <w:b w:val="0"/>
          <w:bCs w:val="0"/>
          <w:sz w:val="18"/>
          <w:szCs w:val="22"/>
        </w:rPr>
        <w:t>i</w:t>
      </w:r>
      <w:r w:rsidR="00D46EDB" w:rsidRPr="00224C22">
        <w:rPr>
          <w:rFonts w:ascii="Calibri" w:eastAsia="Calibri" w:hAnsi="Calibri" w:cs="Calibri"/>
          <w:b w:val="0"/>
          <w:bCs w:val="0"/>
          <w:sz w:val="18"/>
          <w:szCs w:val="22"/>
        </w:rPr>
        <w:t>t has been found that it is di</w:t>
      </w:r>
      <w:r w:rsidRPr="00224C22">
        <w:rPr>
          <w:rFonts w:ascii="Calibri" w:eastAsia="Calibri" w:hAnsi="Calibri" w:cs="Calibri"/>
          <w:b w:val="0"/>
          <w:bCs w:val="0"/>
          <w:sz w:val="18"/>
          <w:szCs w:val="22"/>
        </w:rPr>
        <w:t>fficult to generate an HPrS46A a</w:t>
      </w:r>
      <w:r w:rsidR="00D46EDB" w:rsidRPr="00224C22">
        <w:rPr>
          <w:rFonts w:ascii="Calibri" w:eastAsia="Calibri" w:hAnsi="Calibri" w:cs="Calibri"/>
          <w:b w:val="0"/>
          <w:bCs w:val="0"/>
          <w:sz w:val="18"/>
          <w:szCs w:val="22"/>
        </w:rPr>
        <w:t>nd CrhAS46A double mutant, and therefore alternative methods are required to remove CCR from DSM2542.</w:t>
      </w:r>
    </w:p>
    <w:p w14:paraId="39E1A00A" w14:textId="42C9F46A" w:rsidR="00D46EDB" w:rsidRPr="00224C22" w:rsidRDefault="00D46EDB" w:rsidP="00224C22">
      <w:pPr>
        <w:pStyle w:val="Heading3"/>
        <w:adjustRightInd w:val="0"/>
        <w:spacing w:before="120" w:after="240"/>
        <w:ind w:left="142" w:right="142"/>
        <w:jc w:val="both"/>
        <w:rPr>
          <w:rFonts w:ascii="Calibri" w:eastAsia="Calibri" w:hAnsi="Calibri" w:cs="Calibri"/>
          <w:b w:val="0"/>
          <w:bCs w:val="0"/>
          <w:sz w:val="18"/>
          <w:szCs w:val="22"/>
        </w:rPr>
      </w:pPr>
      <w:r w:rsidRPr="00224C22">
        <w:rPr>
          <w:rFonts w:ascii="Calibri" w:eastAsia="Calibri" w:hAnsi="Calibri" w:cs="Calibri"/>
          <w:b w:val="0"/>
          <w:sz w:val="18"/>
          <w:szCs w:val="22"/>
        </w:rPr>
        <w:t xml:space="preserve">Secondly, quantitative RT-PCR was used to identify the xylose transportation system, which demonstrated that arabinose transporter might be involved in xylose transportation. Therefore, modifying the cre sites within the arabinose transporter could potentially relieve xylose and arabinose utilization from CCR. </w:t>
      </w:r>
    </w:p>
    <w:p w14:paraId="7CCA1162" w14:textId="6F6D3F0F" w:rsidR="005D582B" w:rsidRDefault="00D46EDB" w:rsidP="00224C22">
      <w:pPr>
        <w:pStyle w:val="Heading3"/>
        <w:spacing w:before="120" w:after="240"/>
        <w:rPr>
          <w:bCs w:val="0"/>
        </w:rPr>
      </w:pPr>
      <w:r w:rsidRPr="00224C22">
        <w:rPr>
          <w:rFonts w:ascii="Calibri" w:eastAsia="Calibri" w:hAnsi="Calibri" w:cs="Calibri"/>
          <w:b w:val="0"/>
          <w:bCs w:val="0"/>
          <w:sz w:val="18"/>
          <w:szCs w:val="22"/>
        </w:rPr>
        <w:t xml:space="preserve">Lastly, it has been proved that </w:t>
      </w:r>
      <w:r w:rsidR="00A85E26">
        <w:rPr>
          <w:rFonts w:ascii="Calibri" w:eastAsia="Calibri" w:hAnsi="Calibri" w:cs="Calibri"/>
          <w:b w:val="0"/>
          <w:bCs w:val="0"/>
          <w:sz w:val="18"/>
          <w:szCs w:val="22"/>
        </w:rPr>
        <w:t xml:space="preserve">a cocktail containing glucose analogue </w:t>
      </w:r>
      <w:r w:rsidRPr="00D46EDB">
        <w:rPr>
          <w:rFonts w:ascii="Calibri" w:eastAsia="Calibri" w:hAnsi="Calibri" w:cs="Calibri"/>
          <w:b w:val="0"/>
          <w:bCs w:val="0"/>
          <w:sz w:val="18"/>
          <w:szCs w:val="22"/>
        </w:rPr>
        <w:t>could remove catabolite repression from P. thermoglucosidasius via adapted evolution within a month.</w:t>
      </w:r>
      <w:r w:rsidRPr="00EB0A7E">
        <w:rPr>
          <w:sz w:val="24"/>
          <w:szCs w:val="24"/>
        </w:rPr>
        <w:t xml:space="preserve"> </w:t>
      </w:r>
      <w:r w:rsidR="00FD4411">
        <w:rPr>
          <w:bCs w:val="0"/>
        </w:rPr>
        <w:br w:type="column"/>
      </w:r>
    </w:p>
    <w:p w14:paraId="6C2F4CAD" w14:textId="36124920" w:rsidR="00FD4411" w:rsidRDefault="005D582B" w:rsidP="00224C22">
      <w:pPr>
        <w:pStyle w:val="Heading3"/>
        <w:spacing w:before="120" w:after="240"/>
      </w:pPr>
      <w:r>
        <w:rPr>
          <w:noProof/>
          <w:lang w:val="en-GB" w:eastAsia="zh-CN"/>
        </w:rPr>
        <w:drawing>
          <wp:anchor distT="0" distB="0" distL="114300" distR="114300" simplePos="0" relativeHeight="251662848" behindDoc="1" locked="0" layoutInCell="1" allowOverlap="1" wp14:anchorId="7A798006" wp14:editId="6504D1CF">
            <wp:simplePos x="0" y="0"/>
            <wp:positionH relativeFrom="column">
              <wp:posOffset>-7399</wp:posOffset>
            </wp:positionH>
            <wp:positionV relativeFrom="paragraph">
              <wp:posOffset>270537</wp:posOffset>
            </wp:positionV>
            <wp:extent cx="3655060" cy="1772920"/>
            <wp:effectExtent l="0" t="0" r="2540" b="0"/>
            <wp:wrapTight wrapText="bothSides">
              <wp:wrapPolygon edited="0">
                <wp:start x="0" y="0"/>
                <wp:lineTo x="0" y="21352"/>
                <wp:lineTo x="21502" y="21352"/>
                <wp:lineTo x="2150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23307" t="20718" r="39512" b="47218"/>
                    <a:stretch/>
                  </pic:blipFill>
                  <pic:spPr bwMode="auto">
                    <a:xfrm>
                      <a:off x="0" y="0"/>
                      <a:ext cx="3655060" cy="1772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4411">
        <w:rPr>
          <w:color w:val="BF5A14"/>
        </w:rPr>
        <w:t>Image</w:t>
      </w:r>
    </w:p>
    <w:p w14:paraId="6D9D842D" w14:textId="6D9D9BB2" w:rsidR="00FD4411" w:rsidRDefault="00FD4411" w:rsidP="00FD4411">
      <w:pPr>
        <w:pStyle w:val="BodyText"/>
        <w:spacing w:before="2"/>
        <w:rPr>
          <w:rFonts w:ascii="Arial"/>
          <w:b/>
          <w:sz w:val="16"/>
        </w:rPr>
      </w:pPr>
    </w:p>
    <w:p w14:paraId="4EE4B1F3" w14:textId="3B689469" w:rsidR="00FD4411" w:rsidRDefault="00FD4411" w:rsidP="00FD4411">
      <w:pPr>
        <w:spacing w:line="204" w:lineRule="exact"/>
        <w:rPr>
          <w:rFonts w:ascii="Arial"/>
          <w:b/>
          <w:sz w:val="20"/>
        </w:rPr>
      </w:pPr>
      <w:r>
        <w:rPr>
          <w:rFonts w:ascii="Arial"/>
          <w:b/>
          <w:color w:val="BF5A14"/>
          <w:sz w:val="20"/>
        </w:rPr>
        <w:br/>
        <w:t>Recent Publications (minimum 5)</w:t>
      </w:r>
    </w:p>
    <w:p w14:paraId="63E3AEBD" w14:textId="77777777" w:rsidR="00FD4411" w:rsidRDefault="00FD4411" w:rsidP="00FD4411">
      <w:pPr>
        <w:tabs>
          <w:tab w:val="left" w:pos="384"/>
        </w:tabs>
        <w:ind w:right="117"/>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2D64D4CA" w:rsidR="00FD4411" w:rsidRDefault="00FD4411" w:rsidP="00FD4411">
      <w:pPr>
        <w:pStyle w:val="BodyText"/>
        <w:rPr>
          <w:rFonts w:ascii="Calibri"/>
          <w:sz w:val="20"/>
        </w:rPr>
      </w:pPr>
    </w:p>
    <w:p w14:paraId="28F11759" w14:textId="2CD7F3A2" w:rsidR="00FD4411" w:rsidRDefault="00FD4411" w:rsidP="00FD4411">
      <w:pPr>
        <w:pStyle w:val="BodyText"/>
        <w:spacing w:line="40" w:lineRule="exact"/>
        <w:ind w:left="2202"/>
        <w:rPr>
          <w:rFonts w:ascii="Calibri"/>
          <w:sz w:val="4"/>
        </w:rPr>
      </w:pPr>
      <w:r>
        <w:rPr>
          <w:noProof/>
          <w:lang w:val="en-GB" w:eastAsia="zh-CN"/>
        </w:rPr>
        <mc:AlternateContent>
          <mc:Choice Requires="wpg">
            <w:drawing>
              <wp:inline distT="0" distB="0" distL="0" distR="0" wp14:anchorId="6EC8CE6B" wp14:editId="04F1CF44">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A0606D"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26C2C0BC" w14:textId="1044064E" w:rsidR="00505292" w:rsidRDefault="00505292" w:rsidP="00FD4411">
      <w:pPr>
        <w:spacing w:before="92"/>
        <w:ind w:right="4234"/>
        <w:rPr>
          <w:noProof/>
          <w:lang w:val="en-GB" w:eastAsia="zh-CN"/>
        </w:rPr>
      </w:pPr>
      <w:r>
        <w:rPr>
          <w:noProof/>
          <w:lang w:val="en-GB" w:eastAsia="zh-CN"/>
        </w:rPr>
        <w:drawing>
          <wp:anchor distT="0" distB="0" distL="114300" distR="114300" simplePos="0" relativeHeight="251667968" behindDoc="1" locked="0" layoutInCell="1" allowOverlap="1" wp14:anchorId="12BD790D" wp14:editId="4BA907BE">
            <wp:simplePos x="0" y="0"/>
            <wp:positionH relativeFrom="column">
              <wp:posOffset>122887</wp:posOffset>
            </wp:positionH>
            <wp:positionV relativeFrom="paragraph">
              <wp:posOffset>144393</wp:posOffset>
            </wp:positionV>
            <wp:extent cx="434340" cy="483870"/>
            <wp:effectExtent l="0" t="0" r="3810" b="0"/>
            <wp:wrapThrough wrapText="bothSides">
              <wp:wrapPolygon edited="0">
                <wp:start x="0" y="0"/>
                <wp:lineTo x="0" y="20409"/>
                <wp:lineTo x="20842" y="20409"/>
                <wp:lineTo x="20842" y="0"/>
                <wp:lineTo x="0" y="0"/>
              </wp:wrapPolygon>
            </wp:wrapThrough>
            <wp:docPr id="9" name="Picture 9" descr="http://www.csct.ac.uk/wp-content/uploads/2018/01/0078_CH_SCT_LIANG_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ct.ac.uk/wp-content/uploads/2018/01/0078_CH_SCT_LIANG_J.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34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411">
        <w:rPr>
          <w:noProof/>
        </w:rPr>
        <w:t xml:space="preserve">              </w:t>
      </w:r>
      <w:r>
        <w:rPr>
          <w:noProof/>
          <w:lang w:val="en-GB" w:eastAsia="zh-CN"/>
        </w:rPr>
        <w:t xml:space="preserve"> </w:t>
      </w:r>
    </w:p>
    <w:p w14:paraId="058EC983" w14:textId="21AC5E17" w:rsidR="00505292" w:rsidRDefault="00505292" w:rsidP="00FD4411">
      <w:pPr>
        <w:spacing w:before="92"/>
        <w:ind w:right="4234"/>
        <w:rPr>
          <w:noProof/>
          <w:lang w:val="en-GB" w:eastAsia="zh-CN"/>
        </w:rPr>
      </w:pPr>
    </w:p>
    <w:p w14:paraId="44198900" w14:textId="1868BFB2" w:rsidR="00FD4411" w:rsidRDefault="00FD4411" w:rsidP="00FD4411">
      <w:pPr>
        <w:spacing w:before="92"/>
        <w:ind w:right="4234"/>
        <w:rPr>
          <w:rFonts w:ascii="Arial"/>
        </w:rPr>
      </w:pPr>
      <w:r>
        <w:rPr>
          <w:rFonts w:ascii="Arial"/>
          <w:color w:val="BF5A14"/>
        </w:rPr>
        <w:t>Biography (150 word limit)</w:t>
      </w:r>
    </w:p>
    <w:p w14:paraId="4B9F7732" w14:textId="75A61500" w:rsidR="00961E52" w:rsidRPr="00961E52" w:rsidRDefault="00961E52" w:rsidP="005D582B">
      <w:pPr>
        <w:pStyle w:val="BodyText"/>
        <w:spacing w:before="3"/>
        <w:jc w:val="both"/>
        <w:rPr>
          <w:rFonts w:ascii="Arial"/>
          <w:sz w:val="14"/>
          <w:szCs w:val="22"/>
        </w:rPr>
      </w:pPr>
      <w:r w:rsidRPr="00961E52">
        <w:rPr>
          <w:rFonts w:ascii="Arial"/>
          <w:sz w:val="14"/>
          <w:szCs w:val="22"/>
        </w:rPr>
        <w:t xml:space="preserve">Jinghui graduated in 2016 from the University of Science and Technology in Beijing with a Bachelors in biotechnology. During her degree, she undertook two exchange programmes, first at Taiwan Fu Jen Catholic University, then at the University of Dundee. After graduation, she joined the CDT in Sustainable Chemical Technologies </w:t>
      </w:r>
      <w:r w:rsidR="005D582B">
        <w:rPr>
          <w:rFonts w:ascii="Arial"/>
          <w:sz w:val="14"/>
          <w:szCs w:val="22"/>
        </w:rPr>
        <w:t xml:space="preserve">in University of Bath </w:t>
      </w:r>
      <w:r w:rsidRPr="00961E52">
        <w:rPr>
          <w:rFonts w:ascii="Arial"/>
          <w:sz w:val="14"/>
          <w:szCs w:val="22"/>
        </w:rPr>
        <w:t>as an MSCA-FIRE Fellow. Her PhD research is on the development of bacterial strains for mixed-sugar fermentation with Prof. David Leak.</w:t>
      </w:r>
      <w:r>
        <w:rPr>
          <w:rFonts w:ascii="Arial"/>
          <w:sz w:val="14"/>
          <w:szCs w:val="22"/>
        </w:rPr>
        <w:t xml:space="preserve"> Outside of research, she is also passionate about entrepreneur</w:t>
      </w:r>
      <w:r w:rsidR="005D582B">
        <w:rPr>
          <w:rFonts w:ascii="Arial"/>
          <w:sz w:val="14"/>
          <w:szCs w:val="22"/>
        </w:rPr>
        <w:t>ship.</w:t>
      </w:r>
    </w:p>
    <w:p w14:paraId="5D7C4F97" w14:textId="45D872E0" w:rsidR="00FD4411" w:rsidRDefault="00FD4411" w:rsidP="00FD4411">
      <w:pPr>
        <w:spacing w:before="62"/>
        <w:ind w:left="4217" w:right="4235"/>
        <w:jc w:val="center"/>
        <w:rPr>
          <w:rFonts w:ascii="Arial"/>
          <w:sz w:val="14"/>
        </w:rPr>
      </w:pPr>
      <w:r>
        <w:rPr>
          <w:rFonts w:ascii="Arial"/>
          <w:sz w:val="14"/>
        </w:rPr>
        <w:t xml:space="preserve">Email: </w:t>
      </w:r>
      <w:hyperlink r:id="rId7" w:history="1">
        <w:r w:rsidR="00505292" w:rsidRPr="00B43C15">
          <w:rPr>
            <w:rStyle w:val="Hyperlink"/>
            <w:rFonts w:ascii="Arial"/>
            <w:sz w:val="14"/>
          </w:rPr>
          <w:t>jjl51@bath.ac.uk</w:t>
        </w:r>
      </w:hyperlink>
    </w:p>
    <w:p w14:paraId="05063D95" w14:textId="77777777" w:rsidR="00FD4411" w:rsidRDefault="00FD4411" w:rsidP="00FD4411">
      <w:pPr>
        <w:pStyle w:val="BodyText"/>
        <w:spacing w:before="2"/>
        <w:rPr>
          <w:rFonts w:ascii="Arial"/>
          <w:sz w:val="19"/>
        </w:rPr>
      </w:pPr>
      <w:r>
        <w:rPr>
          <w:noProof/>
          <w:lang w:val="en-GB" w:eastAsia="zh-CN"/>
        </w:rPr>
        <mc:AlternateContent>
          <mc:Choice Requires="wps">
            <w:drawing>
              <wp:anchor distT="0" distB="0" distL="0" distR="0" simplePos="0" relativeHeight="251656704" behindDoc="0" locked="0" layoutInCell="1" allowOverlap="1" wp14:anchorId="272E70EE" wp14:editId="2E9AEC06">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90EBD" id="Straight Connector 1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B753BEB" w14:textId="77777777" w:rsidR="00FD4411" w:rsidRDefault="00FD4411" w:rsidP="00FD4411">
      <w:pPr>
        <w:pStyle w:val="BodyText"/>
        <w:rPr>
          <w:rFonts w:ascii="Arial"/>
          <w:sz w:val="20"/>
        </w:rPr>
      </w:pPr>
    </w:p>
    <w:p w14:paraId="3B888874" w14:textId="77777777" w:rsidR="00FD4411" w:rsidRDefault="00FD4411" w:rsidP="00FD4411">
      <w:pPr>
        <w:pStyle w:val="BodyText"/>
        <w:rPr>
          <w:rFonts w:ascii="Arial"/>
          <w:sz w:val="20"/>
        </w:rPr>
      </w:pPr>
    </w:p>
    <w:p w14:paraId="7FE79B0F" w14:textId="77777777" w:rsidR="00FD4411" w:rsidRDefault="00FD4411" w:rsidP="00FD4411">
      <w:pPr>
        <w:pStyle w:val="BodyText"/>
        <w:spacing w:before="7"/>
        <w:rPr>
          <w:rFonts w:ascii="Arial"/>
          <w:sz w:val="29"/>
        </w:rPr>
      </w:pPr>
    </w:p>
    <w:p w14:paraId="434E6309" w14:textId="2EBC1BE0" w:rsidR="00FD4411" w:rsidRPr="00EF4FFE" w:rsidRDefault="00FD4411" w:rsidP="00EF4FFE">
      <w:pPr>
        <w:spacing w:before="39"/>
        <w:ind w:left="100"/>
        <w:rPr>
          <w:rFonts w:ascii="Minion Pro"/>
          <w:b/>
          <w:sz w:val="20"/>
        </w:rPr>
        <w:sectPr w:rsidR="00FD4411" w:rsidRPr="00EF4FFE">
          <w:type w:val="continuous"/>
          <w:pgSz w:w="11910" w:h="16840"/>
          <w:pgMar w:top="1740" w:right="600" w:bottom="840" w:left="620" w:header="720" w:footer="720" w:gutter="0"/>
          <w:cols w:space="720"/>
        </w:sectPr>
      </w:pPr>
      <w:r>
        <w:rPr>
          <w:rFonts w:ascii="Minion Pro"/>
          <w:b/>
          <w:sz w:val="20"/>
        </w:rPr>
        <w:t>Notes/Comments:</w:t>
      </w:r>
      <w:bookmarkStart w:id="0" w:name="_GoBack"/>
      <w:bookmarkEnd w:id="0"/>
    </w:p>
    <w:p w14:paraId="1DD05878" w14:textId="1623DB6A"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91703"/>
    <w:rsid w:val="00224C22"/>
    <w:rsid w:val="00411AD7"/>
    <w:rsid w:val="00504F4E"/>
    <w:rsid w:val="00505292"/>
    <w:rsid w:val="005D582B"/>
    <w:rsid w:val="00961E52"/>
    <w:rsid w:val="00A85E26"/>
    <w:rsid w:val="00B50752"/>
    <w:rsid w:val="00B77E33"/>
    <w:rsid w:val="00D46EDB"/>
    <w:rsid w:val="00EF4FFE"/>
    <w:rsid w:val="00FD441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F040587"/>
  <w15:docId w15:val="{54B48E1C-2CDF-4583-8A3F-E5099A45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jl51@bath.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Jinghui Liang</cp:lastModifiedBy>
  <cp:revision>8</cp:revision>
  <dcterms:created xsi:type="dcterms:W3CDTF">2017-01-07T07:12:00Z</dcterms:created>
  <dcterms:modified xsi:type="dcterms:W3CDTF">2019-10-22T09:48:00Z</dcterms:modified>
</cp:coreProperties>
</file>