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82A" w:rsidRDefault="000C182A" w:rsidP="00495C76">
      <w:pPr>
        <w:jc w:val="center"/>
        <w:rPr>
          <w:rFonts w:ascii="Times New Roman" w:hAnsi="Times New Roman" w:cs="Times New Roman"/>
          <w:b/>
          <w:noProof/>
          <w:sz w:val="32"/>
          <w:szCs w:val="32"/>
          <w:lang w:eastAsia="en-IN"/>
        </w:rPr>
      </w:pPr>
    </w:p>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773617" w:rsidRPr="00773617">
        <w:rPr>
          <w:rFonts w:ascii="Garamond" w:hAnsi="Garamond"/>
          <w:sz w:val="24"/>
          <w:szCs w:val="24"/>
        </w:rPr>
        <w:t xml:space="preserve"> </w:t>
      </w:r>
      <w:r w:rsidR="00773617">
        <w:rPr>
          <w:rFonts w:ascii="Garamond" w:hAnsi="Garamond"/>
          <w:sz w:val="24"/>
          <w:szCs w:val="24"/>
        </w:rPr>
        <w:t>Quantifying the comparative value of carbon abatement pathways over different investment timing scenarios</w:t>
      </w:r>
    </w:p>
    <w:p w:rsidR="00DF04E3" w:rsidRPr="00773617" w:rsidRDefault="00773617" w:rsidP="00DF04E3">
      <w:pPr>
        <w:pStyle w:val="HTMLPreformatted"/>
        <w:jc w:val="center"/>
        <w:rPr>
          <w:rFonts w:ascii="Times New Roman" w:hAnsi="Times New Roman" w:cs="Times New Roman"/>
          <w:sz w:val="24"/>
          <w:u w:val="single"/>
          <w:lang w:eastAsia="zh-TW"/>
        </w:rPr>
      </w:pPr>
      <w:r w:rsidRPr="00773617">
        <w:rPr>
          <w:rFonts w:ascii="Times New Roman" w:hAnsi="Times New Roman" w:cs="Times New Roman"/>
          <w:sz w:val="24"/>
          <w:u w:val="single"/>
        </w:rPr>
        <w:t>Jenny R. Frank</w:t>
      </w:r>
      <w:r w:rsidRPr="00773617">
        <w:rPr>
          <w:rFonts w:ascii="Times New Roman" w:hAnsi="Times New Roman" w:cs="Times New Roman"/>
          <w:i/>
          <w:iCs/>
          <w:sz w:val="24"/>
          <w:u w:val="single"/>
          <w:vertAlign w:val="superscript"/>
        </w:rPr>
        <w:t>1</w:t>
      </w:r>
      <w:r w:rsidR="0028059F" w:rsidRPr="00773617">
        <w:rPr>
          <w:rFonts w:ascii="Times New Roman" w:hAnsi="Times New Roman" w:cs="Times New Roman"/>
          <w:sz w:val="24"/>
          <w:u w:val="single"/>
        </w:rPr>
        <w:t xml:space="preserve">, </w:t>
      </w:r>
      <w:r w:rsidRPr="00773617">
        <w:rPr>
          <w:rFonts w:ascii="Times New Roman" w:hAnsi="Times New Roman" w:cs="Times New Roman"/>
          <w:sz w:val="24"/>
          <w:u w:val="single"/>
        </w:rPr>
        <w:t>Tristan R. Brown</w:t>
      </w:r>
      <w:r w:rsidRPr="00773617">
        <w:rPr>
          <w:rFonts w:ascii="Times New Roman" w:hAnsi="Times New Roman" w:cs="Times New Roman"/>
          <w:i/>
          <w:iCs/>
          <w:sz w:val="24"/>
          <w:u w:val="single"/>
          <w:vertAlign w:val="superscript"/>
        </w:rPr>
        <w:t>1</w:t>
      </w:r>
      <w:r w:rsidR="0028059F" w:rsidRPr="00773617">
        <w:rPr>
          <w:rFonts w:ascii="Times New Roman" w:hAnsi="Times New Roman" w:cs="Times New Roman"/>
          <w:sz w:val="24"/>
          <w:u w:val="single"/>
        </w:rPr>
        <w:t xml:space="preserve">, </w:t>
      </w:r>
      <w:r w:rsidRPr="00773617">
        <w:rPr>
          <w:rFonts w:ascii="Times New Roman" w:hAnsi="Times New Roman" w:cs="Times New Roman"/>
          <w:sz w:val="24"/>
          <w:u w:val="single"/>
        </w:rPr>
        <w:t>Robert W. Malmsheimer</w:t>
      </w:r>
      <w:r w:rsidRPr="00773617">
        <w:rPr>
          <w:rFonts w:ascii="Times New Roman" w:hAnsi="Times New Roman" w:cs="Times New Roman"/>
          <w:i/>
          <w:iCs/>
          <w:sz w:val="24"/>
          <w:u w:val="single"/>
          <w:vertAlign w:val="superscript"/>
        </w:rPr>
        <w:t>1</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773617">
        <w:rPr>
          <w:rFonts w:ascii="Times New Roman" w:hAnsi="Times New Roman" w:cs="Times New Roman"/>
          <w:i/>
          <w:iCs/>
          <w:sz w:val="24"/>
        </w:rPr>
        <w:t>Department of Forest and Natural Resources Management (State University of New York College of Environmental Science and Forestry)</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0C182A" w:rsidRDefault="000C182A" w:rsidP="000C182A">
      <w:pPr>
        <w:spacing w:after="0" w:line="240" w:lineRule="auto"/>
        <w:ind w:firstLine="720"/>
        <w:jc w:val="both"/>
        <w:rPr>
          <w:rFonts w:ascii="Garamond" w:hAnsi="Garamond"/>
          <w:sz w:val="24"/>
          <w:szCs w:val="24"/>
        </w:rPr>
      </w:pPr>
      <w:r w:rsidRPr="00E31858">
        <w:rPr>
          <w:rFonts w:ascii="Garamond" w:hAnsi="Garamond"/>
          <w:sz w:val="24"/>
          <w:szCs w:val="24"/>
        </w:rPr>
        <w:t xml:space="preserve">The objective of this </w:t>
      </w:r>
      <w:r>
        <w:rPr>
          <w:rFonts w:ascii="Garamond" w:hAnsi="Garamond"/>
          <w:sz w:val="24"/>
          <w:szCs w:val="24"/>
        </w:rPr>
        <w:t xml:space="preserve">study </w:t>
      </w:r>
      <w:r w:rsidRPr="00E31858">
        <w:rPr>
          <w:rFonts w:ascii="Garamond" w:hAnsi="Garamond"/>
          <w:sz w:val="24"/>
          <w:szCs w:val="24"/>
        </w:rPr>
        <w:t xml:space="preserve">is to quantify the </w:t>
      </w:r>
      <w:r>
        <w:rPr>
          <w:rFonts w:ascii="Garamond" w:hAnsi="Garamond"/>
          <w:sz w:val="24"/>
          <w:szCs w:val="24"/>
        </w:rPr>
        <w:t xml:space="preserve">comparative </w:t>
      </w:r>
      <w:r w:rsidRPr="00E31858">
        <w:rPr>
          <w:rFonts w:ascii="Garamond" w:hAnsi="Garamond"/>
          <w:sz w:val="24"/>
          <w:szCs w:val="24"/>
        </w:rPr>
        <w:t>impact that different investment timing scenarios ha</w:t>
      </w:r>
      <w:r>
        <w:rPr>
          <w:rFonts w:ascii="Garamond" w:hAnsi="Garamond"/>
          <w:sz w:val="24"/>
          <w:szCs w:val="24"/>
        </w:rPr>
        <w:t>ve</w:t>
      </w:r>
      <w:r w:rsidRPr="00E31858">
        <w:rPr>
          <w:rFonts w:ascii="Garamond" w:hAnsi="Garamond"/>
          <w:sz w:val="24"/>
          <w:szCs w:val="24"/>
        </w:rPr>
        <w:t xml:space="preserve"> on the </w:t>
      </w:r>
      <w:r>
        <w:rPr>
          <w:rFonts w:ascii="Garamond" w:hAnsi="Garamond"/>
          <w:sz w:val="24"/>
          <w:szCs w:val="24"/>
        </w:rPr>
        <w:t>value</w:t>
      </w:r>
      <w:r w:rsidRPr="00E31858">
        <w:rPr>
          <w:rFonts w:ascii="Garamond" w:hAnsi="Garamond"/>
          <w:sz w:val="24"/>
          <w:szCs w:val="24"/>
        </w:rPr>
        <w:t xml:space="preserve"> of carbon abatement pathways. This project is motivated by the global need to forestall and </w:t>
      </w:r>
      <w:r>
        <w:rPr>
          <w:rFonts w:ascii="Garamond" w:hAnsi="Garamond"/>
          <w:sz w:val="24"/>
          <w:szCs w:val="24"/>
        </w:rPr>
        <w:t>ultimately</w:t>
      </w:r>
      <w:r w:rsidRPr="00E31858">
        <w:rPr>
          <w:rFonts w:ascii="Garamond" w:hAnsi="Garamond"/>
          <w:sz w:val="24"/>
          <w:szCs w:val="24"/>
        </w:rPr>
        <w:t xml:space="preserve"> prevent the onset of catastrophic climate change </w:t>
      </w:r>
      <w:r>
        <w:rPr>
          <w:rFonts w:ascii="Garamond" w:hAnsi="Garamond"/>
          <w:sz w:val="24"/>
          <w:szCs w:val="24"/>
        </w:rPr>
        <w:t>via the rapid reduction of anthropogenic</w:t>
      </w:r>
      <w:r w:rsidRPr="00E31858">
        <w:rPr>
          <w:rFonts w:ascii="Garamond" w:hAnsi="Garamond"/>
          <w:sz w:val="24"/>
          <w:szCs w:val="24"/>
        </w:rPr>
        <w:t xml:space="preserve"> greenhouse gas (GHG) emissions. This project examine</w:t>
      </w:r>
      <w:r>
        <w:rPr>
          <w:rFonts w:ascii="Garamond" w:hAnsi="Garamond"/>
          <w:sz w:val="24"/>
          <w:szCs w:val="24"/>
        </w:rPr>
        <w:t>s</w:t>
      </w:r>
      <w:r w:rsidRPr="00E31858">
        <w:rPr>
          <w:rFonts w:ascii="Garamond" w:hAnsi="Garamond"/>
          <w:sz w:val="24"/>
          <w:szCs w:val="24"/>
        </w:rPr>
        <w:t xml:space="preserve"> two </w:t>
      </w:r>
      <w:r>
        <w:rPr>
          <w:rFonts w:ascii="Garamond" w:hAnsi="Garamond"/>
          <w:sz w:val="24"/>
          <w:szCs w:val="24"/>
        </w:rPr>
        <w:t xml:space="preserve">comparable </w:t>
      </w:r>
      <w:r w:rsidRPr="00E31858">
        <w:rPr>
          <w:rFonts w:ascii="Garamond" w:hAnsi="Garamond"/>
          <w:sz w:val="24"/>
          <w:szCs w:val="24"/>
        </w:rPr>
        <w:t>renewable energy pathways</w:t>
      </w:r>
      <w:r>
        <w:rPr>
          <w:rFonts w:ascii="Garamond" w:hAnsi="Garamond"/>
          <w:sz w:val="24"/>
          <w:szCs w:val="24"/>
        </w:rPr>
        <w:t xml:space="preserve"> that are at different stages of development and commercialization. The first pathway, the utilization of biomass-based diesel (BBD) from lipid feedstocks in internal combustion engine heavy-duty trucks (BBD HDV), is a</w:t>
      </w:r>
      <w:r w:rsidRPr="00E31858">
        <w:rPr>
          <w:rFonts w:ascii="Garamond" w:hAnsi="Garamond"/>
          <w:sz w:val="24"/>
          <w:szCs w:val="24"/>
        </w:rPr>
        <w:t xml:space="preserve"> mature technolog</w:t>
      </w:r>
      <w:r>
        <w:rPr>
          <w:rFonts w:ascii="Garamond" w:hAnsi="Garamond"/>
          <w:sz w:val="24"/>
          <w:szCs w:val="24"/>
        </w:rPr>
        <w:t>y</w:t>
      </w:r>
      <w:r w:rsidRPr="00E31858">
        <w:rPr>
          <w:rFonts w:ascii="Garamond" w:hAnsi="Garamond"/>
          <w:sz w:val="24"/>
          <w:szCs w:val="24"/>
        </w:rPr>
        <w:t xml:space="preserve"> that </w:t>
      </w:r>
      <w:r>
        <w:rPr>
          <w:rFonts w:ascii="Garamond" w:hAnsi="Garamond"/>
          <w:sz w:val="24"/>
          <w:szCs w:val="24"/>
        </w:rPr>
        <w:t>has been</w:t>
      </w:r>
      <w:r w:rsidRPr="00E31858">
        <w:rPr>
          <w:rFonts w:ascii="Garamond" w:hAnsi="Garamond"/>
          <w:sz w:val="24"/>
          <w:szCs w:val="24"/>
        </w:rPr>
        <w:t xml:space="preserve"> commercialized and </w:t>
      </w:r>
      <w:r>
        <w:rPr>
          <w:rFonts w:ascii="Garamond" w:hAnsi="Garamond"/>
          <w:sz w:val="24"/>
          <w:szCs w:val="24"/>
        </w:rPr>
        <w:t xml:space="preserve">achieves well-defined </w:t>
      </w:r>
      <w:r w:rsidRPr="00E31858">
        <w:rPr>
          <w:rFonts w:ascii="Garamond" w:hAnsi="Garamond"/>
          <w:sz w:val="24"/>
          <w:szCs w:val="24"/>
        </w:rPr>
        <w:t>carbon abatement costs</w:t>
      </w:r>
      <w:r>
        <w:rPr>
          <w:rFonts w:ascii="Garamond" w:hAnsi="Garamond"/>
          <w:sz w:val="24"/>
          <w:szCs w:val="24"/>
        </w:rPr>
        <w:t>. The second pathway, battery-electric (BE) HDTs powered entirely by renewable electricity, is an</w:t>
      </w:r>
      <w:r w:rsidRPr="00E31858">
        <w:rPr>
          <w:rFonts w:ascii="Garamond" w:hAnsi="Garamond"/>
          <w:sz w:val="24"/>
          <w:szCs w:val="24"/>
        </w:rPr>
        <w:t xml:space="preserve"> immature technolog</w:t>
      </w:r>
      <w:r>
        <w:rPr>
          <w:rFonts w:ascii="Garamond" w:hAnsi="Garamond"/>
          <w:sz w:val="24"/>
          <w:szCs w:val="24"/>
        </w:rPr>
        <w:t>y</w:t>
      </w:r>
      <w:r w:rsidRPr="00E31858">
        <w:rPr>
          <w:rFonts w:ascii="Garamond" w:hAnsi="Garamond"/>
          <w:sz w:val="24"/>
          <w:szCs w:val="24"/>
        </w:rPr>
        <w:t xml:space="preserve"> that </w:t>
      </w:r>
      <w:r>
        <w:rPr>
          <w:rFonts w:ascii="Garamond" w:hAnsi="Garamond"/>
          <w:sz w:val="24"/>
          <w:szCs w:val="24"/>
        </w:rPr>
        <w:t>has a potentially</w:t>
      </w:r>
      <w:r w:rsidRPr="00E31858">
        <w:rPr>
          <w:rFonts w:ascii="Garamond" w:hAnsi="Garamond"/>
          <w:sz w:val="24"/>
          <w:szCs w:val="24"/>
        </w:rPr>
        <w:t xml:space="preserve"> lower carbon abatement cost but </w:t>
      </w:r>
      <w:r>
        <w:rPr>
          <w:rFonts w:ascii="Garamond" w:hAnsi="Garamond"/>
          <w:sz w:val="24"/>
          <w:szCs w:val="24"/>
        </w:rPr>
        <w:t>is</w:t>
      </w:r>
      <w:r w:rsidRPr="00E31858">
        <w:rPr>
          <w:rFonts w:ascii="Garamond" w:hAnsi="Garamond"/>
          <w:sz w:val="24"/>
          <w:szCs w:val="24"/>
        </w:rPr>
        <w:t xml:space="preserve"> still</w:t>
      </w:r>
      <w:r>
        <w:rPr>
          <w:rFonts w:ascii="Garamond" w:hAnsi="Garamond"/>
          <w:sz w:val="24"/>
          <w:szCs w:val="24"/>
        </w:rPr>
        <w:t xml:space="preserve"> at least</w:t>
      </w:r>
      <w:r w:rsidRPr="00E31858">
        <w:rPr>
          <w:rFonts w:ascii="Garamond" w:hAnsi="Garamond"/>
          <w:sz w:val="24"/>
          <w:szCs w:val="24"/>
        </w:rPr>
        <w:t xml:space="preserve"> several years away from commercialization. </w:t>
      </w:r>
      <w:r>
        <w:rPr>
          <w:rFonts w:ascii="Garamond" w:hAnsi="Garamond"/>
          <w:sz w:val="24"/>
          <w:szCs w:val="24"/>
        </w:rPr>
        <w:t>Both pathways are capable of displacing demand for petroleum-derived diesel fuel, albeit via substantially different processes.</w:t>
      </w:r>
    </w:p>
    <w:p w:rsidR="000C182A" w:rsidRDefault="000C182A" w:rsidP="000C182A">
      <w:pPr>
        <w:spacing w:after="0" w:line="240" w:lineRule="auto"/>
        <w:ind w:firstLine="720"/>
        <w:jc w:val="both"/>
        <w:rPr>
          <w:rFonts w:ascii="Garamond" w:hAnsi="Garamond"/>
          <w:sz w:val="24"/>
          <w:szCs w:val="24"/>
        </w:rPr>
      </w:pPr>
      <w:r>
        <w:rPr>
          <w:rFonts w:ascii="Garamond" w:hAnsi="Garamond"/>
          <w:sz w:val="24"/>
          <w:szCs w:val="24"/>
        </w:rPr>
        <w:t xml:space="preserve">The purpose of comparing a developed, fully commercialized pathway with an immature, uncommercialized pathway is to quantify the trade-off between investing in a currently available carbon abatement route and investing later in a future route that has a greater carbon abatement potential. BBD is widely produced and available at commercial-scale volumes today while BE HDTs, particularly long-haul versions, are not commercialized at present and not expected to be commercialized for at least several years. </w:t>
      </w:r>
    </w:p>
    <w:p w:rsidR="000C182A" w:rsidRDefault="000C182A" w:rsidP="000C182A">
      <w:pPr>
        <w:spacing w:after="0" w:line="240" w:lineRule="auto"/>
        <w:ind w:firstLine="720"/>
        <w:jc w:val="both"/>
      </w:pPr>
      <w:r w:rsidRPr="00E31858">
        <w:rPr>
          <w:rFonts w:ascii="Garamond" w:hAnsi="Garamond"/>
          <w:sz w:val="24"/>
          <w:szCs w:val="24"/>
        </w:rPr>
        <w:t>Th</w:t>
      </w:r>
      <w:r>
        <w:rPr>
          <w:rFonts w:ascii="Garamond" w:hAnsi="Garamond"/>
          <w:sz w:val="24"/>
          <w:szCs w:val="24"/>
        </w:rPr>
        <w:t>is</w:t>
      </w:r>
      <w:r w:rsidRPr="00E31858">
        <w:rPr>
          <w:rFonts w:ascii="Garamond" w:hAnsi="Garamond"/>
          <w:sz w:val="24"/>
          <w:szCs w:val="24"/>
        </w:rPr>
        <w:t xml:space="preserve"> </w:t>
      </w:r>
      <w:r>
        <w:rPr>
          <w:rFonts w:ascii="Garamond" w:hAnsi="Garamond"/>
          <w:sz w:val="24"/>
          <w:szCs w:val="24"/>
        </w:rPr>
        <w:t>study</w:t>
      </w:r>
      <w:r w:rsidRPr="00E31858">
        <w:rPr>
          <w:rFonts w:ascii="Garamond" w:hAnsi="Garamond"/>
          <w:sz w:val="24"/>
          <w:szCs w:val="24"/>
        </w:rPr>
        <w:t xml:space="preserve"> calculate</w:t>
      </w:r>
      <w:r>
        <w:rPr>
          <w:rFonts w:ascii="Garamond" w:hAnsi="Garamond"/>
          <w:sz w:val="24"/>
          <w:szCs w:val="24"/>
        </w:rPr>
        <w:t>s</w:t>
      </w:r>
      <w:r w:rsidRPr="00E31858">
        <w:rPr>
          <w:rFonts w:ascii="Garamond" w:hAnsi="Garamond"/>
          <w:sz w:val="24"/>
          <w:szCs w:val="24"/>
        </w:rPr>
        <w:t xml:space="preserve"> net present values (NPV) </w:t>
      </w:r>
      <w:r>
        <w:rPr>
          <w:rFonts w:ascii="Garamond" w:hAnsi="Garamond"/>
          <w:sz w:val="24"/>
          <w:szCs w:val="24"/>
        </w:rPr>
        <w:t>for</w:t>
      </w:r>
      <w:r w:rsidRPr="00E31858">
        <w:rPr>
          <w:rFonts w:ascii="Garamond" w:hAnsi="Garamond"/>
          <w:sz w:val="24"/>
          <w:szCs w:val="24"/>
        </w:rPr>
        <w:t xml:space="preserve"> both </w:t>
      </w:r>
      <w:r>
        <w:rPr>
          <w:rFonts w:ascii="Garamond" w:hAnsi="Garamond"/>
          <w:sz w:val="24"/>
          <w:szCs w:val="24"/>
        </w:rPr>
        <w:t>pathway scenario</w:t>
      </w:r>
      <w:r w:rsidRPr="00E31858">
        <w:rPr>
          <w:rFonts w:ascii="Garamond" w:hAnsi="Garamond"/>
          <w:sz w:val="24"/>
          <w:szCs w:val="24"/>
        </w:rPr>
        <w:t>s based on techno-economic an</w:t>
      </w:r>
      <w:bookmarkStart w:id="0" w:name="_GoBack"/>
      <w:bookmarkEnd w:id="0"/>
      <w:r w:rsidRPr="00E31858">
        <w:rPr>
          <w:rFonts w:ascii="Garamond" w:hAnsi="Garamond"/>
          <w:sz w:val="24"/>
          <w:szCs w:val="24"/>
        </w:rPr>
        <w:t xml:space="preserve">alysis in which </w:t>
      </w:r>
      <w:r>
        <w:rPr>
          <w:rFonts w:ascii="Garamond" w:hAnsi="Garamond"/>
          <w:sz w:val="24"/>
          <w:szCs w:val="24"/>
        </w:rPr>
        <w:t xml:space="preserve">the beneficial value of carbon abatement </w:t>
      </w:r>
      <w:r w:rsidRPr="00E31858">
        <w:rPr>
          <w:rFonts w:ascii="Garamond" w:hAnsi="Garamond"/>
          <w:sz w:val="24"/>
          <w:szCs w:val="24"/>
        </w:rPr>
        <w:t xml:space="preserve">is represented </w:t>
      </w:r>
      <w:r>
        <w:rPr>
          <w:rFonts w:ascii="Garamond" w:hAnsi="Garamond"/>
          <w:sz w:val="24"/>
          <w:szCs w:val="24"/>
        </w:rPr>
        <w:t xml:space="preserve">as a revenue stream </w:t>
      </w:r>
      <w:r w:rsidRPr="00E31858">
        <w:rPr>
          <w:rFonts w:ascii="Garamond" w:hAnsi="Garamond"/>
          <w:sz w:val="24"/>
          <w:szCs w:val="24"/>
        </w:rPr>
        <w:t>via an internalized social cost of carbon (SCC).</w:t>
      </w:r>
      <w:r>
        <w:rPr>
          <w:rFonts w:ascii="Garamond" w:hAnsi="Garamond"/>
          <w:sz w:val="24"/>
          <w:szCs w:val="24"/>
        </w:rPr>
        <w:t xml:space="preserve"> A secondary output will be the calculation of the future year (if any) in which the BE HDT pathway’s NPV surpasses that of the BBD HDT pathway. The SCC is the marginal external cost of emitting a megagram of carbon dioxide-equivalent (CO2e). For the purposes of this project it is employed to represent the benefit of reducing CO2e emissions relative to a petroleum-derived diesel fuel baseline.</w:t>
      </w:r>
    </w:p>
    <w:p w:rsidR="002350BC" w:rsidRDefault="002350BC" w:rsidP="00DF04E3">
      <w:pPr>
        <w:pStyle w:val="HTMLPreformatted"/>
        <w:jc w:val="both"/>
        <w:rPr>
          <w:rFonts w:ascii="Times New Roman" w:hAnsi="Times New Roman" w:cs="Times New Roman"/>
          <w:sz w:val="24"/>
        </w:rPr>
      </w:pPr>
    </w:p>
    <w:p w:rsidR="00DF04E3" w:rsidRDefault="00773617" w:rsidP="00DF04E3">
      <w:pPr>
        <w:pStyle w:val="HTMLPreformatted"/>
        <w:jc w:val="both"/>
        <w:rPr>
          <w:rFonts w:ascii="Times New Roman" w:hAnsi="Times New Roman" w:cs="Times New Roman"/>
          <w:sz w:val="24"/>
        </w:rPr>
      </w:pPr>
      <w:r w:rsidRPr="00E31858">
        <w:rPr>
          <w:rFonts w:ascii="Garamond" w:hAnsi="Garamond"/>
          <w:sz w:val="24"/>
          <w:szCs w:val="24"/>
        </w:rPr>
        <w:t>Carbon abatement</w:t>
      </w:r>
      <w:r>
        <w:rPr>
          <w:rFonts w:ascii="Garamond" w:hAnsi="Garamond"/>
          <w:sz w:val="24"/>
          <w:szCs w:val="24"/>
        </w:rPr>
        <w:t xml:space="preserve">, </w:t>
      </w:r>
      <w:r w:rsidRPr="00E31858">
        <w:rPr>
          <w:rFonts w:ascii="Garamond" w:hAnsi="Garamond"/>
          <w:sz w:val="24"/>
          <w:szCs w:val="24"/>
        </w:rPr>
        <w:t>investment timing</w:t>
      </w:r>
      <w:r>
        <w:rPr>
          <w:rFonts w:ascii="Garamond" w:hAnsi="Garamond"/>
          <w:sz w:val="24"/>
          <w:szCs w:val="24"/>
        </w:rPr>
        <w:t xml:space="preserve">, </w:t>
      </w:r>
      <w:r w:rsidRPr="00E31858">
        <w:rPr>
          <w:rFonts w:ascii="Garamond" w:hAnsi="Garamond"/>
          <w:sz w:val="24"/>
          <w:szCs w:val="24"/>
        </w:rPr>
        <w:t>social cost of carbon</w:t>
      </w:r>
      <w:r>
        <w:rPr>
          <w:rFonts w:ascii="Garamond" w:hAnsi="Garamond"/>
          <w:sz w:val="24"/>
          <w:szCs w:val="24"/>
        </w:rPr>
        <w:t>,</w:t>
      </w:r>
      <w:r w:rsidRPr="00E31858">
        <w:rPr>
          <w:rFonts w:ascii="Garamond" w:hAnsi="Garamond"/>
          <w:sz w:val="24"/>
          <w:szCs w:val="24"/>
        </w:rPr>
        <w:t xml:space="preserve"> net present value</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0C182A" w:rsidRPr="000C182A" w:rsidRDefault="000C182A" w:rsidP="000C182A">
      <w:pPr>
        <w:pStyle w:val="ListParagraph"/>
        <w:ind w:left="0"/>
        <w:jc w:val="both"/>
        <w:rPr>
          <w:rFonts w:ascii="Garamond" w:hAnsi="Garamond"/>
          <w:sz w:val="24"/>
          <w:szCs w:val="24"/>
        </w:rPr>
      </w:pPr>
      <w:r w:rsidRPr="000C182A">
        <w:rPr>
          <w:rFonts w:ascii="Garamond" w:hAnsi="Garamond"/>
          <w:sz w:val="24"/>
          <w:szCs w:val="24"/>
        </w:rPr>
        <w:t xml:space="preserve">Jenny Frank is a PhD student in the Sustainable Energy Management program within the Department of Forest and Natural Resources Management at SUNY College of Environmental Science and Forestry. Her research focuses on the integration of stochastic methodology into techno-economic analyses for renewable energy pathways. </w:t>
      </w:r>
    </w:p>
    <w:p w:rsidR="000C182A" w:rsidRDefault="000C182A" w:rsidP="000C182A">
      <w:pPr>
        <w:rPr>
          <w:rFonts w:ascii="Times New Roman" w:eastAsia="Times New Roman" w:hAnsi="Times New Roman" w:cs="Times New Roman"/>
          <w:color w:val="000000"/>
          <w:w w:val="0"/>
          <w:sz w:val="24"/>
          <w:szCs w:val="24"/>
          <w:lang w:val="en-US"/>
        </w:rPr>
      </w:pPr>
    </w:p>
    <w:p w:rsidR="000C182A" w:rsidRDefault="000C182A" w:rsidP="000C182A">
      <w:pPr>
        <w:spacing w:line="240" w:lineRule="auto"/>
        <w:jc w:val="both"/>
        <w:rPr>
          <w:rFonts w:ascii="Garamond" w:hAnsi="Garamond"/>
          <w:w w:val="0"/>
          <w:sz w:val="24"/>
          <w:szCs w:val="24"/>
        </w:rPr>
      </w:pPr>
    </w:p>
    <w:p w:rsidR="000C182A" w:rsidRPr="000C182A" w:rsidRDefault="000C182A" w:rsidP="000C182A">
      <w:pPr>
        <w:spacing w:line="240" w:lineRule="auto"/>
        <w:jc w:val="both"/>
        <w:rPr>
          <w:rFonts w:ascii="Garamond" w:hAnsi="Garamond"/>
          <w:w w:val="0"/>
          <w:sz w:val="24"/>
          <w:szCs w:val="24"/>
        </w:rPr>
      </w:pPr>
      <w:r w:rsidRPr="000C182A">
        <w:rPr>
          <w:rFonts w:ascii="Garamond" w:hAnsi="Garamond"/>
          <w:w w:val="0"/>
          <w:sz w:val="24"/>
          <w:szCs w:val="24"/>
        </w:rPr>
        <w:t>Tristan Brown is an assistant professor of energy resource economics at SUNY College of Environmental Science and Forestry. He has a PhD from Iowa State University and a JD from the University of Missouri. His research focuses on quantifying the competitiveness of renewable energy pathways via techno-economic analysis and how this can be improved by energy policy.</w:t>
      </w:r>
    </w:p>
    <w:p w:rsidR="000C182A" w:rsidRPr="000C182A" w:rsidRDefault="000C182A" w:rsidP="000C182A">
      <w:pPr>
        <w:pStyle w:val="ListParagraph"/>
        <w:ind w:left="0"/>
        <w:rPr>
          <w:rFonts w:ascii="Garamond" w:hAnsi="Garamond"/>
          <w:sz w:val="24"/>
          <w:szCs w:val="24"/>
        </w:rPr>
      </w:pPr>
      <w:r w:rsidRPr="000C182A">
        <w:rPr>
          <w:rFonts w:ascii="Garamond" w:hAnsi="Garamond"/>
          <w:color w:val="212121"/>
          <w:sz w:val="24"/>
          <w:szCs w:val="24"/>
        </w:rPr>
        <w:t>Robert Malmsheimer (PhD, JD) is a Professor of Forest Policy and Law. His research examines how carbon accounting policies affect natural resources. He is a Fellow in the Society of American Foresters and a recipient of The Sir William Schlick Award, the preeminent award in U.S. forest policy.</w:t>
      </w:r>
    </w:p>
    <w:p w:rsidR="00B3082B" w:rsidRDefault="00B3082B" w:rsidP="00DF04E3">
      <w:pPr>
        <w:pStyle w:val="HTMLPreformatted"/>
        <w:jc w:val="both"/>
        <w:rPr>
          <w:rFonts w:ascii="Times New Roman" w:hAnsi="Times New Roman" w:cs="Times New Roman"/>
          <w:iCs/>
          <w:sz w:val="24"/>
        </w:rPr>
      </w:pPr>
    </w:p>
    <w:p w:rsidR="000C182A" w:rsidRDefault="000C182A" w:rsidP="00B3082B">
      <w:pPr>
        <w:pStyle w:val="HTMLPreformatted"/>
        <w:jc w:val="both"/>
        <w:rPr>
          <w:rFonts w:ascii="Times New Roman" w:hAnsi="Times New Roman" w:cs="Times New Roman"/>
          <w:iCs/>
          <w:sz w:val="24"/>
        </w:rPr>
      </w:pPr>
      <w:r>
        <w:rPr>
          <w:noProof/>
        </w:rPr>
        <w:drawing>
          <wp:inline distT="0" distB="0" distL="0" distR="0">
            <wp:extent cx="828675" cy="11334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4431" cy="1182383"/>
                    </a:xfrm>
                    <a:prstGeom prst="rect">
                      <a:avLst/>
                    </a:prstGeom>
                    <a:noFill/>
                    <a:ln>
                      <a:noFill/>
                    </a:ln>
                  </pic:spPr>
                </pic:pic>
              </a:graphicData>
            </a:graphic>
          </wp:inline>
        </w:drawing>
      </w:r>
      <w:r w:rsidR="005C4601">
        <w:rPr>
          <w:rFonts w:ascii="Times New Roman" w:hAnsi="Times New Roman" w:cs="Times New Roman"/>
          <w:iCs/>
          <w:sz w:val="24"/>
        </w:rPr>
        <w:t xml:space="preserve"> </w:t>
      </w:r>
      <w:r w:rsidR="00B3082B">
        <w:rPr>
          <w:rFonts w:ascii="Times New Roman" w:hAnsi="Times New Roman" w:cs="Times New Roman"/>
          <w:b/>
          <w:iCs/>
          <w:sz w:val="24"/>
        </w:rPr>
        <w:br/>
      </w:r>
    </w:p>
    <w:p w:rsidR="00B3082B" w:rsidRDefault="000C182A" w:rsidP="00B3082B">
      <w:pPr>
        <w:pStyle w:val="HTMLPreformatted"/>
        <w:jc w:val="both"/>
        <w:rPr>
          <w:rFonts w:ascii="Times New Roman" w:hAnsi="Times New Roman" w:cs="Times New Roman"/>
          <w:b/>
          <w:iCs/>
          <w:sz w:val="24"/>
        </w:rPr>
      </w:pPr>
      <w:r>
        <w:rPr>
          <w:noProof/>
        </w:rPr>
        <w:drawing>
          <wp:inline distT="0" distB="0" distL="0" distR="0" wp14:anchorId="3E8C2EEE" wp14:editId="22F137AE">
            <wp:extent cx="2171700" cy="402577"/>
            <wp:effectExtent l="0" t="0" r="0" b="0"/>
            <wp:docPr id="4" name="Picture 3">
              <a:extLst xmlns:a="http://schemas.openxmlformats.org/drawingml/2006/main">
                <a:ext uri="{FF2B5EF4-FFF2-40B4-BE49-F238E27FC236}">
                  <a16:creationId xmlns:a16="http://schemas.microsoft.com/office/drawing/2014/main" id="{C97564FE-0FD7-4E12-9CC9-DF49174E1B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97564FE-0FD7-4E12-9CC9-DF49174E1B9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1826" cy="408162"/>
                    </a:xfrm>
                    <a:prstGeom prst="rect">
                      <a:avLst/>
                    </a:prstGeom>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C182A">
        <w:rPr>
          <w:rFonts w:ascii="Times New Roman" w:hAnsi="Times New Roman" w:cs="Times New Roman"/>
          <w:iCs/>
          <w:sz w:val="24"/>
        </w:rPr>
        <w:t>Jrfran01@syr.edu</w:t>
      </w: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5C4601" w:rsidRDefault="005C4601" w:rsidP="002350BC">
      <w:pPr>
        <w:rPr>
          <w:rFonts w:ascii="Times New Roman" w:hAnsi="Times New Roman" w:cs="Times New Roman"/>
          <w:b/>
          <w:sz w:val="24"/>
          <w:szCs w:val="24"/>
        </w:rPr>
      </w:pPr>
      <w:r>
        <w:rPr>
          <w:rFonts w:ascii="Times New Roman" w:hAnsi="Times New Roman" w:cs="Times New Roman"/>
          <w:b/>
          <w:sz w:val="24"/>
          <w:szCs w:val="24"/>
        </w:rPr>
        <w:t>Full Name:</w:t>
      </w:r>
      <w:r w:rsidR="000C182A">
        <w:rPr>
          <w:rFonts w:ascii="Times New Roman" w:hAnsi="Times New Roman" w:cs="Times New Roman"/>
          <w:b/>
          <w:sz w:val="24"/>
          <w:szCs w:val="24"/>
        </w:rPr>
        <w:t xml:space="preserve"> Jenny R. Frank</w:t>
      </w:r>
    </w:p>
    <w:p w:rsidR="005C4601" w:rsidRDefault="005C4601" w:rsidP="002350BC">
      <w:pPr>
        <w:rPr>
          <w:rFonts w:ascii="Times New Roman" w:hAnsi="Times New Roman" w:cs="Times New Roman"/>
          <w:b/>
          <w:sz w:val="24"/>
          <w:szCs w:val="24"/>
        </w:rPr>
      </w:pPr>
      <w:r>
        <w:rPr>
          <w:rFonts w:ascii="Times New Roman" w:hAnsi="Times New Roman" w:cs="Times New Roman"/>
          <w:b/>
          <w:sz w:val="24"/>
          <w:szCs w:val="24"/>
        </w:rPr>
        <w:t>Current Affiliation (Hospital/University/Organization):</w:t>
      </w:r>
      <w:r w:rsidR="000C182A">
        <w:rPr>
          <w:rFonts w:ascii="Times New Roman" w:hAnsi="Times New Roman" w:cs="Times New Roman"/>
          <w:b/>
          <w:sz w:val="24"/>
          <w:szCs w:val="24"/>
        </w:rPr>
        <w:t xml:space="preserve"> SUNY ESF</w:t>
      </w:r>
    </w:p>
    <w:p w:rsidR="000C182A" w:rsidRDefault="000C182A" w:rsidP="002350BC">
      <w:pPr>
        <w:rPr>
          <w:rFonts w:ascii="Times New Roman" w:hAnsi="Times New Roman" w:cs="Times New Roman"/>
          <w:b/>
          <w:sz w:val="24"/>
          <w:szCs w:val="24"/>
        </w:rPr>
      </w:pPr>
    </w:p>
    <w:p w:rsidR="000C182A" w:rsidRDefault="000C182A" w:rsidP="002350BC">
      <w:pPr>
        <w:rPr>
          <w:rFonts w:ascii="Times New Roman" w:hAnsi="Times New Roman" w:cs="Times New Roman"/>
          <w:b/>
          <w:sz w:val="24"/>
          <w:szCs w:val="24"/>
        </w:rPr>
      </w:pPr>
      <w:r>
        <w:rPr>
          <w:noProof/>
        </w:rPr>
        <w:drawing>
          <wp:inline distT="0" distB="0" distL="0" distR="0">
            <wp:extent cx="857250" cy="11140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7250" cy="1114096"/>
                    </a:xfrm>
                    <a:prstGeom prst="rect">
                      <a:avLst/>
                    </a:prstGeom>
                    <a:noFill/>
                    <a:ln>
                      <a:noFill/>
                    </a:ln>
                  </pic:spPr>
                </pic:pic>
              </a:graphicData>
            </a:graphic>
          </wp:inline>
        </w:drawing>
      </w:r>
    </w:p>
    <w:p w:rsidR="000C182A" w:rsidRDefault="000C182A" w:rsidP="002350BC">
      <w:pPr>
        <w:rPr>
          <w:rFonts w:ascii="Times New Roman" w:hAnsi="Times New Roman" w:cs="Times New Roman"/>
          <w:b/>
          <w:sz w:val="24"/>
          <w:szCs w:val="24"/>
        </w:rPr>
      </w:pPr>
      <w:r>
        <w:rPr>
          <w:noProof/>
        </w:rPr>
        <w:drawing>
          <wp:inline distT="0" distB="0" distL="0" distR="0" wp14:anchorId="5A2F17AC" wp14:editId="5BAC0669">
            <wp:extent cx="2171700" cy="402577"/>
            <wp:effectExtent l="0" t="0" r="0" b="0"/>
            <wp:docPr id="7" name="Picture 3">
              <a:extLst xmlns:a="http://schemas.openxmlformats.org/drawingml/2006/main">
                <a:ext uri="{FF2B5EF4-FFF2-40B4-BE49-F238E27FC236}">
                  <a16:creationId xmlns:a16="http://schemas.microsoft.com/office/drawing/2014/main" id="{C97564FE-0FD7-4E12-9CC9-DF49174E1B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97564FE-0FD7-4E12-9CC9-DF49174E1B9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1826" cy="408162"/>
                    </a:xfrm>
                    <a:prstGeom prst="rect">
                      <a:avLst/>
                    </a:prstGeom>
                  </pic:spPr>
                </pic:pic>
              </a:graphicData>
            </a:graphic>
          </wp:inline>
        </w:drawing>
      </w:r>
    </w:p>
    <w:p w:rsidR="000C182A" w:rsidRPr="00DF04E3" w:rsidRDefault="000C182A" w:rsidP="000C182A">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B6CE4">
        <w:rPr>
          <w:rFonts w:ascii="Times New Roman" w:hAnsi="Times New Roman" w:cs="Times New Roman"/>
          <w:iCs/>
          <w:sz w:val="24"/>
        </w:rPr>
        <w:t>t</w:t>
      </w:r>
      <w:r>
        <w:rPr>
          <w:rFonts w:ascii="Times New Roman" w:hAnsi="Times New Roman" w:cs="Times New Roman"/>
          <w:iCs/>
          <w:sz w:val="24"/>
        </w:rPr>
        <w:t>rbro100@esf.edu</w:t>
      </w:r>
    </w:p>
    <w:p w:rsidR="000C182A" w:rsidRDefault="000C182A" w:rsidP="000C182A">
      <w:pPr>
        <w:rPr>
          <w:rFonts w:ascii="Times New Roman" w:hAnsi="Times New Roman" w:cs="Times New Roman"/>
          <w:b/>
          <w:sz w:val="24"/>
          <w:szCs w:val="24"/>
        </w:rPr>
      </w:pPr>
      <w:r>
        <w:rPr>
          <w:rFonts w:ascii="Times New Roman" w:hAnsi="Times New Roman" w:cs="Times New Roman"/>
          <w:b/>
          <w:sz w:val="24"/>
          <w:szCs w:val="24"/>
        </w:rPr>
        <w:t>Any Comments:</w:t>
      </w:r>
    </w:p>
    <w:p w:rsidR="000C182A" w:rsidRDefault="000C182A" w:rsidP="000C182A">
      <w:pPr>
        <w:rPr>
          <w:rFonts w:ascii="Times New Roman" w:hAnsi="Times New Roman" w:cs="Times New Roman"/>
          <w:b/>
          <w:sz w:val="24"/>
          <w:szCs w:val="24"/>
        </w:rPr>
      </w:pPr>
      <w:r>
        <w:rPr>
          <w:rFonts w:ascii="Times New Roman" w:hAnsi="Times New Roman" w:cs="Times New Roman"/>
          <w:b/>
          <w:sz w:val="24"/>
          <w:szCs w:val="24"/>
        </w:rPr>
        <w:t xml:space="preserve">Full Name: </w:t>
      </w:r>
      <w:r>
        <w:rPr>
          <w:rFonts w:ascii="Times New Roman" w:hAnsi="Times New Roman" w:cs="Times New Roman"/>
          <w:b/>
          <w:sz w:val="24"/>
          <w:szCs w:val="24"/>
        </w:rPr>
        <w:t>Tristan R. Brown</w:t>
      </w:r>
    </w:p>
    <w:p w:rsidR="000C182A" w:rsidRDefault="000C182A" w:rsidP="000C182A">
      <w:pPr>
        <w:rPr>
          <w:rFonts w:ascii="Times New Roman" w:hAnsi="Times New Roman" w:cs="Times New Roman"/>
          <w:b/>
          <w:sz w:val="24"/>
          <w:szCs w:val="24"/>
        </w:rPr>
      </w:pPr>
      <w:r>
        <w:rPr>
          <w:rFonts w:ascii="Times New Roman" w:hAnsi="Times New Roman" w:cs="Times New Roman"/>
          <w:b/>
          <w:sz w:val="24"/>
          <w:szCs w:val="24"/>
        </w:rPr>
        <w:t>Current Affiliation (Hospital/University/Organization): SUNY ESF</w:t>
      </w:r>
    </w:p>
    <w:p w:rsidR="008850EB" w:rsidRDefault="008850EB" w:rsidP="002350BC">
      <w:pPr>
        <w:rPr>
          <w:noProof/>
        </w:rPr>
      </w:pPr>
      <w:r>
        <w:rPr>
          <w:noProof/>
        </w:rPr>
        <w:lastRenderedPageBreak/>
        <w:drawing>
          <wp:inline distT="0" distB="0" distL="0" distR="0" wp14:anchorId="195E0776" wp14:editId="4750FAD4">
            <wp:extent cx="876300" cy="10096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71" cy="1017020"/>
                    </a:xfrm>
                    <a:prstGeom prst="rect">
                      <a:avLst/>
                    </a:prstGeom>
                    <a:noFill/>
                    <a:ln>
                      <a:noFill/>
                    </a:ln>
                  </pic:spPr>
                </pic:pic>
              </a:graphicData>
            </a:graphic>
          </wp:inline>
        </w:drawing>
      </w:r>
    </w:p>
    <w:p w:rsidR="000C182A" w:rsidRDefault="008850EB" w:rsidP="002350BC">
      <w:pPr>
        <w:rPr>
          <w:rFonts w:ascii="Times New Roman" w:hAnsi="Times New Roman" w:cs="Times New Roman"/>
          <w:b/>
          <w:sz w:val="24"/>
          <w:szCs w:val="24"/>
        </w:rPr>
      </w:pPr>
      <w:r>
        <w:rPr>
          <w:noProof/>
        </w:rPr>
        <w:drawing>
          <wp:inline distT="0" distB="0" distL="0" distR="0" wp14:anchorId="1F812CBF" wp14:editId="399E6BA3">
            <wp:extent cx="2171700" cy="402577"/>
            <wp:effectExtent l="0" t="0" r="0" b="0"/>
            <wp:docPr id="9" name="Picture 3">
              <a:extLst xmlns:a="http://schemas.openxmlformats.org/drawingml/2006/main">
                <a:ext uri="{FF2B5EF4-FFF2-40B4-BE49-F238E27FC236}">
                  <a16:creationId xmlns:a16="http://schemas.microsoft.com/office/drawing/2014/main" id="{C97564FE-0FD7-4E12-9CC9-DF49174E1B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97564FE-0FD7-4E12-9CC9-DF49174E1B9E}"/>
                        </a:ext>
                      </a:extLst>
                    </pic:cNvPr>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01826" cy="408162"/>
                    </a:xfrm>
                    <a:prstGeom prst="rect">
                      <a:avLst/>
                    </a:prstGeom>
                  </pic:spPr>
                </pic:pic>
              </a:graphicData>
            </a:graphic>
          </wp:inline>
        </w:drawing>
      </w:r>
    </w:p>
    <w:p w:rsidR="008850EB" w:rsidRPr="00DF04E3" w:rsidRDefault="008850EB" w:rsidP="008850E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B6CE4">
        <w:rPr>
          <w:rFonts w:ascii="Times New Roman" w:hAnsi="Times New Roman" w:cs="Times New Roman"/>
          <w:iCs/>
          <w:sz w:val="24"/>
        </w:rPr>
        <w:t>r</w:t>
      </w:r>
      <w:r>
        <w:rPr>
          <w:rFonts w:ascii="Times New Roman" w:hAnsi="Times New Roman" w:cs="Times New Roman"/>
          <w:iCs/>
          <w:sz w:val="24"/>
        </w:rPr>
        <w:t>wmalmsh@esf.edu</w:t>
      </w:r>
    </w:p>
    <w:p w:rsidR="008850EB" w:rsidRDefault="008850EB" w:rsidP="008850EB">
      <w:pPr>
        <w:rPr>
          <w:rFonts w:ascii="Times New Roman" w:hAnsi="Times New Roman" w:cs="Times New Roman"/>
          <w:b/>
          <w:sz w:val="24"/>
          <w:szCs w:val="24"/>
        </w:rPr>
      </w:pPr>
      <w:r>
        <w:rPr>
          <w:rFonts w:ascii="Times New Roman" w:hAnsi="Times New Roman" w:cs="Times New Roman"/>
          <w:b/>
          <w:sz w:val="24"/>
          <w:szCs w:val="24"/>
        </w:rPr>
        <w:t>Any Comments:</w:t>
      </w:r>
    </w:p>
    <w:p w:rsidR="008850EB" w:rsidRDefault="008850EB" w:rsidP="008850EB">
      <w:pPr>
        <w:rPr>
          <w:rFonts w:ascii="Times New Roman" w:hAnsi="Times New Roman" w:cs="Times New Roman"/>
          <w:b/>
          <w:sz w:val="24"/>
          <w:szCs w:val="24"/>
        </w:rPr>
      </w:pPr>
      <w:r>
        <w:rPr>
          <w:rFonts w:ascii="Times New Roman" w:hAnsi="Times New Roman" w:cs="Times New Roman"/>
          <w:b/>
          <w:sz w:val="24"/>
          <w:szCs w:val="24"/>
        </w:rPr>
        <w:t xml:space="preserve">Full Name: </w:t>
      </w:r>
      <w:r>
        <w:rPr>
          <w:rFonts w:ascii="Times New Roman" w:hAnsi="Times New Roman" w:cs="Times New Roman"/>
          <w:b/>
          <w:sz w:val="24"/>
          <w:szCs w:val="24"/>
        </w:rPr>
        <w:t>Robert W. Malmsheimer</w:t>
      </w:r>
    </w:p>
    <w:p w:rsidR="008850EB" w:rsidRDefault="008850EB" w:rsidP="008850EB">
      <w:pPr>
        <w:rPr>
          <w:rFonts w:ascii="Times New Roman" w:hAnsi="Times New Roman" w:cs="Times New Roman"/>
          <w:b/>
          <w:sz w:val="24"/>
          <w:szCs w:val="24"/>
        </w:rPr>
      </w:pPr>
      <w:r>
        <w:rPr>
          <w:rFonts w:ascii="Times New Roman" w:hAnsi="Times New Roman" w:cs="Times New Roman"/>
          <w:b/>
          <w:sz w:val="24"/>
          <w:szCs w:val="24"/>
        </w:rPr>
        <w:t>Current Affiliation (Hospital/University/Organization): SUNY ESF</w:t>
      </w:r>
    </w:p>
    <w:p w:rsidR="008850EB" w:rsidRDefault="008850EB" w:rsidP="008850EB">
      <w:pPr>
        <w:rPr>
          <w:rFonts w:ascii="Times New Roman" w:hAnsi="Times New Roman" w:cs="Times New Roman"/>
          <w:b/>
          <w:sz w:val="24"/>
          <w:szCs w:val="24"/>
        </w:rPr>
      </w:pPr>
    </w:p>
    <w:p w:rsidR="008850EB" w:rsidRPr="00495C76" w:rsidRDefault="008850EB" w:rsidP="002350BC">
      <w:pPr>
        <w:rPr>
          <w:rFonts w:ascii="Times New Roman" w:hAnsi="Times New Roman" w:cs="Times New Roman"/>
          <w:b/>
          <w:sz w:val="24"/>
          <w:szCs w:val="24"/>
        </w:rPr>
      </w:pPr>
    </w:p>
    <w:sectPr w:rsidR="008850EB"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100" w:rsidRDefault="00801100" w:rsidP="00495C76">
      <w:pPr>
        <w:spacing w:after="0" w:line="240" w:lineRule="auto"/>
      </w:pPr>
      <w:r>
        <w:separator/>
      </w:r>
    </w:p>
  </w:endnote>
  <w:endnote w:type="continuationSeparator" w:id="0">
    <w:p w:rsidR="00801100" w:rsidRDefault="0080110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100" w:rsidRDefault="00801100" w:rsidP="00495C76">
      <w:pPr>
        <w:spacing w:after="0" w:line="240" w:lineRule="auto"/>
      </w:pPr>
      <w:r>
        <w:separator/>
      </w:r>
    </w:p>
  </w:footnote>
  <w:footnote w:type="continuationSeparator" w:id="0">
    <w:p w:rsidR="00801100" w:rsidRDefault="0080110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C182A"/>
    <w:rsid w:val="002350BC"/>
    <w:rsid w:val="00236DAA"/>
    <w:rsid w:val="0028059F"/>
    <w:rsid w:val="002F4DF0"/>
    <w:rsid w:val="00333E31"/>
    <w:rsid w:val="00370A49"/>
    <w:rsid w:val="0038483D"/>
    <w:rsid w:val="00435234"/>
    <w:rsid w:val="00495C76"/>
    <w:rsid w:val="00503237"/>
    <w:rsid w:val="005C4601"/>
    <w:rsid w:val="00627419"/>
    <w:rsid w:val="006C057D"/>
    <w:rsid w:val="00773617"/>
    <w:rsid w:val="007A3B18"/>
    <w:rsid w:val="00801100"/>
    <w:rsid w:val="0085474B"/>
    <w:rsid w:val="008850EB"/>
    <w:rsid w:val="008B6CE4"/>
    <w:rsid w:val="00B3082B"/>
    <w:rsid w:val="00B6703B"/>
    <w:rsid w:val="00BA654F"/>
    <w:rsid w:val="00CE511D"/>
    <w:rsid w:val="00D4198D"/>
    <w:rsid w:val="00DF04E3"/>
    <w:rsid w:val="00E853E5"/>
    <w:rsid w:val="00EC2CCD"/>
    <w:rsid w:val="00EE69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42BC1"/>
  <w15:docId w15:val="{1E5129AA-A40F-47C7-8BCF-9EF77C1AE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0C18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adjustRightInd w:val="0"/>
      <w:spacing w:before="60" w:after="0" w:line="260" w:lineRule="atLeast"/>
      <w:ind w:left="720"/>
      <w:contextualSpacing/>
    </w:pPr>
    <w:rPr>
      <w:rFonts w:ascii="Times New Roman" w:eastAsia="Times New Roman" w:hAnsi="Times New Roman" w:cs="Times New Roman"/>
      <w:color w:val="000000"/>
      <w:w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Jenny R. Frank</cp:lastModifiedBy>
  <cp:revision>2</cp:revision>
  <dcterms:created xsi:type="dcterms:W3CDTF">2019-09-03T16:30:00Z</dcterms:created>
  <dcterms:modified xsi:type="dcterms:W3CDTF">2019-09-03T16:30:00Z</dcterms:modified>
</cp:coreProperties>
</file>