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44" w:rsidRPr="00C2550C" w:rsidRDefault="00B55C44" w:rsidP="00B55C44">
      <w:pPr>
        <w:pStyle w:val="Heading1"/>
        <w:spacing w:line="240" w:lineRule="auto"/>
        <w:jc w:val="center"/>
        <w:rPr>
          <w:rFonts w:asciiTheme="minorBidi" w:hAnsiTheme="minorBidi" w:cstheme="minorBidi"/>
          <w:sz w:val="28"/>
          <w:szCs w:val="28"/>
        </w:rPr>
      </w:pPr>
      <w:r w:rsidRPr="00C2550C">
        <w:rPr>
          <w:rFonts w:asciiTheme="minorBidi" w:hAnsiTheme="minorBidi" w:cstheme="minorBidi"/>
          <w:sz w:val="28"/>
          <w:szCs w:val="28"/>
        </w:rPr>
        <w:t>Gold Nanoparticles - an Optical Biosensor for the direct RNA Quantification for Cancer, Neurological Disorders and Hepatitis C Virus Diagnosis</w:t>
      </w:r>
    </w:p>
    <w:p w:rsidR="00B55C44" w:rsidRPr="003459A8" w:rsidRDefault="00B55C44" w:rsidP="00B55C44">
      <w:pPr>
        <w:spacing w:line="36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459A8">
        <w:rPr>
          <w:rFonts w:ascii="Arial" w:hAnsi="Arial" w:cs="Arial"/>
          <w:i/>
          <w:iCs/>
          <w:sz w:val="18"/>
          <w:szCs w:val="18"/>
        </w:rPr>
        <w:t>Sherif M. Shawky</w:t>
      </w:r>
      <w:r w:rsidRPr="003459A8">
        <w:rPr>
          <w:rFonts w:ascii="Arial" w:hAnsi="Arial" w:cs="Arial"/>
          <w:i/>
          <w:iCs/>
          <w:sz w:val="18"/>
          <w:szCs w:val="18"/>
          <w:vertAlign w:val="superscript"/>
        </w:rPr>
        <w:t>1, 3,</w:t>
      </w:r>
      <w:r w:rsidRPr="003459A8">
        <w:rPr>
          <w:rFonts w:ascii="Arial" w:hAnsi="Arial" w:cs="Arial"/>
          <w:i/>
          <w:iCs/>
          <w:sz w:val="18"/>
          <w:szCs w:val="18"/>
        </w:rPr>
        <w:t xml:space="preserve"> Ahmed A. Awad</w:t>
      </w:r>
      <w:r w:rsidRPr="003459A8">
        <w:rPr>
          <w:rFonts w:ascii="Arial" w:hAnsi="Arial" w:cs="Arial"/>
          <w:i/>
          <w:iCs/>
          <w:sz w:val="18"/>
          <w:szCs w:val="18"/>
          <w:vertAlign w:val="superscript"/>
        </w:rPr>
        <w:t>1</w:t>
      </w:r>
      <w:r w:rsidRPr="003459A8">
        <w:rPr>
          <w:rFonts w:ascii="Arial" w:hAnsi="Arial" w:cs="Arial"/>
          <w:i/>
          <w:iCs/>
          <w:sz w:val="18"/>
          <w:szCs w:val="18"/>
        </w:rPr>
        <w:t>, Arwa A. Abugable</w:t>
      </w:r>
      <w:r w:rsidRPr="003459A8">
        <w:rPr>
          <w:rFonts w:ascii="Arial" w:hAnsi="Arial" w:cs="Arial"/>
          <w:i/>
          <w:iCs/>
          <w:sz w:val="18"/>
          <w:szCs w:val="18"/>
          <w:vertAlign w:val="superscript"/>
        </w:rPr>
        <w:t>1</w:t>
      </w:r>
      <w:proofErr w:type="gramStart"/>
      <w:r w:rsidRPr="003459A8">
        <w:rPr>
          <w:rFonts w:ascii="Arial" w:hAnsi="Arial" w:cs="Arial"/>
          <w:i/>
          <w:iCs/>
          <w:sz w:val="18"/>
          <w:szCs w:val="18"/>
          <w:vertAlign w:val="superscript"/>
        </w:rPr>
        <w:t>,</w:t>
      </w:r>
      <w:r w:rsidR="00C2550C">
        <w:rPr>
          <w:rFonts w:ascii="Arial" w:hAnsi="Arial" w:cs="Arial"/>
          <w:i/>
          <w:iCs/>
          <w:sz w:val="18"/>
          <w:szCs w:val="18"/>
        </w:rPr>
        <w:t xml:space="preserve"> </w:t>
      </w:r>
      <w:r w:rsidRPr="003459A8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3459A8">
        <w:rPr>
          <w:rFonts w:ascii="Arial" w:hAnsi="Arial" w:cs="Arial"/>
          <w:i/>
          <w:iCs/>
          <w:sz w:val="18"/>
          <w:szCs w:val="18"/>
          <w:lang w:val="en-US"/>
        </w:rPr>
        <w:t>Walaa</w:t>
      </w:r>
      <w:proofErr w:type="spellEnd"/>
      <w:proofErr w:type="gramEnd"/>
      <w:r w:rsidRPr="003459A8">
        <w:rPr>
          <w:rFonts w:ascii="Arial" w:hAnsi="Arial" w:cs="Arial"/>
          <w:i/>
          <w:iCs/>
          <w:sz w:val="18"/>
          <w:szCs w:val="18"/>
          <w:lang w:val="en-US"/>
        </w:rPr>
        <w:t xml:space="preserve"> Allam</w:t>
      </w:r>
      <w:r>
        <w:rPr>
          <w:rFonts w:ascii="Arial" w:hAnsi="Arial" w:cs="Arial"/>
          <w:i/>
          <w:iCs/>
          <w:sz w:val="18"/>
          <w:szCs w:val="18"/>
          <w:lang w:val="en-US"/>
        </w:rPr>
        <w:t>1</w:t>
      </w:r>
      <w:r w:rsidRPr="003459A8">
        <w:rPr>
          <w:rFonts w:ascii="Arial" w:hAnsi="Arial" w:cs="Arial"/>
          <w:i/>
          <w:iCs/>
          <w:sz w:val="18"/>
          <w:szCs w:val="18"/>
          <w:lang w:val="en-US"/>
        </w:rPr>
        <w:t>, Mohamed H. Alkordi</w:t>
      </w:r>
      <w:r w:rsidRPr="003459A8"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  <w:t>4</w:t>
      </w:r>
      <w:r w:rsidRPr="003459A8">
        <w:rPr>
          <w:rFonts w:ascii="Arial" w:hAnsi="Arial" w:cs="Arial"/>
          <w:i/>
          <w:iCs/>
          <w:sz w:val="18"/>
          <w:szCs w:val="18"/>
        </w:rPr>
        <w:t xml:space="preserve"> and Sherif F. EL-Khamisy</w:t>
      </w:r>
      <w:r w:rsidRPr="003459A8">
        <w:rPr>
          <w:rFonts w:ascii="Arial" w:hAnsi="Arial" w:cs="Arial"/>
          <w:i/>
          <w:iCs/>
          <w:sz w:val="18"/>
          <w:szCs w:val="18"/>
          <w:vertAlign w:val="superscript"/>
        </w:rPr>
        <w:t>1, 2*</w:t>
      </w:r>
    </w:p>
    <w:p w:rsidR="00B55C44" w:rsidRPr="00B55C44" w:rsidRDefault="00B55C44" w:rsidP="00C2550C">
      <w:pPr>
        <w:spacing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B55C44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Pr="00B55C44">
        <w:rPr>
          <w:rFonts w:asciiTheme="majorBidi" w:hAnsiTheme="majorBidi" w:cstheme="majorBidi"/>
          <w:i/>
          <w:iCs/>
          <w:sz w:val="24"/>
          <w:szCs w:val="24"/>
        </w:rPr>
        <w:t>Center of Genomics, Helmy Institute, Zewail City of Science and Technology,</w:t>
      </w:r>
      <w:r w:rsidR="00D87783">
        <w:rPr>
          <w:rFonts w:asciiTheme="majorBidi" w:hAnsiTheme="majorBidi" w:cstheme="majorBidi"/>
          <w:i/>
          <w:iCs/>
          <w:sz w:val="24"/>
          <w:szCs w:val="24"/>
        </w:rPr>
        <w:t xml:space="preserve"> Giza, Egypt</w:t>
      </w:r>
    </w:p>
    <w:p w:rsidR="00B55C44" w:rsidRPr="00B55C44" w:rsidRDefault="00B55C44" w:rsidP="00C2550C">
      <w:pPr>
        <w:spacing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B55C44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B55C44">
        <w:rPr>
          <w:rFonts w:asciiTheme="majorBidi" w:hAnsiTheme="majorBidi" w:cstheme="majorBidi"/>
          <w:i/>
          <w:iCs/>
          <w:sz w:val="24"/>
          <w:szCs w:val="24"/>
        </w:rPr>
        <w:t>Krebs Institute, Department of Molecular Biology and Biotechnology, University of Sheffield, Sheffield, S10 2TN, UK</w:t>
      </w:r>
    </w:p>
    <w:p w:rsidR="00DF04E3" w:rsidRPr="00C2550C" w:rsidRDefault="00B55C44" w:rsidP="00C2550C">
      <w:pPr>
        <w:spacing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B55C44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3</w:t>
      </w:r>
      <w:r w:rsidRPr="00B55C44">
        <w:rPr>
          <w:rFonts w:asciiTheme="majorBidi" w:hAnsiTheme="majorBidi" w:cstheme="majorBidi"/>
          <w:i/>
          <w:iCs/>
          <w:sz w:val="24"/>
          <w:szCs w:val="24"/>
        </w:rPr>
        <w:t>Misr University for Science and Technology, Faculty of Pharmacy, Biochemistry Department, Giza, Egypt</w:t>
      </w:r>
    </w:p>
    <w:p w:rsidR="00C2550C" w:rsidRDefault="00C2550C" w:rsidP="00077D7E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D87783" w:rsidRPr="009F1652" w:rsidRDefault="00D87783" w:rsidP="00077D7E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9F1652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Introduction: </w:t>
      </w:r>
      <w:r w:rsidRPr="009F1652">
        <w:rPr>
          <w:rFonts w:asciiTheme="majorBidi" w:hAnsiTheme="majorBidi" w:cstheme="majorBidi"/>
          <w:bCs/>
          <w:sz w:val="24"/>
          <w:szCs w:val="24"/>
        </w:rPr>
        <w:t xml:space="preserve">The unique physicochemical properties of gold nanoparticles (AuNPs) have been exploited to develop </w:t>
      </w:r>
      <w:r w:rsidRPr="009F1652">
        <w:rPr>
          <w:rFonts w:asciiTheme="majorBidi" w:hAnsiTheme="majorBidi" w:cstheme="majorBidi"/>
          <w:i/>
          <w:iCs/>
          <w:color w:val="000000"/>
          <w:sz w:val="24"/>
          <w:szCs w:val="24"/>
        </w:rPr>
        <w:t>Gold Aggregating Gold (GAG)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approach. Quantification of </w:t>
      </w:r>
      <w:r w:rsidR="001D1C65"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HCV RNA 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>is a cornerstone in th</w:t>
      </w:r>
      <w:r w:rsidR="001D1C65" w:rsidRPr="009F1652">
        <w:rPr>
          <w:rFonts w:asciiTheme="majorBidi" w:hAnsiTheme="majorBidi" w:cstheme="majorBidi"/>
          <w:color w:val="000000"/>
          <w:sz w:val="24"/>
          <w:szCs w:val="24"/>
        </w:rPr>
        <w:t>e</w:t>
      </w:r>
      <w:r w:rsidR="00384B78"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infection</w:t>
      </w:r>
      <w:r w:rsidR="001D1C65"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management</w:t>
      </w:r>
      <w:r w:rsidR="007F7852" w:rsidRPr="009F1652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1D1C65"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84B78" w:rsidRPr="009F1652">
        <w:rPr>
          <w:rFonts w:asciiTheme="majorBidi" w:hAnsiTheme="majorBidi" w:cstheme="majorBidi"/>
          <w:color w:val="000000"/>
          <w:sz w:val="24"/>
          <w:szCs w:val="24"/>
        </w:rPr>
        <w:t>On the other hand</w:t>
      </w:r>
      <w:r w:rsidR="007F7852"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7F7852" w:rsidRPr="009F1652">
        <w:rPr>
          <w:rFonts w:asciiTheme="majorBidi" w:hAnsiTheme="majorBidi" w:cstheme="majorBidi"/>
          <w:bCs/>
          <w:sz w:val="24"/>
          <w:szCs w:val="24"/>
        </w:rPr>
        <w:t xml:space="preserve">Topoisomerase 1 (TOP1) and Tyrosyl DNA Phosphodiesterase 2 (TDP2) were among the transcripts of choice due to their role as genomic stability biomarkers and their implication in various cancers and neurological disorders. </w:t>
      </w:r>
      <w:r w:rsidR="001D1C65" w:rsidRPr="009F1652">
        <w:rPr>
          <w:rFonts w:asciiTheme="majorBidi" w:hAnsiTheme="majorBidi" w:cstheme="majorBidi"/>
          <w:color w:val="000000"/>
          <w:sz w:val="24"/>
          <w:szCs w:val="24"/>
        </w:rPr>
        <w:t>T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>he existing technologies are expensive, labour intensive and time consuming, posing significant limitations to their wide-scale exploitation, particularly in economically deprived populations. We have</w:t>
      </w:r>
      <w:r w:rsidRPr="009F1652">
        <w:rPr>
          <w:rFonts w:asciiTheme="majorBidi" w:hAnsiTheme="majorBidi" w:cstheme="majorBidi"/>
          <w:sz w:val="24"/>
          <w:szCs w:val="24"/>
        </w:rPr>
        <w:t xml:space="preserve"> 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developed for the first </w:t>
      </w:r>
      <w:proofErr w:type="gramStart"/>
      <w:r w:rsidRPr="009F1652">
        <w:rPr>
          <w:rFonts w:asciiTheme="majorBidi" w:hAnsiTheme="majorBidi" w:cstheme="majorBidi"/>
          <w:color w:val="000000"/>
          <w:sz w:val="24"/>
          <w:szCs w:val="24"/>
        </w:rPr>
        <w:t>time,</w:t>
      </w:r>
      <w:proofErr w:type="gramEnd"/>
      <w:r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C2550C" w:rsidRPr="009F1652">
        <w:rPr>
          <w:rFonts w:asciiTheme="majorBidi" w:hAnsiTheme="majorBidi" w:cstheme="majorBidi"/>
          <w:color w:val="000000"/>
          <w:sz w:val="24"/>
          <w:szCs w:val="24"/>
        </w:rPr>
        <w:t>cationic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 xml:space="preserve"> AuNPs to induce aggregation of citrate capped AuNPs decorated with RNA of interest specific probe </w:t>
      </w:r>
      <w:r w:rsidRPr="009F1652">
        <w:rPr>
          <w:rFonts w:asciiTheme="majorBidi" w:hAnsiTheme="majorBidi" w:cstheme="majorBidi"/>
          <w:b/>
          <w:bCs/>
          <w:color w:val="000000"/>
          <w:sz w:val="24"/>
          <w:szCs w:val="24"/>
        </w:rPr>
        <w:t>(</w:t>
      </w:r>
      <w:r w:rsidRPr="009F1652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nanoprobe)</w:t>
      </w:r>
      <w:r w:rsidRPr="009F1652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D87783" w:rsidRPr="009F1652" w:rsidRDefault="00D87783" w:rsidP="00077D7E">
      <w:pPr>
        <w:jc w:val="both"/>
        <w:rPr>
          <w:rFonts w:asciiTheme="majorBidi" w:hAnsiTheme="majorBidi" w:cstheme="majorBidi"/>
          <w:bCs/>
          <w:sz w:val="24"/>
          <w:szCs w:val="24"/>
        </w:rPr>
      </w:pPr>
      <w:r w:rsidRPr="009F1652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9F1652">
        <w:rPr>
          <w:rFonts w:asciiTheme="majorBidi" w:hAnsiTheme="majorBidi" w:cstheme="majorBidi"/>
          <w:bCs/>
          <w:sz w:val="24"/>
          <w:szCs w:val="24"/>
        </w:rPr>
        <w:t xml:space="preserve">TOP1, TDP2 and HCV </w:t>
      </w:r>
      <w:r w:rsidR="007F7852" w:rsidRPr="009F1652">
        <w:rPr>
          <w:rFonts w:asciiTheme="majorBidi" w:hAnsiTheme="majorBidi" w:cstheme="majorBidi"/>
          <w:bCs/>
          <w:sz w:val="24"/>
          <w:szCs w:val="24"/>
        </w:rPr>
        <w:t>RNA were</w:t>
      </w:r>
      <w:r w:rsidRPr="009F1652">
        <w:rPr>
          <w:rFonts w:asciiTheme="majorBidi" w:hAnsiTheme="majorBidi" w:cstheme="majorBidi"/>
          <w:bCs/>
          <w:sz w:val="24"/>
          <w:szCs w:val="24"/>
        </w:rPr>
        <w:t xml:space="preserve"> first captured specifically using magnetic nanoparticles that were functionalized with a TOP, TDP2 and HCV -specific probes</w:t>
      </w:r>
      <w:r w:rsidR="00C2550C">
        <w:rPr>
          <w:rFonts w:asciiTheme="majorBidi" w:hAnsiTheme="majorBidi" w:cstheme="majorBidi"/>
          <w:bCs/>
          <w:sz w:val="24"/>
          <w:szCs w:val="24"/>
        </w:rPr>
        <w:t xml:space="preserve"> in serum specimens</w:t>
      </w:r>
      <w:r w:rsidRPr="009F1652">
        <w:rPr>
          <w:rFonts w:asciiTheme="majorBidi" w:hAnsiTheme="majorBidi" w:cstheme="majorBidi"/>
          <w:bCs/>
          <w:sz w:val="24"/>
          <w:szCs w:val="24"/>
        </w:rPr>
        <w:t xml:space="preserve">, respectively. The captured </w:t>
      </w:r>
      <w:r w:rsidR="006D5744" w:rsidRPr="009F1652">
        <w:rPr>
          <w:rFonts w:asciiTheme="majorBidi" w:hAnsiTheme="majorBidi" w:cstheme="majorBidi"/>
          <w:bCs/>
          <w:sz w:val="24"/>
          <w:szCs w:val="24"/>
        </w:rPr>
        <w:t xml:space="preserve">unamplified </w:t>
      </w:r>
      <w:r w:rsidRPr="009F1652">
        <w:rPr>
          <w:rFonts w:asciiTheme="majorBidi" w:hAnsiTheme="majorBidi" w:cstheme="majorBidi"/>
          <w:bCs/>
          <w:sz w:val="24"/>
          <w:szCs w:val="24"/>
        </w:rPr>
        <w:t>mRNA was then directly detected and quantified using GAG assay</w:t>
      </w:r>
      <w:r w:rsidR="006D5744" w:rsidRPr="009F1652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Pr="009F1652">
        <w:rPr>
          <w:rFonts w:asciiTheme="majorBidi" w:hAnsiTheme="majorBidi" w:cstheme="majorBidi"/>
          <w:sz w:val="24"/>
          <w:szCs w:val="24"/>
        </w:rPr>
        <w:t>Solution color was developed immediately. RNA quantification was done by recording the spectral absorbance ratio of non-aggregated AuNPs to the aggregated nanoparticles (ƛ</w:t>
      </w:r>
      <w:r w:rsidRPr="009F1652">
        <w:rPr>
          <w:rFonts w:asciiTheme="majorBidi" w:hAnsiTheme="majorBidi" w:cstheme="majorBidi"/>
          <w:sz w:val="24"/>
          <w:szCs w:val="24"/>
          <w:vertAlign w:val="subscript"/>
        </w:rPr>
        <w:t>530/650</w:t>
      </w:r>
      <w:r w:rsidRPr="009F1652">
        <w:rPr>
          <w:rFonts w:asciiTheme="majorBidi" w:hAnsiTheme="majorBidi" w:cstheme="majorBidi"/>
          <w:sz w:val="24"/>
          <w:szCs w:val="24"/>
        </w:rPr>
        <w:t>) against a standard curve of serial diluted RNA of interest.</w:t>
      </w:r>
    </w:p>
    <w:p w:rsidR="00D87783" w:rsidRPr="00077D7E" w:rsidRDefault="00D87783" w:rsidP="00077D7E">
      <w:pPr>
        <w:rPr>
          <w:rFonts w:asciiTheme="majorBidi" w:hAnsiTheme="majorBidi" w:cstheme="majorBidi"/>
          <w:bCs/>
          <w:sz w:val="24"/>
          <w:szCs w:val="24"/>
        </w:rPr>
      </w:pPr>
      <w:r w:rsidRPr="009F1652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9F1652">
        <w:rPr>
          <w:rFonts w:asciiTheme="majorBidi" w:hAnsiTheme="majorBidi" w:cstheme="majorBidi"/>
          <w:sz w:val="24"/>
          <w:szCs w:val="24"/>
        </w:rPr>
        <w:t>In positive samples, the AuNPs solution retained its red c</w:t>
      </w:r>
      <w:r w:rsidR="006D5744" w:rsidRPr="009F1652">
        <w:rPr>
          <w:rFonts w:asciiTheme="majorBidi" w:hAnsiTheme="majorBidi" w:cstheme="majorBidi"/>
          <w:sz w:val="24"/>
          <w:szCs w:val="24"/>
        </w:rPr>
        <w:t>olor, while in negative samples</w:t>
      </w:r>
      <w:r w:rsidR="00C2550C">
        <w:rPr>
          <w:rFonts w:asciiTheme="majorBidi" w:hAnsiTheme="majorBidi" w:cstheme="majorBidi"/>
          <w:sz w:val="24"/>
          <w:szCs w:val="24"/>
        </w:rPr>
        <w:t xml:space="preserve"> the color changed to blue</w:t>
      </w:r>
      <w:r w:rsidRPr="009F1652">
        <w:rPr>
          <w:rFonts w:asciiTheme="majorBidi" w:hAnsiTheme="majorBidi" w:cstheme="majorBidi"/>
          <w:sz w:val="24"/>
          <w:szCs w:val="24"/>
        </w:rPr>
        <w:t>.</w:t>
      </w:r>
      <w:r w:rsidR="00184161" w:rsidRPr="009F1652">
        <w:rPr>
          <w:rFonts w:asciiTheme="majorBidi" w:hAnsiTheme="majorBidi" w:cstheme="majorBidi"/>
          <w:bCs/>
          <w:sz w:val="24"/>
          <w:szCs w:val="24"/>
        </w:rPr>
        <w:t xml:space="preserve"> A linear correlation exists between the GAG assay and the qPCR for the quantification of the RNAs (10</w:t>
      </w:r>
      <w:r w:rsidR="00184161" w:rsidRPr="009F1652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="00184161" w:rsidRPr="009F1652">
        <w:rPr>
          <w:rFonts w:asciiTheme="majorBidi" w:hAnsiTheme="majorBidi" w:cstheme="majorBidi"/>
          <w:bCs/>
          <w:sz w:val="24"/>
          <w:szCs w:val="24"/>
        </w:rPr>
        <w:t xml:space="preserve"> to 10</w:t>
      </w:r>
      <w:r w:rsidR="00184161" w:rsidRPr="009F1652">
        <w:rPr>
          <w:rFonts w:asciiTheme="majorBidi" w:hAnsiTheme="majorBidi" w:cstheme="majorBidi"/>
          <w:bCs/>
          <w:sz w:val="24"/>
          <w:szCs w:val="24"/>
          <w:vertAlign w:val="superscript"/>
        </w:rPr>
        <w:t>4</w:t>
      </w:r>
      <w:r w:rsidR="00184161" w:rsidRPr="009F1652">
        <w:rPr>
          <w:rFonts w:asciiTheme="majorBidi" w:hAnsiTheme="majorBidi" w:cstheme="majorBidi"/>
          <w:bCs/>
          <w:sz w:val="24"/>
          <w:szCs w:val="24"/>
        </w:rPr>
        <w:t xml:space="preserve"> copies)</w:t>
      </w:r>
      <w:r w:rsidR="00384B78" w:rsidRPr="009F1652">
        <w:rPr>
          <w:rFonts w:asciiTheme="majorBidi" w:hAnsiTheme="majorBidi" w:cstheme="majorBidi"/>
          <w:bCs/>
          <w:sz w:val="24"/>
          <w:szCs w:val="24"/>
        </w:rPr>
        <w:t xml:space="preserve">, with detection limit of </w:t>
      </w:r>
      <w:r w:rsidR="00184161" w:rsidRPr="009F1652">
        <w:rPr>
          <w:rFonts w:asciiTheme="majorBidi" w:hAnsiTheme="majorBidi" w:cstheme="majorBidi"/>
          <w:bCs/>
          <w:sz w:val="24"/>
          <w:szCs w:val="24"/>
        </w:rPr>
        <w:t xml:space="preserve">up to 10 copies per reaction a. Wild-type and TDP2-deficient cell lines confirmed the assay specificity and reproducibility in distinguishing between different transcripts.  </w:t>
      </w:r>
    </w:p>
    <w:p w:rsidR="002350BC" w:rsidRPr="00077D7E" w:rsidRDefault="00D87783" w:rsidP="00077D7E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bookmarkStart w:id="0" w:name="Synthesis, functionalization and charact"/>
      <w:bookmarkStart w:id="1" w:name="Synthesis and characterization of Cystea"/>
      <w:bookmarkStart w:id="2" w:name="Synthesis and characterization of CTAB A"/>
      <w:bookmarkStart w:id="3" w:name="HCV RNA extraction evaluation"/>
      <w:bookmarkStart w:id="4" w:name="Cell lines and total RNA extraction"/>
      <w:bookmarkStart w:id="5" w:name="Colorimetric/spectrophotometric AuNPs as"/>
      <w:bookmarkStart w:id="6" w:name="_bookmark0"/>
      <w:bookmarkStart w:id="7" w:name="Materials and methods"/>
      <w:bookmarkStart w:id="8" w:name="Chemicals and equipments"/>
      <w:bookmarkStart w:id="9" w:name="Serum samples collection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9F165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Conclusion: </w:t>
      </w:r>
      <w:r w:rsidR="00077D7E" w:rsidRPr="00077D7E">
        <w:rPr>
          <w:rFonts w:asciiTheme="majorBidi" w:hAnsiTheme="majorBidi" w:cstheme="majorBidi"/>
          <w:bCs/>
          <w:sz w:val="24"/>
          <w:szCs w:val="24"/>
        </w:rPr>
        <w:t xml:space="preserve">The novel GAG assay can be utilized as an inexpensive, rapid, simple and sensitive tool for the absolute quantification of RNA </w:t>
      </w:r>
      <w:r w:rsidR="00077D7E">
        <w:rPr>
          <w:rFonts w:asciiTheme="majorBidi" w:hAnsiTheme="majorBidi" w:cstheme="majorBidi"/>
          <w:bCs/>
          <w:sz w:val="24"/>
          <w:szCs w:val="24"/>
        </w:rPr>
        <w:t xml:space="preserve">from different origins and </w:t>
      </w:r>
      <w:r w:rsidR="00077D7E" w:rsidRPr="00077D7E">
        <w:rPr>
          <w:rFonts w:asciiTheme="majorBidi" w:hAnsiTheme="majorBidi" w:cstheme="majorBidi"/>
          <w:bCs/>
          <w:sz w:val="24"/>
          <w:szCs w:val="24"/>
        </w:rPr>
        <w:t xml:space="preserve">for different applications, instead of the laborious, expensive and sophisticated real-time PCR. </w:t>
      </w:r>
      <w:r w:rsidR="00077D7E">
        <w:rPr>
          <w:rFonts w:asciiTheme="majorBidi" w:hAnsiTheme="majorBidi" w:cstheme="majorBidi"/>
          <w:sz w:val="24"/>
          <w:szCs w:val="24"/>
          <w:lang w:val="en-US"/>
        </w:rPr>
        <w:t>Moreover, it</w:t>
      </w:r>
      <w:r w:rsidR="00077D7E" w:rsidRPr="00077D7E">
        <w:rPr>
          <w:rFonts w:asciiTheme="majorBidi" w:hAnsiTheme="majorBidi" w:cstheme="majorBidi"/>
          <w:sz w:val="24"/>
          <w:szCs w:val="24"/>
          <w:lang w:val="en-US"/>
        </w:rPr>
        <w:t xml:space="preserve"> could readily be adopted for full automation.</w:t>
      </w:r>
    </w:p>
    <w:p w:rsidR="00DF04E3" w:rsidRPr="00C2550C" w:rsidRDefault="0028059F" w:rsidP="00C2550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C2550C">
        <w:rPr>
          <w:rFonts w:ascii="Times New Roman" w:hAnsi="Times New Roman" w:cs="Times New Roman"/>
          <w:b/>
          <w:bCs/>
          <w:sz w:val="24"/>
        </w:rPr>
        <w:t>Keywords</w:t>
      </w:r>
      <w:r w:rsidR="009F1652" w:rsidRPr="00C2550C">
        <w:rPr>
          <w:rFonts w:ascii="Times New Roman" w:hAnsi="Times New Roman" w:cs="Times New Roman"/>
          <w:b/>
          <w:bCs/>
          <w:sz w:val="24"/>
        </w:rPr>
        <w:t>:</w:t>
      </w:r>
      <w:r w:rsidR="009F1652">
        <w:rPr>
          <w:rFonts w:ascii="Times New Roman" w:hAnsi="Times New Roman" w:cs="Times New Roman"/>
          <w:sz w:val="24"/>
        </w:rPr>
        <w:t xml:space="preserve"> </w:t>
      </w:r>
      <w:r w:rsidR="009F1652" w:rsidRPr="00077D7E">
        <w:rPr>
          <w:rFonts w:ascii="Times New Roman" w:hAnsi="Times New Roman" w:cs="Times New Roman"/>
          <w:i/>
          <w:iCs/>
          <w:sz w:val="24"/>
        </w:rPr>
        <w:t>Gold</w:t>
      </w:r>
      <w:r w:rsidR="00077D7E" w:rsidRPr="00077D7E">
        <w:rPr>
          <w:rFonts w:ascii="Times New Roman" w:hAnsi="Times New Roman" w:cs="Times New Roman"/>
          <w:i/>
          <w:iCs/>
          <w:sz w:val="24"/>
        </w:rPr>
        <w:t xml:space="preserve"> &amp; Magnetic</w:t>
      </w:r>
      <w:r w:rsidR="009F1652" w:rsidRPr="00077D7E">
        <w:rPr>
          <w:rFonts w:ascii="Times New Roman" w:hAnsi="Times New Roman" w:cs="Times New Roman"/>
          <w:i/>
          <w:iCs/>
          <w:sz w:val="24"/>
        </w:rPr>
        <w:t xml:space="preserve"> nanoparticles, </w:t>
      </w:r>
      <w:r w:rsidR="00077D7E" w:rsidRPr="00077D7E">
        <w:rPr>
          <w:rFonts w:ascii="Times New Roman" w:hAnsi="Times New Roman" w:cs="Times New Roman"/>
          <w:i/>
          <w:iCs/>
          <w:sz w:val="24"/>
        </w:rPr>
        <w:t xml:space="preserve">HCV RNA quantification, </w:t>
      </w:r>
      <w:r w:rsidR="009F1652" w:rsidRPr="00077D7E">
        <w:rPr>
          <w:rFonts w:asciiTheme="minorBidi" w:hAnsiTheme="minorBidi" w:cstheme="minorBidi"/>
          <w:i/>
          <w:iCs/>
        </w:rPr>
        <w:t>Gold Aggregating Gold (GAG)</w:t>
      </w:r>
      <w:r w:rsidR="00077D7E" w:rsidRPr="00077D7E">
        <w:rPr>
          <w:rFonts w:asciiTheme="minorBidi" w:hAnsiTheme="minorBidi" w:cstheme="minorBidi"/>
          <w:i/>
          <w:iCs/>
        </w:rPr>
        <w:t xml:space="preserve"> assay,</w:t>
      </w:r>
      <w:r w:rsidR="009F1652" w:rsidRPr="00077D7E">
        <w:rPr>
          <w:rFonts w:asciiTheme="minorBidi" w:hAnsiTheme="minorBidi" w:cstheme="minorBidi"/>
          <w:i/>
          <w:iCs/>
        </w:rPr>
        <w:t xml:space="preserve"> </w:t>
      </w:r>
      <w:r w:rsidR="00077D7E" w:rsidRPr="00077D7E">
        <w:rPr>
          <w:rFonts w:asciiTheme="minorBidi" w:hAnsiTheme="minorBidi" w:cstheme="minorBidi"/>
          <w:i/>
          <w:iCs/>
        </w:rPr>
        <w:t>unamplified mRNA Quantification</w:t>
      </w:r>
      <w:r w:rsidR="00C2550C">
        <w:rPr>
          <w:rFonts w:asciiTheme="minorBidi" w:hAnsiTheme="minorBidi" w:cstheme="minorBidi"/>
        </w:rPr>
        <w:t>.</w:t>
      </w:r>
    </w:p>
    <w:p w:rsidR="00C2550C" w:rsidRDefault="00C2550C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384B78" w:rsidP="00077D7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Sherif M. Shawky </w:t>
      </w:r>
      <w:r w:rsidRPr="00DF04E3">
        <w:rPr>
          <w:rFonts w:ascii="Times New Roman" w:hAnsi="Times New Roman" w:cs="Times New Roman"/>
          <w:iCs/>
          <w:sz w:val="24"/>
        </w:rPr>
        <w:t>has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Bachelor of Pharmacy, and has obtained his master degree from vrije university, Amsterdam in Molecular cell Biology. Furthermore, he has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completed his PhD </w:t>
      </w:r>
      <w:r>
        <w:rPr>
          <w:rFonts w:ascii="Times New Roman" w:hAnsi="Times New Roman" w:cs="Times New Roman"/>
          <w:iCs/>
          <w:sz w:val="24"/>
        </w:rPr>
        <w:t>in nano-biotechnology in 2014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 xml:space="preserve">Erasmus University, Rotterdam, Netherlands. He is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postdoctoral </w:t>
      </w:r>
      <w:r>
        <w:rPr>
          <w:rFonts w:ascii="Times New Roman" w:hAnsi="Times New Roman" w:cs="Times New Roman"/>
          <w:iCs/>
          <w:sz w:val="24"/>
        </w:rPr>
        <w:t xml:space="preserve">fellow in Center </w:t>
      </w:r>
      <w:r w:rsidR="006D5744">
        <w:rPr>
          <w:rFonts w:ascii="Times New Roman" w:hAnsi="Times New Roman" w:cs="Times New Roman"/>
          <w:iCs/>
          <w:sz w:val="24"/>
        </w:rPr>
        <w:t>for</w:t>
      </w:r>
      <w:r>
        <w:rPr>
          <w:rFonts w:ascii="Times New Roman" w:hAnsi="Times New Roman" w:cs="Times New Roman"/>
          <w:iCs/>
          <w:sz w:val="24"/>
        </w:rPr>
        <w:t xml:space="preserve"> Genomics (Zewail city of science and Technology), </w:t>
      </w:r>
      <w:r w:rsidR="006D5744">
        <w:rPr>
          <w:rFonts w:ascii="Times New Roman" w:hAnsi="Times New Roman" w:cs="Times New Roman"/>
          <w:iCs/>
          <w:sz w:val="24"/>
        </w:rPr>
        <w:t xml:space="preserve">and assistant Professor of clinical Biochemistry </w:t>
      </w:r>
      <w:r>
        <w:rPr>
          <w:rFonts w:ascii="Times New Roman" w:hAnsi="Times New Roman" w:cs="Times New Roman"/>
          <w:iCs/>
          <w:sz w:val="24"/>
        </w:rPr>
        <w:t>in MUST university, Faculty of Pharm</w:t>
      </w:r>
      <w:r w:rsidR="006D5744">
        <w:rPr>
          <w:rFonts w:ascii="Times New Roman" w:hAnsi="Times New Roman" w:cs="Times New Roman"/>
          <w:iCs/>
          <w:sz w:val="24"/>
        </w:rPr>
        <w:t>acy, Department of Biochemistry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</w:t>
      </w:r>
      <w:r w:rsidR="006D5744">
        <w:rPr>
          <w:rFonts w:ascii="Times New Roman" w:hAnsi="Times New Roman" w:cs="Times New Roman"/>
          <w:iCs/>
          <w:sz w:val="24"/>
        </w:rPr>
        <w:t>a co-founder of a spinoff company Nano-Genomics Diagnostics (NG-Diagnostics)</w:t>
      </w:r>
      <w:r w:rsidR="00DF04E3" w:rsidRPr="00DF04E3">
        <w:rPr>
          <w:rFonts w:ascii="Times New Roman" w:hAnsi="Times New Roman" w:cs="Times New Roman"/>
          <w:iCs/>
          <w:sz w:val="24"/>
        </w:rPr>
        <w:t>,</w:t>
      </w:r>
      <w:r w:rsidR="006D5744">
        <w:rPr>
          <w:rFonts w:ascii="Times New Roman" w:hAnsi="Times New Roman" w:cs="Times New Roman"/>
          <w:iCs/>
          <w:sz w:val="24"/>
        </w:rPr>
        <w:t xml:space="preserve"> Cairo, Egypt.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has published more than </w:t>
      </w:r>
      <w:r w:rsidR="006D5744">
        <w:rPr>
          <w:rFonts w:ascii="Times New Roman" w:hAnsi="Times New Roman" w:cs="Times New Roman"/>
          <w:iCs/>
          <w:sz w:val="24"/>
        </w:rPr>
        <w:t>14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 w:rsidR="006D5744">
        <w:rPr>
          <w:rFonts w:ascii="Times New Roman" w:hAnsi="Times New Roman" w:cs="Times New Roman"/>
          <w:iCs/>
          <w:sz w:val="24"/>
        </w:rPr>
        <w:t xml:space="preserve"> with H-index 5,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6D5744">
        <w:rPr>
          <w:rFonts w:ascii="Times New Roman" w:hAnsi="Times New Roman" w:cs="Times New Roman"/>
          <w:iCs/>
          <w:sz w:val="24"/>
        </w:rPr>
        <w:t xml:space="preserve">in addition to two USA granted Patents, and two US/World pending patents </w:t>
      </w:r>
      <w:r w:rsidR="00DF04E3" w:rsidRPr="00DF04E3">
        <w:rPr>
          <w:rFonts w:ascii="Times New Roman" w:hAnsi="Times New Roman" w:cs="Times New Roman"/>
          <w:iCs/>
          <w:sz w:val="24"/>
        </w:rPr>
        <w:t>and has been serving as a</w:t>
      </w:r>
      <w:r w:rsidR="00077D7E">
        <w:rPr>
          <w:rFonts w:ascii="Times New Roman" w:hAnsi="Times New Roman" w:cs="Times New Roman"/>
          <w:iCs/>
          <w:sz w:val="24"/>
        </w:rPr>
        <w:t xml:space="preserve"> reviewer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repute</w:t>
      </w:r>
      <w:r w:rsidR="00077D7E">
        <w:rPr>
          <w:rFonts w:ascii="Times New Roman" w:hAnsi="Times New Roman" w:cs="Times New Roman"/>
          <w:iCs/>
          <w:sz w:val="24"/>
        </w:rPr>
        <w:t xml:space="preserve">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077D7E" w:rsidP="00077D7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522262" cy="2181726"/>
            <wp:effectExtent l="19050" t="0" r="1738" b="0"/>
            <wp:docPr id="1" name="Picture 1" descr="E:\photos\personal photos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hotos\personal photos\Untitl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73471" b="44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62" cy="2181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6D574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077D7E">
        <w:rPr>
          <w:rFonts w:ascii="Times New Roman" w:hAnsi="Times New Roman" w:cs="Times New Roman"/>
          <w:iCs/>
          <w:sz w:val="24"/>
        </w:rPr>
        <w:t>sshawky@zewailcity.edu.eg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C2550C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C255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Any Comments:</w:t>
      </w:r>
      <w:r w:rsidR="00077D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50C">
        <w:rPr>
          <w:rFonts w:ascii="Times New Roman" w:hAnsi="Times New Roman" w:cs="Times New Roman"/>
          <w:b/>
          <w:sz w:val="24"/>
          <w:szCs w:val="24"/>
        </w:rPr>
        <w:t>Assay Principle TOC Figure</w:t>
      </w:r>
    </w:p>
    <w:p w:rsidR="00C2550C" w:rsidRPr="00495C76" w:rsidRDefault="00C2550C" w:rsidP="00C255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szCs w:val="20"/>
          <w:lang w:val="en-US"/>
        </w:rPr>
        <w:drawing>
          <wp:inline distT="0" distB="0" distL="0" distR="0">
            <wp:extent cx="5731510" cy="4455052"/>
            <wp:effectExtent l="19050" t="0" r="2540" b="0"/>
            <wp:docPr id="3" name="Picture 2" descr="E:\Dr Sherif elkhemisy Project\HCV paper\HCV paper different formats\journals formats\paper final version\TOC Figure\Graphical abs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r Sherif elkhemisy Project\HCV paper\HCV paper different formats\journals formats\paper final version\TOC Figure\Graphical abstrac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5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50C" w:rsidRPr="00495C76" w:rsidSect="00C2550C">
      <w:headerReference w:type="default" r:id="rId8"/>
      <w:pgSz w:w="11906" w:h="16838"/>
      <w:pgMar w:top="1440" w:right="1440" w:bottom="1440" w:left="1440" w:header="39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ABA" w:rsidRDefault="00FC3ABA" w:rsidP="00495C76">
      <w:pPr>
        <w:spacing w:after="0" w:line="240" w:lineRule="auto"/>
      </w:pPr>
      <w:r>
        <w:separator/>
      </w:r>
    </w:p>
  </w:endnote>
  <w:endnote w:type="continuationSeparator" w:id="0">
    <w:p w:rsidR="00FC3ABA" w:rsidRDefault="00FC3AB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ABA" w:rsidRDefault="00FC3ABA" w:rsidP="00495C76">
      <w:pPr>
        <w:spacing w:after="0" w:line="240" w:lineRule="auto"/>
      </w:pPr>
      <w:r>
        <w:separator/>
      </w:r>
    </w:p>
  </w:footnote>
  <w:footnote w:type="continuationSeparator" w:id="0">
    <w:p w:rsidR="00FC3ABA" w:rsidRDefault="00FC3AB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61" w:rsidRDefault="00184161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4161" w:rsidRDefault="001841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77D7E"/>
    <w:rsid w:val="000A4C22"/>
    <w:rsid w:val="00184161"/>
    <w:rsid w:val="001D1C65"/>
    <w:rsid w:val="002350BC"/>
    <w:rsid w:val="0028059F"/>
    <w:rsid w:val="002F4DF0"/>
    <w:rsid w:val="00333E31"/>
    <w:rsid w:val="0038483D"/>
    <w:rsid w:val="00384B78"/>
    <w:rsid w:val="00435234"/>
    <w:rsid w:val="00495C76"/>
    <w:rsid w:val="00627419"/>
    <w:rsid w:val="006C057D"/>
    <w:rsid w:val="006D5744"/>
    <w:rsid w:val="00750B5C"/>
    <w:rsid w:val="007F7852"/>
    <w:rsid w:val="009F1652"/>
    <w:rsid w:val="00B3082B"/>
    <w:rsid w:val="00B55C44"/>
    <w:rsid w:val="00B6703B"/>
    <w:rsid w:val="00BA654F"/>
    <w:rsid w:val="00C2550C"/>
    <w:rsid w:val="00CE511D"/>
    <w:rsid w:val="00D87783"/>
    <w:rsid w:val="00DF04E3"/>
    <w:rsid w:val="00EC2CCD"/>
    <w:rsid w:val="00FC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B5C"/>
  </w:style>
  <w:style w:type="paragraph" w:styleId="Heading1">
    <w:name w:val="heading 1"/>
    <w:basedOn w:val="Normal"/>
    <w:next w:val="Normal"/>
    <w:link w:val="Heading1Char"/>
    <w:qFormat/>
    <w:rsid w:val="00B55C44"/>
    <w:pPr>
      <w:keepNext/>
      <w:spacing w:after="0" w:line="48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B55C44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Sherif M.shawky</cp:lastModifiedBy>
  <cp:revision>7</cp:revision>
  <dcterms:created xsi:type="dcterms:W3CDTF">2017-06-30T09:03:00Z</dcterms:created>
  <dcterms:modified xsi:type="dcterms:W3CDTF">2018-07-08T19:42:00Z</dcterms:modified>
</cp:coreProperties>
</file>