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word/header2.xml" ContentType="application/vnd.openxmlformats-officedocument.wordprocessingml.header+xml"/>
  <Override PartName="/word/footer2.xml" ContentType="application/vnd.openxmlformats-officedocument.wordprocessingml.footer+xml"/>
  <Default Extension="png" ContentType="image/png"/>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99"/>
        <w:ind w:left="4183" w:right="3987" w:firstLine="0"/>
        <w:jc w:val="center"/>
        <w:rPr>
          <w:sz w:val="12"/>
        </w:rPr>
      </w:pPr>
      <w:r>
        <w:rPr/>
        <w:drawing>
          <wp:anchor distT="0" distB="0" distL="0" distR="0" allowOverlap="1" layoutInCell="1" locked="0" behindDoc="0" simplePos="0" relativeHeight="251666432">
            <wp:simplePos x="0" y="0"/>
            <wp:positionH relativeFrom="page">
              <wp:posOffset>529920</wp:posOffset>
            </wp:positionH>
            <wp:positionV relativeFrom="paragraph">
              <wp:posOffset>382777</wp:posOffset>
            </wp:positionV>
            <wp:extent cx="776104" cy="847344"/>
            <wp:effectExtent l="0" t="0" r="0" b="0"/>
            <wp:wrapNone/>
            <wp:docPr id="1" name="image1.jpeg" descr="Imprint logo"/>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776104" cy="847344"/>
                    </a:xfrm>
                    <a:prstGeom prst="rect">
                      <a:avLst/>
                    </a:prstGeom>
                  </pic:spPr>
                </pic:pic>
              </a:graphicData>
            </a:graphic>
          </wp:anchor>
        </w:drawing>
      </w:r>
      <w:r>
        <w:rPr/>
        <w:drawing>
          <wp:anchor distT="0" distB="0" distL="0" distR="0" allowOverlap="1" layoutInCell="1" locked="0" behindDoc="0" simplePos="0" relativeHeight="251667456">
            <wp:simplePos x="0" y="0"/>
            <wp:positionH relativeFrom="page">
              <wp:posOffset>6426720</wp:posOffset>
            </wp:positionH>
            <wp:positionV relativeFrom="paragraph">
              <wp:posOffset>317258</wp:posOffset>
            </wp:positionV>
            <wp:extent cx="722349" cy="902207"/>
            <wp:effectExtent l="0" t="0" r="0" b="0"/>
            <wp:wrapNone/>
            <wp:docPr id="3" name="image2.jpeg" descr="Journal logo"/>
            <wp:cNvGraphicFramePr>
              <a:graphicFrameLocks noChangeAspect="1"/>
            </wp:cNvGraphicFramePr>
            <a:graphic>
              <a:graphicData uri="http://schemas.openxmlformats.org/drawingml/2006/picture">
                <pic:pic>
                  <pic:nvPicPr>
                    <pic:cNvPr id="4" name="image2.jpeg"/>
                    <pic:cNvPicPr/>
                  </pic:nvPicPr>
                  <pic:blipFill>
                    <a:blip r:embed="rId8" cstate="print"/>
                    <a:stretch>
                      <a:fillRect/>
                    </a:stretch>
                  </pic:blipFill>
                  <pic:spPr>
                    <a:xfrm>
                      <a:off x="0" y="0"/>
                      <a:ext cx="722349" cy="902207"/>
                    </a:xfrm>
                    <a:prstGeom prst="rect">
                      <a:avLst/>
                    </a:prstGeom>
                  </pic:spPr>
                </pic:pic>
              </a:graphicData>
            </a:graphic>
          </wp:anchor>
        </w:drawing>
      </w:r>
      <w:r>
        <w:rPr/>
        <w:pict>
          <v:shape style="position:absolute;margin-left:116.674004pt;margin-top:30.649994pt;width:375.2pt;height:65.45pt;mso-position-horizontal-relative:page;mso-position-vertical-relative:paragraph;z-index:251668480" type="#_x0000_t202" filled="true" fillcolor="#e5e5e5" stroked="false">
            <v:textbox inset="0,0,0,0">
              <w:txbxContent>
                <w:p>
                  <w:pPr>
                    <w:pStyle w:val="BodyText"/>
                    <w:spacing w:line="173" w:lineRule="exact"/>
                    <w:ind w:left="1617" w:right="1616"/>
                    <w:jc w:val="center"/>
                    <w:rPr>
                      <w:rFonts w:ascii="Tahoma"/>
                    </w:rPr>
                  </w:pPr>
                  <w:r>
                    <w:rPr>
                      <w:rFonts w:ascii="Tahoma"/>
                      <w:w w:val="115"/>
                    </w:rPr>
                    <w:t>Contents lists available at </w:t>
                  </w:r>
                  <w:hyperlink r:id="rId9">
                    <w:r>
                      <w:rPr>
                        <w:rFonts w:ascii="Tahoma"/>
                        <w:color w:val="007FAC"/>
                        <w:w w:val="115"/>
                      </w:rPr>
                      <w:t>ScienceDirect</w:t>
                    </w:r>
                  </w:hyperlink>
                </w:p>
                <w:p>
                  <w:pPr>
                    <w:pStyle w:val="BodyText"/>
                    <w:spacing w:before="11"/>
                    <w:rPr>
                      <w:rFonts w:ascii="Tahoma"/>
                      <w:sz w:val="22"/>
                    </w:rPr>
                  </w:pPr>
                </w:p>
                <w:p>
                  <w:pPr>
                    <w:spacing w:before="1"/>
                    <w:ind w:left="1615" w:right="1616" w:firstLine="0"/>
                    <w:jc w:val="center"/>
                    <w:rPr>
                      <w:sz w:val="28"/>
                    </w:rPr>
                  </w:pPr>
                  <w:r>
                    <w:rPr>
                      <w:w w:val="105"/>
                      <w:sz w:val="28"/>
                    </w:rPr>
                    <w:t>Arthroplasty Today</w:t>
                  </w:r>
                </w:p>
                <w:p>
                  <w:pPr>
                    <w:pStyle w:val="BodyText"/>
                    <w:spacing w:before="300"/>
                    <w:ind w:left="1634" w:right="1616"/>
                    <w:jc w:val="center"/>
                    <w:rPr>
                      <w:rFonts w:ascii="Tahoma"/>
                    </w:rPr>
                  </w:pPr>
                  <w:r>
                    <w:rPr>
                      <w:rFonts w:ascii="Tahoma"/>
                      <w:w w:val="110"/>
                    </w:rPr>
                    <w:t>journal homepage: </w:t>
                  </w:r>
                  <w:hyperlink r:id="rId10">
                    <w:r>
                      <w:rPr>
                        <w:rFonts w:ascii="Tahoma"/>
                        <w:color w:val="007FAC"/>
                        <w:w w:val="110"/>
                      </w:rPr>
                      <w:t>http://www.arthroplastytoday.org/</w:t>
                    </w:r>
                    <w:r>
                      <w:rPr>
                        <w:rFonts w:ascii="Tahoma"/>
                        <w:color w:val="007FAC"/>
                      </w:rPr>
                      <w:t> </w:t>
                    </w:r>
                  </w:hyperlink>
                </w:p>
              </w:txbxContent>
            </v:textbox>
            <v:fill type="solid"/>
            <w10:wrap type="none"/>
          </v:shape>
        </w:pict>
      </w:r>
      <w:bookmarkStart w:name="Multilayer Watertight Closure to Address" w:id="1"/>
      <w:bookmarkEnd w:id="1"/>
      <w:r>
        <w:rPr/>
      </w:r>
      <w:bookmarkStart w:name="Introduction and background" w:id="2"/>
      <w:bookmarkEnd w:id="2"/>
      <w:r>
        <w:rPr/>
      </w:r>
      <w:hyperlink r:id="rId11">
        <w:r>
          <w:rPr>
            <w:color w:val="007FAC"/>
            <w:w w:val="110"/>
            <w:sz w:val="12"/>
          </w:rPr>
          <w:t>Arthroplasty Today xxx (2021)  1</w:t>
        </w:r>
      </w:hyperlink>
      <w:r>
        <w:rPr>
          <w:rFonts w:ascii="Lucida Sans"/>
          <w:color w:val="007FAC"/>
          <w:w w:val="110"/>
          <w:sz w:val="12"/>
        </w:rPr>
        <w:t>e</w:t>
      </w:r>
      <w:hyperlink r:id="rId11">
        <w:r>
          <w:rPr>
            <w:color w:val="007FAC"/>
            <w:w w:val="110"/>
            <w:sz w:val="12"/>
          </w:rPr>
          <w:t>10.e7</w:t>
        </w:r>
      </w:hyperlink>
    </w:p>
    <w:p>
      <w:pPr>
        <w:pStyle w:val="BodyText"/>
        <w:spacing w:before="1"/>
      </w:pPr>
      <w:r>
        <w:rPr/>
        <w:pict>
          <v:shape style="position:absolute;margin-left:42.52pt;margin-top:12.106402pt;width:449.25pt;height:.1pt;mso-position-horizontal-relative:page;mso-position-vertical-relative:paragraph;z-index:-251658240;mso-wrap-distance-left:0;mso-wrap-distance-right:0" coordorigin="850,242" coordsize="8985,0" path="m850,242l9835,242e" filled="false" stroked="true" strokeweight=".28351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8"/>
        </w:rPr>
      </w:pPr>
      <w:r>
        <w:rPr/>
        <w:pict>
          <v:shape style="position:absolute;margin-left:42.52pt;margin-top:15.182566pt;width:520.0500pt;height:.1pt;mso-position-horizontal-relative:page;mso-position-vertical-relative:paragraph;z-index:-251657216;mso-wrap-distance-left:0;mso-wrap-distance-right:0" coordorigin="850,304" coordsize="10401,0" path="m850,304l11251,304e" filled="false" stroked="true" strokeweight="3.0048pt" strokecolor="#000000">
            <v:path arrowok="t"/>
            <v:stroke dashstyle="solid"/>
            <w10:wrap type="topAndBottom"/>
          </v:shape>
        </w:pict>
      </w:r>
    </w:p>
    <w:p>
      <w:pPr>
        <w:pStyle w:val="BodyText"/>
        <w:spacing w:before="9"/>
        <w:rPr>
          <w:sz w:val="13"/>
        </w:rPr>
      </w:pPr>
    </w:p>
    <w:p>
      <w:pPr>
        <w:spacing w:before="0"/>
        <w:ind w:left="310" w:right="0" w:firstLine="0"/>
        <w:jc w:val="left"/>
        <w:rPr>
          <w:sz w:val="19"/>
        </w:rPr>
      </w:pPr>
      <w:r>
        <w:rPr>
          <w:w w:val="110"/>
          <w:sz w:val="19"/>
        </w:rPr>
        <w:t>Systematic review</w:t>
      </w:r>
    </w:p>
    <w:p>
      <w:pPr>
        <w:spacing w:line="247" w:lineRule="auto" w:before="126"/>
        <w:ind w:left="310" w:right="1476" w:firstLine="0"/>
        <w:jc w:val="left"/>
        <w:rPr>
          <w:sz w:val="27"/>
        </w:rPr>
      </w:pPr>
      <w:r>
        <w:rPr>
          <w:w w:val="105"/>
          <w:sz w:val="27"/>
        </w:rPr>
        <w:t>Multilayer Watertight Closure to Address Adverse Events From Primary Total Knee and Hip Arthroplasty: A Systematic Review of Wound Closure Methods by Tissue Layer</w:t>
      </w:r>
    </w:p>
    <w:p>
      <w:pPr>
        <w:spacing w:line="262" w:lineRule="exact" w:before="165"/>
        <w:ind w:left="310" w:right="0" w:firstLine="0"/>
        <w:jc w:val="left"/>
        <w:rPr>
          <w:sz w:val="21"/>
        </w:rPr>
      </w:pPr>
      <w:r>
        <w:rPr>
          <w:w w:val="105"/>
          <w:sz w:val="21"/>
        </w:rPr>
        <w:t>Mark A. Snyder, MD, FAOA, FAAOS </w:t>
      </w:r>
      <w:hyperlink w:history="true" w:anchor="_bookmark0">
        <w:r>
          <w:rPr>
            <w:color w:val="007FAC"/>
            <w:w w:val="105"/>
            <w:sz w:val="21"/>
            <w:vertAlign w:val="superscript"/>
          </w:rPr>
          <w:t>a</w:t>
        </w:r>
      </w:hyperlink>
      <w:r>
        <w:rPr>
          <w:w w:val="105"/>
          <w:sz w:val="21"/>
          <w:vertAlign w:val="superscript"/>
        </w:rPr>
        <w:t>,</w:t>
      </w:r>
      <w:r>
        <w:rPr>
          <w:w w:val="105"/>
          <w:sz w:val="21"/>
          <w:vertAlign w:val="baseline"/>
        </w:rPr>
        <w:t> </w:t>
      </w:r>
      <w:r>
        <w:rPr>
          <w:rFonts w:ascii="Lucida Sans"/>
          <w:color w:val="007FAC"/>
          <w:w w:val="105"/>
          <w:sz w:val="21"/>
          <w:vertAlign w:val="superscript"/>
        </w:rPr>
        <w:t>*</w:t>
      </w:r>
      <w:r>
        <w:rPr>
          <w:w w:val="105"/>
          <w:sz w:val="21"/>
          <w:vertAlign w:val="baseline"/>
        </w:rPr>
        <w:t>, Brian P. Chen, ScM </w:t>
      </w:r>
      <w:hyperlink w:history="true" w:anchor="_bookmark1">
        <w:r>
          <w:rPr>
            <w:color w:val="007FAC"/>
            <w:w w:val="105"/>
            <w:sz w:val="21"/>
            <w:vertAlign w:val="superscript"/>
          </w:rPr>
          <w:t>b</w:t>
        </w:r>
      </w:hyperlink>
      <w:r>
        <w:rPr>
          <w:w w:val="105"/>
          <w:sz w:val="21"/>
          <w:vertAlign w:val="baseline"/>
        </w:rPr>
        <w:t>, Andrew Hogan, MSc </w:t>
      </w:r>
      <w:hyperlink w:history="true" w:anchor="_bookmark2">
        <w:r>
          <w:rPr>
            <w:color w:val="007FAC"/>
            <w:w w:val="105"/>
            <w:sz w:val="21"/>
            <w:vertAlign w:val="superscript"/>
          </w:rPr>
          <w:t>c</w:t>
        </w:r>
      </w:hyperlink>
      <w:r>
        <w:rPr>
          <w:w w:val="105"/>
          <w:sz w:val="21"/>
          <w:vertAlign w:val="baseline"/>
        </w:rPr>
        <w:t>,</w:t>
      </w:r>
    </w:p>
    <w:p>
      <w:pPr>
        <w:spacing w:line="260" w:lineRule="exact" w:before="0"/>
        <w:ind w:left="310" w:right="0" w:firstLine="0"/>
        <w:jc w:val="left"/>
        <w:rPr>
          <w:sz w:val="21"/>
        </w:rPr>
      </w:pPr>
      <w:r>
        <w:rPr>
          <w:w w:val="105"/>
          <w:sz w:val="21"/>
        </w:rPr>
        <w:t>George W.J. Wright, PhD </w:t>
      </w:r>
      <w:hyperlink w:history="true" w:anchor="_bookmark2">
        <w:r>
          <w:rPr>
            <w:color w:val="007FAC"/>
            <w:w w:val="105"/>
            <w:sz w:val="21"/>
            <w:vertAlign w:val="superscript"/>
          </w:rPr>
          <w:t>c</w:t>
        </w:r>
      </w:hyperlink>
    </w:p>
    <w:p>
      <w:pPr>
        <w:spacing w:line="176" w:lineRule="exact" w:before="92"/>
        <w:ind w:left="310" w:right="0" w:firstLine="0"/>
        <w:jc w:val="left"/>
        <w:rPr>
          <w:i/>
          <w:sz w:val="12"/>
        </w:rPr>
      </w:pPr>
      <w:bookmarkStart w:name="_bookmark0" w:id="3"/>
      <w:bookmarkEnd w:id="3"/>
      <w:r>
        <w:rPr/>
      </w:r>
      <w:r>
        <w:rPr>
          <w:w w:val="115"/>
          <w:position w:val="6"/>
          <w:sz w:val="9"/>
        </w:rPr>
        <w:t>a</w:t>
      </w:r>
      <w:bookmarkStart w:name="_bookmark1" w:id="4"/>
      <w:bookmarkEnd w:id="4"/>
      <w:r>
        <w:rPr>
          <w:w w:val="115"/>
          <w:position w:val="6"/>
          <w:sz w:val="9"/>
        </w:rPr>
      </w:r>
      <w:r>
        <w:rPr>
          <w:w w:val="115"/>
          <w:position w:val="6"/>
          <w:sz w:val="9"/>
        </w:rPr>
        <w:t> </w:t>
      </w:r>
      <w:r>
        <w:rPr>
          <w:i/>
          <w:w w:val="115"/>
          <w:sz w:val="12"/>
        </w:rPr>
        <w:t>Orthopaedic Center of Excellence, Good Samaritan Hospital, Cincinnati, OH, USA</w:t>
      </w:r>
    </w:p>
    <w:p>
      <w:pPr>
        <w:spacing w:line="171" w:lineRule="exact" w:before="0"/>
        <w:ind w:left="310" w:right="0" w:firstLine="0"/>
        <w:jc w:val="left"/>
        <w:rPr>
          <w:i/>
          <w:sz w:val="12"/>
        </w:rPr>
      </w:pPr>
      <w:r>
        <w:rPr>
          <w:w w:val="110"/>
          <w:position w:val="6"/>
          <w:sz w:val="9"/>
        </w:rPr>
        <w:t>b </w:t>
      </w:r>
      <w:r>
        <w:rPr>
          <w:i/>
          <w:w w:val="110"/>
          <w:sz w:val="12"/>
        </w:rPr>
        <w:t>Health Economics and Market Access, Ethicon, Inc, A Johnson </w:t>
      </w:r>
      <w:r>
        <w:rPr>
          <w:rFonts w:ascii="Castellar"/>
          <w:w w:val="110"/>
          <w:sz w:val="12"/>
        </w:rPr>
        <w:t>&amp; </w:t>
      </w:r>
      <w:r>
        <w:rPr>
          <w:i/>
          <w:w w:val="110"/>
          <w:sz w:val="12"/>
        </w:rPr>
        <w:t>Johnson Company, Somerville, NJ, USA</w:t>
      </w:r>
    </w:p>
    <w:p>
      <w:pPr>
        <w:spacing w:line="176" w:lineRule="exact" w:before="0"/>
        <w:ind w:left="310" w:right="0" w:firstLine="0"/>
        <w:jc w:val="left"/>
        <w:rPr>
          <w:i/>
          <w:sz w:val="12"/>
        </w:rPr>
      </w:pPr>
      <w:bookmarkStart w:name="_bookmark2" w:id="5"/>
      <w:bookmarkEnd w:id="5"/>
      <w:r>
        <w:rPr/>
      </w:r>
      <w:r>
        <w:rPr>
          <w:w w:val="115"/>
          <w:position w:val="6"/>
          <w:sz w:val="9"/>
        </w:rPr>
        <w:t>c </w:t>
      </w:r>
      <w:r>
        <w:rPr>
          <w:i/>
          <w:w w:val="115"/>
          <w:sz w:val="12"/>
        </w:rPr>
        <w:t>Value </w:t>
      </w:r>
      <w:r>
        <w:rPr>
          <w:rFonts w:ascii="Castellar"/>
          <w:w w:val="115"/>
          <w:sz w:val="12"/>
        </w:rPr>
        <w:t>&amp; </w:t>
      </w:r>
      <w:r>
        <w:rPr>
          <w:i/>
          <w:w w:val="115"/>
          <w:sz w:val="12"/>
        </w:rPr>
        <w:t>Evidence Services, CRG-EVERSANA Canada Inc, Burlington, Ontario, Canada</w:t>
      </w:r>
    </w:p>
    <w:p>
      <w:pPr>
        <w:pStyle w:val="BodyText"/>
        <w:spacing w:before="8"/>
        <w:rPr>
          <w:i/>
          <w:sz w:val="11"/>
        </w:rPr>
      </w:pPr>
      <w:r>
        <w:rPr/>
        <w:pict>
          <v:shape style="position:absolute;margin-left:42.52pt;margin-top:9.138289pt;width:520.0500pt;height:.1pt;mso-position-horizontal-relative:page;mso-position-vertical-relative:paragraph;z-index:-251656192;mso-wrap-distance-left:0;mso-wrap-distance-right:0" coordorigin="850,183" coordsize="10401,0" path="m850,183l11251,183e" filled="false" stroked="true" strokeweight=".28348pt" strokecolor="#000000">
            <v:path arrowok="t"/>
            <v:stroke dashstyle="solid"/>
            <w10:wrap type="topAndBottom"/>
          </v:shape>
        </w:pict>
      </w:r>
    </w:p>
    <w:p>
      <w:pPr>
        <w:pStyle w:val="BodyText"/>
        <w:spacing w:before="1"/>
        <w:rPr>
          <w:i/>
          <w:sz w:val="11"/>
        </w:rPr>
      </w:pPr>
    </w:p>
    <w:p>
      <w:pPr>
        <w:spacing w:after="0"/>
        <w:rPr>
          <w:sz w:val="11"/>
        </w:rPr>
        <w:sectPr>
          <w:headerReference w:type="default" r:id="rId5"/>
          <w:footerReference w:type="default" r:id="rId6"/>
          <w:type w:val="continuous"/>
          <w:pgSz w:w="11910" w:h="15880"/>
          <w:pgMar w:header="210" w:footer="165" w:top="840" w:bottom="360" w:left="540" w:right="540"/>
        </w:sectPr>
      </w:pPr>
    </w:p>
    <w:p>
      <w:pPr>
        <w:spacing w:before="98"/>
        <w:ind w:left="310" w:right="0" w:firstLine="0"/>
        <w:jc w:val="left"/>
        <w:rPr>
          <w:rFonts w:ascii="Century"/>
          <w:sz w:val="18"/>
        </w:rPr>
      </w:pPr>
      <w:r>
        <w:rPr>
          <w:rFonts w:ascii="Century"/>
          <w:w w:val="115"/>
          <w:sz w:val="18"/>
        </w:rPr>
        <w:t>a r t i c l e i n f o</w:t>
      </w:r>
      <w:r>
        <w:rPr>
          <w:rFonts w:ascii="Century"/>
          <w:sz w:val="18"/>
        </w:rPr>
        <w:t>  </w:t>
      </w:r>
    </w:p>
    <w:p>
      <w:pPr>
        <w:pStyle w:val="BodyText"/>
        <w:spacing w:before="4"/>
        <w:rPr>
          <w:rFonts w:ascii="Century"/>
          <w:sz w:val="18"/>
        </w:rPr>
      </w:pPr>
    </w:p>
    <w:p>
      <w:pPr>
        <w:spacing w:before="1"/>
        <w:ind w:left="310" w:right="0" w:firstLine="0"/>
        <w:jc w:val="left"/>
        <w:rPr>
          <w:i/>
          <w:sz w:val="12"/>
        </w:rPr>
      </w:pPr>
      <w:r>
        <w:rPr/>
        <w:pict>
          <v:line style="position:absolute;mso-position-horizontal-relative:page;mso-position-vertical-relative:paragraph;z-index:251664384" from="42.52pt,-3.069217pt" to="175.748pt,-3.069217pt" stroked="true" strokeweight=".22678pt" strokecolor="#000000">
            <v:stroke dashstyle="solid"/>
            <w10:wrap type="none"/>
          </v:line>
        </w:pict>
      </w:r>
      <w:r>
        <w:rPr>
          <w:i/>
          <w:w w:val="120"/>
          <w:sz w:val="12"/>
        </w:rPr>
        <w:t>Article history:</w:t>
      </w:r>
    </w:p>
    <w:p>
      <w:pPr>
        <w:spacing w:line="276" w:lineRule="auto" w:before="22"/>
        <w:ind w:left="310" w:right="294" w:firstLine="0"/>
        <w:jc w:val="left"/>
        <w:rPr>
          <w:sz w:val="12"/>
        </w:rPr>
      </w:pPr>
      <w:r>
        <w:rPr>
          <w:w w:val="115"/>
          <w:sz w:val="12"/>
        </w:rPr>
        <w:t>Received 18 November 2020 Received in revised form</w:t>
      </w:r>
    </w:p>
    <w:p>
      <w:pPr>
        <w:spacing w:before="1"/>
        <w:ind w:left="310" w:right="0" w:firstLine="0"/>
        <w:jc w:val="left"/>
        <w:rPr>
          <w:sz w:val="12"/>
        </w:rPr>
      </w:pPr>
      <w:r>
        <w:rPr>
          <w:w w:val="120"/>
          <w:sz w:val="12"/>
        </w:rPr>
        <w:t>19 April 2021</w:t>
      </w:r>
    </w:p>
    <w:p>
      <w:pPr>
        <w:spacing w:line="276" w:lineRule="auto" w:before="22"/>
        <w:ind w:left="310" w:right="294" w:firstLine="0"/>
        <w:jc w:val="left"/>
        <w:rPr>
          <w:sz w:val="12"/>
        </w:rPr>
      </w:pPr>
      <w:r>
        <w:rPr>
          <w:w w:val="115"/>
          <w:sz w:val="12"/>
        </w:rPr>
        <w:t>Accepted 16 May 2021 Available online xxx</w:t>
      </w:r>
    </w:p>
    <w:p>
      <w:pPr>
        <w:pStyle w:val="BodyText"/>
        <w:spacing w:before="5"/>
        <w:rPr>
          <w:sz w:val="18"/>
        </w:rPr>
      </w:pPr>
    </w:p>
    <w:p>
      <w:pPr>
        <w:spacing w:before="0"/>
        <w:ind w:left="310" w:right="0" w:firstLine="0"/>
        <w:jc w:val="left"/>
        <w:rPr>
          <w:i/>
          <w:sz w:val="12"/>
        </w:rPr>
      </w:pPr>
      <w:r>
        <w:rPr/>
        <w:pict>
          <v:line style="position:absolute;mso-position-horizontal-relative:page;mso-position-vertical-relative:paragraph;z-index:251665408" from="42.52pt,-3.373466pt" to="175.748pt,-3.373466pt" stroked="true" strokeweight=".28348pt" strokecolor="#000000">
            <v:stroke dashstyle="solid"/>
            <w10:wrap type="none"/>
          </v:line>
        </w:pict>
      </w:r>
      <w:r>
        <w:rPr>
          <w:i/>
          <w:w w:val="120"/>
          <w:sz w:val="12"/>
        </w:rPr>
        <w:t>Keywords:</w:t>
      </w:r>
    </w:p>
    <w:p>
      <w:pPr>
        <w:spacing w:line="276" w:lineRule="auto" w:before="23"/>
        <w:ind w:left="310" w:right="614" w:firstLine="0"/>
        <w:jc w:val="left"/>
        <w:rPr>
          <w:sz w:val="12"/>
        </w:rPr>
      </w:pPr>
      <w:r>
        <w:rPr>
          <w:w w:val="115"/>
          <w:sz w:val="12"/>
        </w:rPr>
        <w:t>Systematic review Total knee arthroplasty Total hip arthroplasty Wound closure Surgical site infections</w:t>
      </w:r>
    </w:p>
    <w:p>
      <w:pPr>
        <w:spacing w:before="98"/>
        <w:ind w:left="310" w:right="0" w:firstLine="0"/>
        <w:jc w:val="left"/>
        <w:rPr>
          <w:rFonts w:ascii="Century"/>
          <w:sz w:val="18"/>
        </w:rPr>
      </w:pPr>
      <w:r>
        <w:rPr/>
        <w:br w:type="column"/>
      </w:r>
      <w:r>
        <w:rPr>
          <w:rFonts w:ascii="Century"/>
          <w:w w:val="110"/>
          <w:sz w:val="18"/>
        </w:rPr>
        <w:t>a b s t r a c t</w:t>
      </w:r>
      <w:r>
        <w:rPr>
          <w:rFonts w:ascii="Century"/>
          <w:sz w:val="18"/>
        </w:rPr>
        <w:t>  </w:t>
      </w:r>
    </w:p>
    <w:p>
      <w:pPr>
        <w:pStyle w:val="BodyText"/>
        <w:spacing w:before="8"/>
        <w:rPr>
          <w:rFonts w:ascii="Century"/>
          <w:sz w:val="9"/>
        </w:rPr>
      </w:pPr>
      <w:r>
        <w:rPr/>
        <w:pict>
          <v:shape style="position:absolute;margin-left:206.929001pt;margin-top:7.946699pt;width:355.65pt;height:.1pt;mso-position-horizontal-relative:page;mso-position-vertical-relative:paragraph;z-index:-251655168;mso-wrap-distance-left:0;mso-wrap-distance-right:0" coordorigin="4139,159" coordsize="7113,0" path="m4139,159l11251,159e" filled="false" stroked="true" strokeweight=".22678pt" strokecolor="#000000">
            <v:path arrowok="t"/>
            <v:stroke dashstyle="solid"/>
            <w10:wrap type="topAndBottom"/>
          </v:shape>
        </w:pict>
      </w:r>
    </w:p>
    <w:p>
      <w:pPr>
        <w:spacing w:line="264" w:lineRule="auto" w:before="27"/>
        <w:ind w:left="310" w:right="110" w:firstLine="0"/>
        <w:jc w:val="both"/>
        <w:rPr>
          <w:sz w:val="14"/>
        </w:rPr>
      </w:pPr>
      <w:r>
        <w:rPr>
          <w:i/>
          <w:w w:val="110"/>
          <w:sz w:val="14"/>
        </w:rPr>
        <w:t>Background: </w:t>
      </w:r>
      <w:r>
        <w:rPr>
          <w:spacing w:val="-3"/>
          <w:w w:val="110"/>
          <w:sz w:val="14"/>
        </w:rPr>
        <w:t>Wound closure </w:t>
      </w:r>
      <w:r>
        <w:rPr>
          <w:w w:val="110"/>
          <w:sz w:val="14"/>
        </w:rPr>
        <w:t>is a </w:t>
      </w:r>
      <w:r>
        <w:rPr>
          <w:spacing w:val="-4"/>
          <w:w w:val="110"/>
          <w:sz w:val="14"/>
        </w:rPr>
        <w:t>key, </w:t>
      </w:r>
      <w:r>
        <w:rPr>
          <w:w w:val="110"/>
          <w:sz w:val="14"/>
        </w:rPr>
        <w:t>and often </w:t>
      </w:r>
      <w:r>
        <w:rPr>
          <w:spacing w:val="-3"/>
          <w:w w:val="110"/>
          <w:sz w:val="14"/>
        </w:rPr>
        <w:t>underrecognized, </w:t>
      </w:r>
      <w:r>
        <w:rPr>
          <w:spacing w:val="-2"/>
          <w:w w:val="110"/>
          <w:sz w:val="14"/>
        </w:rPr>
        <w:t>component </w:t>
      </w:r>
      <w:r>
        <w:rPr>
          <w:w w:val="110"/>
          <w:sz w:val="14"/>
        </w:rPr>
        <w:t>of hip and knee </w:t>
      </w:r>
      <w:r>
        <w:rPr>
          <w:spacing w:val="-3"/>
          <w:w w:val="110"/>
          <w:sz w:val="14"/>
        </w:rPr>
        <w:t>arthroplasty. </w:t>
      </w:r>
      <w:r>
        <w:rPr>
          <w:w w:val="110"/>
          <w:sz w:val="14"/>
        </w:rPr>
        <w:t>Methods for </w:t>
      </w:r>
      <w:r>
        <w:rPr>
          <w:spacing w:val="-3"/>
          <w:w w:val="110"/>
          <w:sz w:val="14"/>
        </w:rPr>
        <w:t>wound closure are </w:t>
      </w:r>
      <w:r>
        <w:rPr>
          <w:w w:val="110"/>
          <w:sz w:val="14"/>
        </w:rPr>
        <w:t>an important </w:t>
      </w:r>
      <w:r>
        <w:rPr>
          <w:spacing w:val="-3"/>
          <w:w w:val="110"/>
          <w:sz w:val="14"/>
        </w:rPr>
        <w:t>consideration </w:t>
      </w:r>
      <w:r>
        <w:rPr>
          <w:w w:val="110"/>
          <w:sz w:val="14"/>
        </w:rPr>
        <w:t>to </w:t>
      </w:r>
      <w:r>
        <w:rPr>
          <w:spacing w:val="-3"/>
          <w:w w:val="110"/>
          <w:sz w:val="14"/>
        </w:rPr>
        <w:t>better avoid wound-related adverse </w:t>
      </w:r>
      <w:r>
        <w:rPr>
          <w:w w:val="110"/>
          <w:sz w:val="14"/>
        </w:rPr>
        <w:t>events;</w:t>
      </w:r>
      <w:r>
        <w:rPr>
          <w:spacing w:val="38"/>
          <w:w w:val="110"/>
          <w:sz w:val="14"/>
        </w:rPr>
        <w:t> </w:t>
      </w:r>
      <w:r>
        <w:rPr>
          <w:spacing w:val="-4"/>
          <w:w w:val="110"/>
          <w:sz w:val="14"/>
        </w:rPr>
        <w:t>however,</w:t>
      </w:r>
      <w:r>
        <w:rPr>
          <w:spacing w:val="-12"/>
          <w:w w:val="110"/>
          <w:sz w:val="14"/>
        </w:rPr>
        <w:t> </w:t>
      </w:r>
      <w:r>
        <w:rPr>
          <w:spacing w:val="-3"/>
          <w:w w:val="110"/>
          <w:sz w:val="14"/>
        </w:rPr>
        <w:t>there</w:t>
      </w:r>
      <w:r>
        <w:rPr>
          <w:spacing w:val="-11"/>
          <w:w w:val="110"/>
          <w:sz w:val="14"/>
        </w:rPr>
        <w:t> </w:t>
      </w:r>
      <w:r>
        <w:rPr>
          <w:w w:val="110"/>
          <w:sz w:val="14"/>
        </w:rPr>
        <w:t>is</w:t>
      </w:r>
      <w:r>
        <w:rPr>
          <w:spacing w:val="-11"/>
          <w:w w:val="110"/>
          <w:sz w:val="14"/>
        </w:rPr>
        <w:t> </w:t>
      </w:r>
      <w:r>
        <w:rPr>
          <w:w w:val="110"/>
          <w:sz w:val="14"/>
        </w:rPr>
        <w:t>a</w:t>
      </w:r>
      <w:r>
        <w:rPr>
          <w:spacing w:val="-12"/>
          <w:w w:val="110"/>
          <w:sz w:val="14"/>
        </w:rPr>
        <w:t> </w:t>
      </w:r>
      <w:r>
        <w:rPr>
          <w:spacing w:val="-3"/>
          <w:w w:val="110"/>
          <w:sz w:val="14"/>
        </w:rPr>
        <w:t>lack</w:t>
      </w:r>
      <w:r>
        <w:rPr>
          <w:spacing w:val="-12"/>
          <w:w w:val="110"/>
          <w:sz w:val="14"/>
        </w:rPr>
        <w:t> </w:t>
      </w:r>
      <w:r>
        <w:rPr>
          <w:w w:val="110"/>
          <w:sz w:val="14"/>
        </w:rPr>
        <w:t>of</w:t>
      </w:r>
      <w:r>
        <w:rPr>
          <w:spacing w:val="-11"/>
          <w:w w:val="110"/>
          <w:sz w:val="14"/>
        </w:rPr>
        <w:t> </w:t>
      </w:r>
      <w:r>
        <w:rPr>
          <w:w w:val="110"/>
          <w:sz w:val="14"/>
        </w:rPr>
        <w:t>consensus</w:t>
      </w:r>
      <w:r>
        <w:rPr>
          <w:spacing w:val="-14"/>
          <w:w w:val="110"/>
          <w:sz w:val="14"/>
        </w:rPr>
        <w:t> </w:t>
      </w:r>
      <w:r>
        <w:rPr>
          <w:w w:val="110"/>
          <w:sz w:val="14"/>
        </w:rPr>
        <w:t>on</w:t>
      </w:r>
      <w:r>
        <w:rPr>
          <w:spacing w:val="-11"/>
          <w:w w:val="110"/>
          <w:sz w:val="14"/>
        </w:rPr>
        <w:t> </w:t>
      </w:r>
      <w:r>
        <w:rPr>
          <w:w w:val="110"/>
          <w:sz w:val="14"/>
        </w:rPr>
        <w:t>optimal</w:t>
      </w:r>
      <w:r>
        <w:rPr>
          <w:spacing w:val="-14"/>
          <w:w w:val="110"/>
          <w:sz w:val="14"/>
        </w:rPr>
        <w:t> </w:t>
      </w:r>
      <w:r>
        <w:rPr>
          <w:w w:val="110"/>
          <w:sz w:val="14"/>
        </w:rPr>
        <w:t>methods.</w:t>
      </w:r>
      <w:r>
        <w:rPr>
          <w:spacing w:val="-13"/>
          <w:w w:val="110"/>
          <w:sz w:val="14"/>
        </w:rPr>
        <w:t> </w:t>
      </w:r>
      <w:r>
        <w:rPr>
          <w:w w:val="110"/>
          <w:sz w:val="14"/>
        </w:rPr>
        <w:t>The</w:t>
      </w:r>
      <w:r>
        <w:rPr>
          <w:spacing w:val="-12"/>
          <w:w w:val="110"/>
          <w:sz w:val="14"/>
        </w:rPr>
        <w:t> </w:t>
      </w:r>
      <w:r>
        <w:rPr>
          <w:spacing w:val="-3"/>
          <w:w w:val="110"/>
          <w:sz w:val="14"/>
        </w:rPr>
        <w:t>objective</w:t>
      </w:r>
      <w:r>
        <w:rPr>
          <w:spacing w:val="-12"/>
          <w:w w:val="110"/>
          <w:sz w:val="14"/>
        </w:rPr>
        <w:t> </w:t>
      </w:r>
      <w:r>
        <w:rPr>
          <w:w w:val="110"/>
          <w:sz w:val="14"/>
        </w:rPr>
        <w:t>of</w:t>
      </w:r>
      <w:r>
        <w:rPr>
          <w:spacing w:val="-10"/>
          <w:w w:val="110"/>
          <w:sz w:val="14"/>
        </w:rPr>
        <w:t> </w:t>
      </w:r>
      <w:r>
        <w:rPr>
          <w:w w:val="110"/>
          <w:sz w:val="14"/>
        </w:rPr>
        <w:t>the</w:t>
      </w:r>
      <w:r>
        <w:rPr>
          <w:spacing w:val="-11"/>
          <w:w w:val="110"/>
          <w:sz w:val="14"/>
        </w:rPr>
        <w:t> </w:t>
      </w:r>
      <w:r>
        <w:rPr>
          <w:spacing w:val="-3"/>
          <w:w w:val="110"/>
          <w:sz w:val="14"/>
        </w:rPr>
        <w:t>following</w:t>
      </w:r>
      <w:r>
        <w:rPr>
          <w:spacing w:val="-14"/>
          <w:w w:val="110"/>
          <w:sz w:val="14"/>
        </w:rPr>
        <w:t> </w:t>
      </w:r>
      <w:r>
        <w:rPr>
          <w:spacing w:val="-3"/>
          <w:w w:val="110"/>
          <w:sz w:val="14"/>
        </w:rPr>
        <w:t>review</w:t>
      </w:r>
      <w:r>
        <w:rPr>
          <w:spacing w:val="-12"/>
          <w:w w:val="110"/>
          <w:sz w:val="14"/>
        </w:rPr>
        <w:t> </w:t>
      </w:r>
      <w:r>
        <w:rPr>
          <w:w w:val="110"/>
          <w:sz w:val="14"/>
        </w:rPr>
        <w:t>was</w:t>
      </w:r>
      <w:r>
        <w:rPr>
          <w:spacing w:val="-13"/>
          <w:w w:val="110"/>
          <w:sz w:val="14"/>
        </w:rPr>
        <w:t> </w:t>
      </w:r>
      <w:r>
        <w:rPr>
          <w:spacing w:val="-3"/>
          <w:w w:val="110"/>
          <w:sz w:val="14"/>
        </w:rPr>
        <w:t>twofold: </w:t>
      </w:r>
      <w:r>
        <w:rPr>
          <w:w w:val="110"/>
          <w:sz w:val="14"/>
        </w:rPr>
        <w:t>to </w:t>
      </w:r>
      <w:r>
        <w:rPr>
          <w:spacing w:val="-3"/>
          <w:w w:val="110"/>
          <w:sz w:val="14"/>
        </w:rPr>
        <w:t>characterize </w:t>
      </w:r>
      <w:r>
        <w:rPr>
          <w:w w:val="110"/>
          <w:sz w:val="14"/>
        </w:rPr>
        <w:t>the wound </w:t>
      </w:r>
      <w:r>
        <w:rPr>
          <w:spacing w:val="-3"/>
          <w:w w:val="110"/>
          <w:sz w:val="14"/>
        </w:rPr>
        <w:t>closure methods </w:t>
      </w:r>
      <w:r>
        <w:rPr>
          <w:w w:val="110"/>
          <w:sz w:val="14"/>
        </w:rPr>
        <w:t>used by </w:t>
      </w:r>
      <w:r>
        <w:rPr>
          <w:spacing w:val="-3"/>
          <w:w w:val="110"/>
          <w:sz w:val="14"/>
        </w:rPr>
        <w:t>layer </w:t>
      </w:r>
      <w:r>
        <w:rPr>
          <w:w w:val="110"/>
          <w:sz w:val="14"/>
        </w:rPr>
        <w:t>in the </w:t>
      </w:r>
      <w:r>
        <w:rPr>
          <w:spacing w:val="-3"/>
          <w:w w:val="110"/>
          <w:sz w:val="14"/>
        </w:rPr>
        <w:t>total </w:t>
      </w:r>
      <w:r>
        <w:rPr>
          <w:w w:val="110"/>
          <w:sz w:val="14"/>
        </w:rPr>
        <w:t>knee </w:t>
      </w:r>
      <w:r>
        <w:rPr>
          <w:spacing w:val="-3"/>
          <w:w w:val="110"/>
          <w:sz w:val="14"/>
        </w:rPr>
        <w:t>arthroplasty </w:t>
      </w:r>
      <w:r>
        <w:rPr>
          <w:w w:val="110"/>
          <w:sz w:val="14"/>
        </w:rPr>
        <w:t>and </w:t>
      </w:r>
      <w:r>
        <w:rPr>
          <w:spacing w:val="-3"/>
          <w:w w:val="110"/>
          <w:sz w:val="14"/>
        </w:rPr>
        <w:t>total </w:t>
      </w:r>
      <w:r>
        <w:rPr>
          <w:w w:val="110"/>
          <w:sz w:val="14"/>
        </w:rPr>
        <w:t>hip </w:t>
      </w:r>
      <w:r>
        <w:rPr>
          <w:spacing w:val="-3"/>
          <w:w w:val="110"/>
          <w:sz w:val="14"/>
        </w:rPr>
        <w:t>arthroplasty</w:t>
      </w:r>
      <w:r>
        <w:rPr>
          <w:spacing w:val="-16"/>
          <w:w w:val="110"/>
          <w:sz w:val="14"/>
        </w:rPr>
        <w:t> </w:t>
      </w:r>
      <w:r>
        <w:rPr>
          <w:spacing w:val="-3"/>
          <w:w w:val="110"/>
          <w:sz w:val="14"/>
        </w:rPr>
        <w:t>literature</w:t>
      </w:r>
      <w:r>
        <w:rPr>
          <w:spacing w:val="-14"/>
          <w:w w:val="110"/>
          <w:sz w:val="14"/>
        </w:rPr>
        <w:t> </w:t>
      </w:r>
      <w:r>
        <w:rPr>
          <w:w w:val="110"/>
          <w:sz w:val="14"/>
        </w:rPr>
        <w:t>and</w:t>
      </w:r>
      <w:r>
        <w:rPr>
          <w:spacing w:val="-15"/>
          <w:w w:val="110"/>
          <w:sz w:val="14"/>
        </w:rPr>
        <w:t> </w:t>
      </w:r>
      <w:r>
        <w:rPr>
          <w:spacing w:val="-3"/>
          <w:w w:val="110"/>
          <w:sz w:val="14"/>
        </w:rPr>
        <w:t>summarize</w:t>
      </w:r>
      <w:r>
        <w:rPr>
          <w:spacing w:val="-14"/>
          <w:w w:val="110"/>
          <w:sz w:val="14"/>
        </w:rPr>
        <w:t> </w:t>
      </w:r>
      <w:r>
        <w:rPr>
          <w:w w:val="110"/>
          <w:sz w:val="14"/>
        </w:rPr>
        <w:t>optimal</w:t>
      </w:r>
      <w:r>
        <w:rPr>
          <w:spacing w:val="-15"/>
          <w:w w:val="110"/>
          <w:sz w:val="14"/>
        </w:rPr>
        <w:t> </w:t>
      </w:r>
      <w:r>
        <w:rPr>
          <w:spacing w:val="-3"/>
          <w:w w:val="110"/>
          <w:sz w:val="14"/>
        </w:rPr>
        <w:t>wound-healing</w:t>
      </w:r>
      <w:r>
        <w:rPr>
          <w:spacing w:val="-15"/>
          <w:w w:val="110"/>
          <w:sz w:val="14"/>
        </w:rPr>
        <w:t> </w:t>
      </w:r>
      <w:r>
        <w:rPr>
          <w:spacing w:val="-3"/>
          <w:w w:val="110"/>
          <w:sz w:val="14"/>
        </w:rPr>
        <w:t>strategies</w:t>
      </w:r>
      <w:r>
        <w:rPr>
          <w:spacing w:val="-14"/>
          <w:w w:val="110"/>
          <w:sz w:val="14"/>
        </w:rPr>
        <w:t> </w:t>
      </w:r>
      <w:r>
        <w:rPr>
          <w:w w:val="110"/>
          <w:sz w:val="14"/>
        </w:rPr>
        <w:t>to</w:t>
      </w:r>
      <w:r>
        <w:rPr>
          <w:spacing w:val="-13"/>
          <w:w w:val="110"/>
          <w:sz w:val="14"/>
        </w:rPr>
        <w:t> </w:t>
      </w:r>
      <w:r>
        <w:rPr>
          <w:spacing w:val="-3"/>
          <w:w w:val="110"/>
          <w:sz w:val="14"/>
        </w:rPr>
        <w:t>address</w:t>
      </w:r>
      <w:r>
        <w:rPr>
          <w:spacing w:val="-14"/>
          <w:w w:val="110"/>
          <w:sz w:val="14"/>
        </w:rPr>
        <w:t> </w:t>
      </w:r>
      <w:r>
        <w:rPr>
          <w:w w:val="110"/>
          <w:sz w:val="14"/>
        </w:rPr>
        <w:t>the</w:t>
      </w:r>
      <w:r>
        <w:rPr>
          <w:spacing w:val="-13"/>
          <w:w w:val="110"/>
          <w:sz w:val="14"/>
        </w:rPr>
        <w:t> </w:t>
      </w:r>
      <w:r>
        <w:rPr>
          <w:w w:val="110"/>
          <w:sz w:val="14"/>
        </w:rPr>
        <w:t>risk</w:t>
      </w:r>
      <w:r>
        <w:rPr>
          <w:spacing w:val="-14"/>
          <w:w w:val="110"/>
          <w:sz w:val="14"/>
        </w:rPr>
        <w:t> </w:t>
      </w:r>
      <w:r>
        <w:rPr>
          <w:w w:val="110"/>
          <w:sz w:val="14"/>
        </w:rPr>
        <w:t>of</w:t>
      </w:r>
      <w:r>
        <w:rPr>
          <w:spacing w:val="-16"/>
          <w:w w:val="110"/>
          <w:sz w:val="14"/>
        </w:rPr>
        <w:t> </w:t>
      </w:r>
      <w:r>
        <w:rPr>
          <w:spacing w:val="-3"/>
          <w:w w:val="110"/>
          <w:sz w:val="14"/>
        </w:rPr>
        <w:t>adverse</w:t>
      </w:r>
      <w:r>
        <w:rPr>
          <w:spacing w:val="-13"/>
          <w:w w:val="110"/>
          <w:sz w:val="14"/>
        </w:rPr>
        <w:t> </w:t>
      </w:r>
      <w:r>
        <w:rPr>
          <w:spacing w:val="-3"/>
          <w:w w:val="110"/>
          <w:sz w:val="14"/>
        </w:rPr>
        <w:t>events. </w:t>
      </w:r>
      <w:r>
        <w:rPr>
          <w:i/>
          <w:w w:val="110"/>
          <w:sz w:val="14"/>
        </w:rPr>
        <w:t>Methods: </w:t>
      </w:r>
      <w:r>
        <w:rPr>
          <w:w w:val="110"/>
          <w:sz w:val="14"/>
        </w:rPr>
        <w:t>A systematic literature review was performed to identify total knee arthroplasty and total hip</w:t>
      </w:r>
      <w:r>
        <w:rPr>
          <w:spacing w:val="38"/>
          <w:w w:val="110"/>
          <w:sz w:val="14"/>
        </w:rPr>
        <w:t> </w:t>
      </w:r>
      <w:r>
        <w:rPr>
          <w:w w:val="110"/>
          <w:sz w:val="14"/>
        </w:rPr>
        <w:t>arthroplasty</w:t>
      </w:r>
      <w:r>
        <w:rPr>
          <w:spacing w:val="-4"/>
          <w:w w:val="110"/>
          <w:sz w:val="14"/>
        </w:rPr>
        <w:t> </w:t>
      </w:r>
      <w:r>
        <w:rPr>
          <w:w w:val="110"/>
          <w:sz w:val="14"/>
        </w:rPr>
        <w:t>randomized</w:t>
      </w:r>
      <w:r>
        <w:rPr>
          <w:spacing w:val="-3"/>
          <w:w w:val="110"/>
          <w:sz w:val="14"/>
        </w:rPr>
        <w:t> </w:t>
      </w:r>
      <w:r>
        <w:rPr>
          <w:w w:val="110"/>
          <w:sz w:val="14"/>
        </w:rPr>
        <w:t>controlled</w:t>
      </w:r>
      <w:r>
        <w:rPr>
          <w:spacing w:val="-4"/>
          <w:w w:val="110"/>
          <w:sz w:val="14"/>
        </w:rPr>
        <w:t> </w:t>
      </w:r>
      <w:r>
        <w:rPr>
          <w:w w:val="110"/>
          <w:sz w:val="14"/>
        </w:rPr>
        <w:t>trials</w:t>
      </w:r>
      <w:r>
        <w:rPr>
          <w:spacing w:val="-3"/>
          <w:w w:val="110"/>
          <w:sz w:val="14"/>
        </w:rPr>
        <w:t> </w:t>
      </w:r>
      <w:r>
        <w:rPr>
          <w:w w:val="110"/>
          <w:sz w:val="14"/>
        </w:rPr>
        <w:t>and</w:t>
      </w:r>
      <w:r>
        <w:rPr>
          <w:spacing w:val="-5"/>
          <w:w w:val="110"/>
          <w:sz w:val="14"/>
        </w:rPr>
        <w:t> </w:t>
      </w:r>
      <w:r>
        <w:rPr>
          <w:w w:val="110"/>
          <w:sz w:val="14"/>
        </w:rPr>
        <w:t>nonrandomized</w:t>
      </w:r>
      <w:r>
        <w:rPr>
          <w:spacing w:val="-4"/>
          <w:w w:val="110"/>
          <w:sz w:val="14"/>
        </w:rPr>
        <w:t> </w:t>
      </w:r>
      <w:r>
        <w:rPr>
          <w:w w:val="110"/>
          <w:sz w:val="14"/>
        </w:rPr>
        <w:t>studies</w:t>
      </w:r>
      <w:r>
        <w:rPr>
          <w:spacing w:val="-3"/>
          <w:w w:val="110"/>
          <w:sz w:val="14"/>
        </w:rPr>
        <w:t> </w:t>
      </w:r>
      <w:r>
        <w:rPr>
          <w:w w:val="110"/>
          <w:sz w:val="14"/>
        </w:rPr>
        <w:t>reporting</w:t>
      </w:r>
      <w:r>
        <w:rPr>
          <w:spacing w:val="-4"/>
          <w:w w:val="110"/>
          <w:sz w:val="14"/>
        </w:rPr>
        <w:t> </w:t>
      </w:r>
      <w:r>
        <w:rPr>
          <w:w w:val="110"/>
          <w:sz w:val="14"/>
        </w:rPr>
        <w:t>wound</w:t>
      </w:r>
      <w:r>
        <w:rPr>
          <w:spacing w:val="-5"/>
          <w:w w:val="110"/>
          <w:sz w:val="14"/>
        </w:rPr>
        <w:t> </w:t>
      </w:r>
      <w:r>
        <w:rPr>
          <w:w w:val="110"/>
          <w:sz w:val="14"/>
        </w:rPr>
        <w:t>closure</w:t>
      </w:r>
      <w:r>
        <w:rPr>
          <w:spacing w:val="-5"/>
          <w:w w:val="110"/>
          <w:sz w:val="14"/>
        </w:rPr>
        <w:t> </w:t>
      </w:r>
      <w:r>
        <w:rPr>
          <w:w w:val="110"/>
          <w:sz w:val="14"/>
        </w:rPr>
        <w:t>methods by layer and wound-healing adverse events (including super</w:t>
      </w:r>
      <w:r>
        <w:rPr>
          <w:rFonts w:ascii="Times New Roman" w:hAnsi="Times New Roman"/>
          <w:w w:val="110"/>
          <w:sz w:val="14"/>
        </w:rPr>
        <w:t>ﬁ</w:t>
      </w:r>
      <w:r>
        <w:rPr>
          <w:w w:val="110"/>
          <w:sz w:val="14"/>
        </w:rPr>
        <w:t>cial, deep, or periprosthetic joint in- fections, wound dehiscence, or prolonged wound drainage). Studies on revision procedures were excluded. Wound closure methods and adverse events were summarized qualitatively as meta-analyses were not possible because of study</w:t>
      </w:r>
      <w:r>
        <w:rPr>
          <w:spacing w:val="27"/>
          <w:w w:val="110"/>
          <w:sz w:val="14"/>
        </w:rPr>
        <w:t> </w:t>
      </w:r>
      <w:r>
        <w:rPr>
          <w:w w:val="110"/>
          <w:sz w:val="14"/>
        </w:rPr>
        <w:t>heterogeneity.</w:t>
      </w:r>
    </w:p>
    <w:p>
      <w:pPr>
        <w:spacing w:line="264" w:lineRule="auto" w:before="0"/>
        <w:ind w:left="310" w:right="112" w:firstLine="0"/>
        <w:jc w:val="both"/>
        <w:rPr>
          <w:sz w:val="14"/>
        </w:rPr>
      </w:pPr>
      <w:r>
        <w:rPr>
          <w:i/>
          <w:w w:val="110"/>
          <w:sz w:val="14"/>
        </w:rPr>
        <w:t>Results: </w:t>
      </w:r>
      <w:r>
        <w:rPr>
          <w:w w:val="110"/>
          <w:sz w:val="14"/>
        </w:rPr>
        <w:t>Forty studies met the inclusion criteria: 22 randomized controlled trials and 18 observational studies. Across studies, 6 categories and 22 unique techniques for closure were identi</w:t>
      </w:r>
      <w:r>
        <w:rPr>
          <w:rFonts w:ascii="Times New Roman" w:hAnsi="Times New Roman"/>
          <w:w w:val="110"/>
          <w:sz w:val="14"/>
        </w:rPr>
        <w:t>ﬁ</w:t>
      </w:r>
      <w:r>
        <w:rPr>
          <w:w w:val="110"/>
          <w:sz w:val="14"/>
        </w:rPr>
        <w:t>ed. Conventional closure methods exhibited large ranges of adverse event rates. Studies of multilayer barbed sutures with topical skin adhesives and polyester mesh or multilayer antimicrobial sutures reported narrow ranges of adverse events rates.</w:t>
      </w:r>
    </w:p>
    <w:p>
      <w:pPr>
        <w:spacing w:line="264" w:lineRule="auto" w:before="0"/>
        <w:ind w:left="310" w:right="111" w:firstLine="0"/>
        <w:jc w:val="both"/>
        <w:rPr>
          <w:sz w:val="14"/>
        </w:rPr>
      </w:pPr>
      <w:r>
        <w:rPr>
          <w:i/>
          <w:w w:val="110"/>
          <w:sz w:val="14"/>
        </w:rPr>
        <w:t>Conclusions: </w:t>
      </w:r>
      <w:r>
        <w:rPr>
          <w:w w:val="110"/>
          <w:sz w:val="14"/>
        </w:rPr>
        <w:t>Considerable variability exists for wound closure methods, with a wide range reported in adverse events. Recent technologies and methods for standardized watertight, multilayer closure show promise for avoiding adverse events and unnecessary health-care costs; however, higher quality, comparative studies are required to enable future meta-analyses.</w:t>
      </w:r>
    </w:p>
    <w:p>
      <w:pPr>
        <w:spacing w:line="261" w:lineRule="auto" w:before="0"/>
        <w:ind w:left="310" w:right="112" w:firstLine="0"/>
        <w:jc w:val="both"/>
        <w:rPr>
          <w:sz w:val="14"/>
        </w:rPr>
      </w:pPr>
      <w:r>
        <w:rPr>
          <w:i/>
          <w:w w:val="110"/>
          <w:sz w:val="14"/>
        </w:rPr>
        <w:t>Level</w:t>
      </w:r>
      <w:r>
        <w:rPr>
          <w:i/>
          <w:spacing w:val="-9"/>
          <w:w w:val="110"/>
          <w:sz w:val="14"/>
        </w:rPr>
        <w:t> </w:t>
      </w:r>
      <w:r>
        <w:rPr>
          <w:i/>
          <w:w w:val="110"/>
          <w:sz w:val="14"/>
        </w:rPr>
        <w:t>of</w:t>
      </w:r>
      <w:r>
        <w:rPr>
          <w:i/>
          <w:spacing w:val="-7"/>
          <w:w w:val="110"/>
          <w:sz w:val="14"/>
        </w:rPr>
        <w:t> </w:t>
      </w:r>
      <w:r>
        <w:rPr>
          <w:i/>
          <w:w w:val="110"/>
          <w:sz w:val="14"/>
        </w:rPr>
        <w:t>Evidence:</w:t>
      </w:r>
      <w:r>
        <w:rPr>
          <w:i/>
          <w:spacing w:val="31"/>
          <w:w w:val="110"/>
          <w:sz w:val="14"/>
        </w:rPr>
        <w:t> </w:t>
      </w:r>
      <w:r>
        <w:rPr>
          <w:w w:val="110"/>
          <w:sz w:val="14"/>
        </w:rPr>
        <w:t>Therapeutic</w:t>
      </w:r>
      <w:r>
        <w:rPr>
          <w:spacing w:val="-6"/>
          <w:w w:val="110"/>
          <w:sz w:val="14"/>
        </w:rPr>
        <w:t> </w:t>
      </w:r>
      <w:r>
        <w:rPr>
          <w:w w:val="110"/>
          <w:sz w:val="14"/>
        </w:rPr>
        <w:t>Level</w:t>
      </w:r>
      <w:r>
        <w:rPr>
          <w:spacing w:val="-7"/>
          <w:w w:val="110"/>
          <w:sz w:val="14"/>
        </w:rPr>
        <w:t> </w:t>
      </w:r>
      <w:r>
        <w:rPr>
          <w:w w:val="110"/>
          <w:sz w:val="14"/>
        </w:rPr>
        <w:t>IV.</w:t>
      </w:r>
      <w:r>
        <w:rPr>
          <w:spacing w:val="-5"/>
          <w:w w:val="110"/>
          <w:sz w:val="14"/>
        </w:rPr>
        <w:t> </w:t>
      </w:r>
      <w:r>
        <w:rPr>
          <w:w w:val="110"/>
          <w:sz w:val="14"/>
        </w:rPr>
        <w:t>See</w:t>
      </w:r>
      <w:r>
        <w:rPr>
          <w:spacing w:val="-6"/>
          <w:w w:val="110"/>
          <w:sz w:val="14"/>
        </w:rPr>
        <w:t> </w:t>
      </w:r>
      <w:r>
        <w:rPr>
          <w:w w:val="110"/>
          <w:sz w:val="14"/>
        </w:rPr>
        <w:t>Instructions</w:t>
      </w:r>
      <w:r>
        <w:rPr>
          <w:spacing w:val="-6"/>
          <w:w w:val="110"/>
          <w:sz w:val="14"/>
        </w:rPr>
        <w:t> </w:t>
      </w:r>
      <w:r>
        <w:rPr>
          <w:w w:val="110"/>
          <w:sz w:val="14"/>
        </w:rPr>
        <w:t>for</w:t>
      </w:r>
      <w:r>
        <w:rPr>
          <w:spacing w:val="-6"/>
          <w:w w:val="110"/>
          <w:sz w:val="14"/>
        </w:rPr>
        <w:t> </w:t>
      </w:r>
      <w:r>
        <w:rPr>
          <w:w w:val="110"/>
          <w:sz w:val="14"/>
        </w:rPr>
        <w:t>Authors</w:t>
      </w:r>
      <w:r>
        <w:rPr>
          <w:spacing w:val="-6"/>
          <w:w w:val="110"/>
          <w:sz w:val="14"/>
        </w:rPr>
        <w:t> </w:t>
      </w:r>
      <w:r>
        <w:rPr>
          <w:w w:val="110"/>
          <w:sz w:val="14"/>
        </w:rPr>
        <w:t>for</w:t>
      </w:r>
      <w:r>
        <w:rPr>
          <w:spacing w:val="-7"/>
          <w:w w:val="110"/>
          <w:sz w:val="14"/>
        </w:rPr>
        <w:t> </w:t>
      </w:r>
      <w:r>
        <w:rPr>
          <w:w w:val="110"/>
          <w:sz w:val="14"/>
        </w:rPr>
        <w:t>a</w:t>
      </w:r>
      <w:r>
        <w:rPr>
          <w:spacing w:val="-6"/>
          <w:w w:val="110"/>
          <w:sz w:val="14"/>
        </w:rPr>
        <w:t> </w:t>
      </w:r>
      <w:r>
        <w:rPr>
          <w:w w:val="110"/>
          <w:sz w:val="14"/>
        </w:rPr>
        <w:t>complete</w:t>
      </w:r>
      <w:r>
        <w:rPr>
          <w:spacing w:val="-7"/>
          <w:w w:val="110"/>
          <w:sz w:val="14"/>
        </w:rPr>
        <w:t> </w:t>
      </w:r>
      <w:r>
        <w:rPr>
          <w:w w:val="110"/>
          <w:sz w:val="14"/>
        </w:rPr>
        <w:t>description</w:t>
      </w:r>
      <w:r>
        <w:rPr>
          <w:spacing w:val="-6"/>
          <w:w w:val="110"/>
          <w:sz w:val="14"/>
        </w:rPr>
        <w:t> </w:t>
      </w:r>
      <w:r>
        <w:rPr>
          <w:w w:val="110"/>
          <w:sz w:val="14"/>
        </w:rPr>
        <w:t>of</w:t>
      </w:r>
      <w:r>
        <w:rPr>
          <w:spacing w:val="-7"/>
          <w:w w:val="110"/>
          <w:sz w:val="14"/>
        </w:rPr>
        <w:t> </w:t>
      </w:r>
      <w:r>
        <w:rPr>
          <w:w w:val="110"/>
          <w:sz w:val="14"/>
        </w:rPr>
        <w:t>levels</w:t>
      </w:r>
      <w:r>
        <w:rPr>
          <w:spacing w:val="-6"/>
          <w:w w:val="110"/>
          <w:sz w:val="14"/>
        </w:rPr>
        <w:t> </w:t>
      </w:r>
      <w:r>
        <w:rPr>
          <w:w w:val="110"/>
          <w:sz w:val="14"/>
        </w:rPr>
        <w:t>of evidence.</w:t>
      </w:r>
    </w:p>
    <w:p>
      <w:pPr>
        <w:spacing w:line="264" w:lineRule="auto" w:before="0"/>
        <w:ind w:left="310" w:right="112" w:firstLine="2"/>
        <w:jc w:val="both"/>
        <w:rPr>
          <w:sz w:val="14"/>
        </w:rPr>
      </w:pPr>
      <w:r>
        <w:rPr>
          <w:rFonts w:ascii="Lucida Sans" w:hAnsi="Lucida Sans"/>
          <w:w w:val="105"/>
          <w:sz w:val="14"/>
        </w:rPr>
        <w:t>© </w:t>
      </w:r>
      <w:r>
        <w:rPr>
          <w:w w:val="105"/>
          <w:sz w:val="14"/>
        </w:rPr>
        <w:t>2021 The Authors. Published by Elsevier Inc. on behalf of The American Association of Hip and Knee Surgeons.</w:t>
      </w:r>
      <w:r>
        <w:rPr>
          <w:spacing w:val="4"/>
          <w:w w:val="105"/>
          <w:sz w:val="14"/>
        </w:rPr>
        <w:t> </w:t>
      </w:r>
      <w:r>
        <w:rPr>
          <w:w w:val="105"/>
          <w:sz w:val="14"/>
        </w:rPr>
        <w:t>This</w:t>
      </w:r>
      <w:r>
        <w:rPr>
          <w:spacing w:val="4"/>
          <w:w w:val="105"/>
          <w:sz w:val="14"/>
        </w:rPr>
        <w:t> </w:t>
      </w:r>
      <w:r>
        <w:rPr>
          <w:w w:val="105"/>
          <w:sz w:val="14"/>
        </w:rPr>
        <w:t>is</w:t>
      </w:r>
      <w:r>
        <w:rPr>
          <w:spacing w:val="4"/>
          <w:w w:val="105"/>
          <w:sz w:val="14"/>
        </w:rPr>
        <w:t> </w:t>
      </w:r>
      <w:r>
        <w:rPr>
          <w:w w:val="105"/>
          <w:sz w:val="14"/>
        </w:rPr>
        <w:t>an</w:t>
      </w:r>
      <w:r>
        <w:rPr>
          <w:spacing w:val="4"/>
          <w:w w:val="105"/>
          <w:sz w:val="14"/>
        </w:rPr>
        <w:t> </w:t>
      </w:r>
      <w:r>
        <w:rPr>
          <w:w w:val="105"/>
          <w:sz w:val="14"/>
        </w:rPr>
        <w:t>open</w:t>
      </w:r>
      <w:r>
        <w:rPr>
          <w:spacing w:val="5"/>
          <w:w w:val="105"/>
          <w:sz w:val="14"/>
        </w:rPr>
        <w:t> </w:t>
      </w:r>
      <w:r>
        <w:rPr>
          <w:w w:val="105"/>
          <w:sz w:val="14"/>
        </w:rPr>
        <w:t>access</w:t>
      </w:r>
      <w:r>
        <w:rPr>
          <w:spacing w:val="5"/>
          <w:w w:val="105"/>
          <w:sz w:val="14"/>
        </w:rPr>
        <w:t> </w:t>
      </w:r>
      <w:r>
        <w:rPr>
          <w:w w:val="105"/>
          <w:sz w:val="14"/>
        </w:rPr>
        <w:t>article</w:t>
      </w:r>
      <w:r>
        <w:rPr>
          <w:spacing w:val="5"/>
          <w:w w:val="105"/>
          <w:sz w:val="14"/>
        </w:rPr>
        <w:t> </w:t>
      </w:r>
      <w:r>
        <w:rPr>
          <w:w w:val="105"/>
          <w:sz w:val="14"/>
        </w:rPr>
        <w:t>under</w:t>
      </w:r>
      <w:r>
        <w:rPr>
          <w:spacing w:val="4"/>
          <w:w w:val="105"/>
          <w:sz w:val="14"/>
        </w:rPr>
        <w:t> </w:t>
      </w:r>
      <w:r>
        <w:rPr>
          <w:w w:val="105"/>
          <w:sz w:val="14"/>
        </w:rPr>
        <w:t>the</w:t>
      </w:r>
      <w:r>
        <w:rPr>
          <w:spacing w:val="4"/>
          <w:w w:val="105"/>
          <w:sz w:val="14"/>
        </w:rPr>
        <w:t> </w:t>
      </w:r>
      <w:r>
        <w:rPr>
          <w:w w:val="105"/>
          <w:sz w:val="14"/>
        </w:rPr>
        <w:t>CC</w:t>
      </w:r>
      <w:r>
        <w:rPr>
          <w:spacing w:val="5"/>
          <w:w w:val="105"/>
          <w:sz w:val="14"/>
        </w:rPr>
        <w:t> </w:t>
      </w:r>
      <w:r>
        <w:rPr>
          <w:w w:val="105"/>
          <w:sz w:val="14"/>
        </w:rPr>
        <w:t>BY</w:t>
      </w:r>
      <w:r>
        <w:rPr>
          <w:spacing w:val="4"/>
          <w:w w:val="105"/>
          <w:sz w:val="14"/>
        </w:rPr>
        <w:t> </w:t>
      </w:r>
      <w:r>
        <w:rPr>
          <w:w w:val="105"/>
          <w:sz w:val="14"/>
        </w:rPr>
        <w:t>license</w:t>
      </w:r>
      <w:r>
        <w:rPr>
          <w:spacing w:val="3"/>
          <w:w w:val="105"/>
          <w:sz w:val="14"/>
        </w:rPr>
        <w:t> </w:t>
      </w:r>
      <w:r>
        <w:rPr>
          <w:w w:val="105"/>
          <w:sz w:val="14"/>
        </w:rPr>
        <w:t>(</w:t>
      </w:r>
      <w:hyperlink r:id="rId12">
        <w:r>
          <w:rPr>
            <w:color w:val="007FAC"/>
            <w:w w:val="105"/>
            <w:sz w:val="14"/>
          </w:rPr>
          <w:t>http://creativecommons.org/licenses/by/</w:t>
        </w:r>
      </w:hyperlink>
    </w:p>
    <w:p>
      <w:pPr>
        <w:spacing w:before="1"/>
        <w:ind w:left="0" w:right="112" w:firstLine="0"/>
        <w:jc w:val="right"/>
        <w:rPr>
          <w:sz w:val="14"/>
        </w:rPr>
      </w:pPr>
      <w:hyperlink r:id="rId12">
        <w:r>
          <w:rPr>
            <w:color w:val="007FAC"/>
            <w:spacing w:val="-3"/>
            <w:w w:val="105"/>
            <w:sz w:val="14"/>
          </w:rPr>
          <w:t>4.0/</w:t>
        </w:r>
      </w:hyperlink>
      <w:r>
        <w:rPr>
          <w:spacing w:val="-3"/>
          <w:w w:val="105"/>
          <w:sz w:val="14"/>
        </w:rPr>
        <w:t>).</w:t>
      </w:r>
    </w:p>
    <w:p>
      <w:pPr>
        <w:spacing w:after="0"/>
        <w:jc w:val="right"/>
        <w:rPr>
          <w:sz w:val="14"/>
        </w:rPr>
        <w:sectPr>
          <w:type w:val="continuous"/>
          <w:pgSz w:w="11910" w:h="15880"/>
          <w:pgMar w:top="840" w:bottom="360" w:left="540" w:right="540"/>
          <w:cols w:num="2" w:equalWidth="0">
            <w:col w:w="2349" w:space="939"/>
            <w:col w:w="7542"/>
          </w:cols>
        </w:sectPr>
      </w:pPr>
    </w:p>
    <w:p>
      <w:pPr>
        <w:pStyle w:val="BodyText"/>
        <w:spacing w:before="8" w:after="1"/>
        <w:rPr>
          <w:sz w:val="8"/>
        </w:rPr>
      </w:pPr>
    </w:p>
    <w:p>
      <w:pPr>
        <w:pStyle w:val="BodyText"/>
        <w:spacing w:line="20" w:lineRule="exact"/>
        <w:ind w:left="307"/>
        <w:rPr>
          <w:sz w:val="2"/>
        </w:rPr>
      </w:pPr>
      <w:r>
        <w:rPr>
          <w:sz w:val="2"/>
        </w:rPr>
        <w:pict>
          <v:group style="width:520.0500pt;height:.25pt;mso-position-horizontal-relative:char;mso-position-vertical-relative:line" coordorigin="0,0" coordsize="10401,5">
            <v:line style="position:absolute" from="0,2" to="3288,2" stroked="true" strokeweight=".22678pt" strokecolor="#000000">
              <v:stroke dashstyle="solid"/>
            </v:line>
            <v:line style="position:absolute" from="3288,2" to="10401,2" stroked="true" strokeweight=".22678pt" strokecolor="#000000">
              <v:stroke dashstyle="solid"/>
            </v:line>
          </v:group>
        </w:pict>
      </w:r>
      <w:r>
        <w:rPr>
          <w:sz w:val="2"/>
        </w:rPr>
      </w:r>
    </w:p>
    <w:p>
      <w:pPr>
        <w:pStyle w:val="BodyText"/>
        <w:spacing w:before="12"/>
        <w:rPr>
          <w:sz w:val="25"/>
        </w:rPr>
      </w:pPr>
    </w:p>
    <w:p>
      <w:pPr>
        <w:spacing w:after="0"/>
        <w:rPr>
          <w:sz w:val="25"/>
        </w:rPr>
        <w:sectPr>
          <w:type w:val="continuous"/>
          <w:pgSz w:w="11910" w:h="15880"/>
          <w:pgMar w:top="840" w:bottom="360" w:left="540" w:right="540"/>
        </w:sectPr>
      </w:pPr>
    </w:p>
    <w:p>
      <w:pPr>
        <w:pStyle w:val="BodyText"/>
        <w:spacing w:before="104"/>
        <w:ind w:left="310"/>
      </w:pPr>
      <w:r>
        <w:rPr>
          <w:w w:val="110"/>
        </w:rPr>
        <w:t>Introduction and background</w:t>
      </w:r>
    </w:p>
    <w:p>
      <w:pPr>
        <w:pStyle w:val="BodyText"/>
        <w:spacing w:before="8"/>
        <w:rPr>
          <w:sz w:val="17"/>
        </w:rPr>
      </w:pPr>
    </w:p>
    <w:p>
      <w:pPr>
        <w:pStyle w:val="BodyText"/>
        <w:spacing w:line="252" w:lineRule="auto"/>
        <w:ind w:left="310" w:firstLine="239"/>
        <w:jc w:val="both"/>
      </w:pPr>
      <w:r>
        <w:rPr>
          <w:w w:val="105"/>
        </w:rPr>
        <w:t>Wound closure is a key, and often underrecognized, component of hip and knee arthroplasty [</w:t>
      </w:r>
      <w:hyperlink w:history="true" w:anchor="_bookmark12">
        <w:r>
          <w:rPr>
            <w:color w:val="007FAC"/>
            <w:w w:val="105"/>
          </w:rPr>
          <w:t>1</w:t>
        </w:r>
      </w:hyperlink>
      <w:r>
        <w:rPr>
          <w:w w:val="105"/>
        </w:rPr>
        <w:t>,</w:t>
      </w:r>
      <w:hyperlink w:history="true" w:anchor="_bookmark13">
        <w:r>
          <w:rPr>
            <w:color w:val="007FAC"/>
            <w:w w:val="105"/>
          </w:rPr>
          <w:t>2</w:t>
        </w:r>
      </w:hyperlink>
      <w:r>
        <w:rPr>
          <w:w w:val="105"/>
        </w:rPr>
        <w:t>]. Considering an estimated 1 million lower extremity total joint replacement procedures are performed annually in the United States (US), this presents an</w:t>
      </w:r>
    </w:p>
    <w:p>
      <w:pPr>
        <w:pStyle w:val="BodyText"/>
        <w:rPr>
          <w:sz w:val="20"/>
        </w:rPr>
      </w:pPr>
    </w:p>
    <w:p>
      <w:pPr>
        <w:pStyle w:val="BodyText"/>
        <w:spacing w:before="4"/>
      </w:pPr>
      <w:r>
        <w:rPr/>
        <w:pict>
          <v:shape style="position:absolute;margin-left:42.52pt;margin-top:12.205848pt;width:36.15pt;height:.1pt;mso-position-horizontal-relative:page;mso-position-vertical-relative:paragraph;z-index:-251653120;mso-wrap-distance-left:0;mso-wrap-distance-right:0" coordorigin="850,244" coordsize="723,0" path="m850,244l1573,244e" filled="false" stroked="true" strokeweight=".113pt" strokecolor="#000000">
            <v:path arrowok="t"/>
            <v:stroke dashstyle="solid"/>
            <w10:wrap type="topAndBottom"/>
          </v:shape>
        </w:pict>
      </w:r>
    </w:p>
    <w:p>
      <w:pPr>
        <w:spacing w:line="273" w:lineRule="auto" w:before="15"/>
        <w:ind w:left="310" w:right="0" w:firstLine="100"/>
        <w:jc w:val="left"/>
        <w:rPr>
          <w:sz w:val="12"/>
        </w:rPr>
      </w:pPr>
      <w:r>
        <w:rPr>
          <w:rFonts w:ascii="Lucida Sans" w:hAnsi="Lucida Sans"/>
          <w:w w:val="115"/>
          <w:sz w:val="12"/>
        </w:rPr>
        <w:t>* </w:t>
      </w:r>
      <w:r>
        <w:rPr>
          <w:w w:val="115"/>
          <w:sz w:val="12"/>
        </w:rPr>
        <w:t>Corresponding author. 375 Dixmyth Ave, Cincinnati, OH, 45220, USA. Tel.: </w:t>
      </w:r>
      <w:r>
        <w:rPr>
          <w:rFonts w:ascii="Century Gothic" w:hAnsi="Century Gothic"/>
          <w:w w:val="115"/>
          <w:sz w:val="12"/>
        </w:rPr>
        <w:t>þ</w:t>
      </w:r>
      <w:r>
        <w:rPr>
          <w:w w:val="115"/>
          <w:sz w:val="12"/>
        </w:rPr>
        <w:t>1 513-310-2733.</w:t>
      </w:r>
    </w:p>
    <w:p>
      <w:pPr>
        <w:spacing w:before="2"/>
        <w:ind w:left="549" w:right="0" w:firstLine="0"/>
        <w:jc w:val="left"/>
        <w:rPr>
          <w:sz w:val="12"/>
        </w:rPr>
      </w:pPr>
      <w:r>
        <w:rPr>
          <w:i/>
          <w:w w:val="115"/>
          <w:sz w:val="12"/>
        </w:rPr>
        <w:t>E-mail address: </w:t>
      </w:r>
      <w:hyperlink r:id="rId13">
        <w:r>
          <w:rPr>
            <w:color w:val="007FAC"/>
            <w:w w:val="115"/>
            <w:sz w:val="12"/>
          </w:rPr>
          <w:t>Mark_Snyder@trihealth.com</w:t>
        </w:r>
      </w:hyperlink>
    </w:p>
    <w:p>
      <w:pPr>
        <w:pStyle w:val="BodyText"/>
        <w:spacing w:line="252" w:lineRule="auto" w:before="104"/>
        <w:ind w:left="310" w:right="110"/>
        <w:jc w:val="both"/>
      </w:pPr>
      <w:r>
        <w:rPr/>
        <w:br w:type="column"/>
      </w:r>
      <w:r>
        <w:rPr>
          <w:w w:val="105"/>
        </w:rPr>
        <w:t>important opportunity for improving patient outcomes decayed </w:t>
      </w:r>
      <w:r>
        <w:rPr>
          <w:spacing w:val="-7"/>
          <w:w w:val="105"/>
        </w:rPr>
        <w:t>by </w:t>
      </w:r>
      <w:r>
        <w:rPr>
          <w:w w:val="105"/>
        </w:rPr>
        <w:t>adverse events and early readmissions linked to suboptimal</w:t>
      </w:r>
      <w:r>
        <w:rPr>
          <w:spacing w:val="-20"/>
          <w:w w:val="105"/>
        </w:rPr>
        <w:t> </w:t>
      </w:r>
      <w:r>
        <w:rPr>
          <w:w w:val="105"/>
        </w:rPr>
        <w:t>wound closure methods [</w:t>
      </w:r>
      <w:hyperlink w:history="true" w:anchor="_bookmark14">
        <w:r>
          <w:rPr>
            <w:color w:val="007FAC"/>
            <w:w w:val="105"/>
          </w:rPr>
          <w:t>3</w:t>
        </w:r>
      </w:hyperlink>
      <w:r>
        <w:rPr>
          <w:w w:val="105"/>
        </w:rPr>
        <w:t>,</w:t>
      </w:r>
      <w:hyperlink w:history="true" w:anchor="_bookmark15">
        <w:r>
          <w:rPr>
            <w:color w:val="007FAC"/>
            <w:w w:val="105"/>
          </w:rPr>
          <w:t>4</w:t>
        </w:r>
      </w:hyperlink>
      <w:r>
        <w:rPr>
          <w:w w:val="105"/>
        </w:rPr>
        <w:t>]. For example, a recent American College of Surgeons-National Surgical Quality Improvement Program </w:t>
      </w:r>
      <w:r>
        <w:rPr>
          <w:spacing w:val="-3"/>
          <w:w w:val="105"/>
        </w:rPr>
        <w:t>data- </w:t>
      </w:r>
      <w:r>
        <w:rPr>
          <w:w w:val="105"/>
        </w:rPr>
        <w:t>base analysis of 169,406 patients with total joint arthroplasty found the rate of overall complications was 8% for outpatient and </w:t>
      </w:r>
      <w:r>
        <w:rPr>
          <w:spacing w:val="-4"/>
          <w:w w:val="105"/>
        </w:rPr>
        <w:t>16% </w:t>
      </w:r>
      <w:r>
        <w:rPr>
          <w:w w:val="105"/>
        </w:rPr>
        <w:t>for inpatient procedures</w:t>
      </w:r>
      <w:r>
        <w:rPr>
          <w:spacing w:val="16"/>
          <w:w w:val="105"/>
        </w:rPr>
        <w:t> </w:t>
      </w:r>
      <w:r>
        <w:rPr>
          <w:w w:val="105"/>
        </w:rPr>
        <w:t>[</w:t>
      </w:r>
      <w:hyperlink w:history="true" w:anchor="_bookmark16">
        <w:r>
          <w:rPr>
            <w:color w:val="007FAC"/>
            <w:w w:val="105"/>
          </w:rPr>
          <w:t>5</w:t>
        </w:r>
      </w:hyperlink>
      <w:r>
        <w:rPr>
          <w:w w:val="105"/>
        </w:rPr>
        <w:t>].</w:t>
      </w:r>
    </w:p>
    <w:p>
      <w:pPr>
        <w:pStyle w:val="BodyText"/>
        <w:spacing w:line="252" w:lineRule="auto" w:before="3"/>
        <w:ind w:left="310" w:right="111" w:firstLine="239"/>
        <w:jc w:val="both"/>
      </w:pPr>
      <w:r>
        <w:rPr>
          <w:w w:val="105"/>
        </w:rPr>
        <w:t>One of the most costly and potentially avoidable adverse events after hip or knee arthroplasty is surgical site infection (SSI) [</w:t>
      </w:r>
      <w:hyperlink w:history="true" w:anchor="_bookmark17">
        <w:r>
          <w:rPr>
            <w:color w:val="007FAC"/>
            <w:w w:val="105"/>
          </w:rPr>
          <w:t>6</w:t>
        </w:r>
      </w:hyperlink>
      <w:r>
        <w:rPr>
          <w:w w:val="105"/>
        </w:rPr>
        <w:t>]. The Centers for Disease Control and Prevention (CDC) National Healthcare Safety Network published criteria for the</w:t>
      </w:r>
    </w:p>
    <w:p>
      <w:pPr>
        <w:spacing w:after="0" w:line="252" w:lineRule="auto"/>
        <w:jc w:val="both"/>
        <w:sectPr>
          <w:type w:val="continuous"/>
          <w:pgSz w:w="11910" w:h="15880"/>
          <w:pgMar w:top="840" w:bottom="360" w:left="540" w:right="540"/>
          <w:cols w:num="2" w:equalWidth="0">
            <w:col w:w="5332" w:space="48"/>
            <w:col w:w="5450"/>
          </w:cols>
        </w:sectPr>
      </w:pPr>
    </w:p>
    <w:p>
      <w:pPr>
        <w:pStyle w:val="BodyText"/>
        <w:spacing w:before="8"/>
      </w:pPr>
    </w:p>
    <w:p>
      <w:pPr>
        <w:spacing w:before="0"/>
        <w:ind w:left="310" w:right="0" w:firstLine="0"/>
        <w:jc w:val="left"/>
        <w:rPr>
          <w:sz w:val="12"/>
        </w:rPr>
      </w:pPr>
      <w:hyperlink r:id="rId11">
        <w:r>
          <w:rPr>
            <w:color w:val="007FAC"/>
            <w:w w:val="110"/>
            <w:sz w:val="12"/>
          </w:rPr>
          <w:t>https://doi.org/10.1016/j.artd.2021.05.015</w:t>
        </w:r>
      </w:hyperlink>
    </w:p>
    <w:p>
      <w:pPr>
        <w:spacing w:line="276" w:lineRule="auto" w:before="22"/>
        <w:ind w:left="310" w:right="249" w:firstLine="0"/>
        <w:jc w:val="left"/>
        <w:rPr>
          <w:sz w:val="12"/>
        </w:rPr>
      </w:pPr>
      <w:r>
        <w:rPr>
          <w:w w:val="127"/>
          <w:sz w:val="12"/>
        </w:rPr>
        <w:t>2352-34</w:t>
      </w:r>
      <w:r>
        <w:rPr>
          <w:w w:val="126"/>
          <w:sz w:val="12"/>
        </w:rPr>
        <w:t>41</w:t>
      </w:r>
      <w:r>
        <w:rPr>
          <w:w w:val="62"/>
          <w:sz w:val="12"/>
        </w:rPr>
        <w:t>/</w:t>
      </w:r>
      <w:r>
        <w:rPr>
          <w:rFonts w:ascii="Lucida Sans" w:hAnsi="Lucida Sans"/>
          <w:w w:val="96"/>
          <w:sz w:val="12"/>
        </w:rPr>
        <w:t>©</w:t>
      </w:r>
      <w:r>
        <w:rPr>
          <w:rFonts w:ascii="Lucida Sans" w:hAnsi="Lucida Sans"/>
          <w:sz w:val="12"/>
        </w:rPr>
        <w:t> </w:t>
      </w:r>
      <w:r>
        <w:rPr>
          <w:w w:val="126"/>
          <w:sz w:val="12"/>
        </w:rPr>
        <w:t>2021</w:t>
      </w:r>
      <w:r>
        <w:rPr>
          <w:sz w:val="12"/>
        </w:rPr>
        <w:t> </w:t>
      </w:r>
      <w:r>
        <w:rPr>
          <w:w w:val="110"/>
          <w:sz w:val="12"/>
        </w:rPr>
        <w:t>The</w:t>
      </w:r>
      <w:r>
        <w:rPr>
          <w:sz w:val="12"/>
        </w:rPr>
        <w:t> </w:t>
      </w:r>
      <w:r>
        <w:rPr>
          <w:w w:val="93"/>
          <w:sz w:val="12"/>
        </w:rPr>
        <w:t>A</w:t>
      </w:r>
      <w:r>
        <w:rPr>
          <w:w w:val="112"/>
          <w:sz w:val="12"/>
        </w:rPr>
        <w:t>uthors.</w:t>
      </w:r>
      <w:r>
        <w:rPr>
          <w:sz w:val="12"/>
        </w:rPr>
        <w:t> </w:t>
      </w:r>
      <w:r>
        <w:rPr>
          <w:w w:val="111"/>
          <w:sz w:val="12"/>
        </w:rPr>
        <w:t>Published</w:t>
      </w:r>
      <w:r>
        <w:rPr>
          <w:sz w:val="12"/>
        </w:rPr>
        <w:t> </w:t>
      </w:r>
      <w:r>
        <w:rPr>
          <w:w w:val="110"/>
          <w:sz w:val="12"/>
        </w:rPr>
        <w:t>by</w:t>
      </w:r>
      <w:r>
        <w:rPr>
          <w:sz w:val="12"/>
        </w:rPr>
        <w:t> </w:t>
      </w:r>
      <w:r>
        <w:rPr>
          <w:w w:val="111"/>
          <w:sz w:val="12"/>
        </w:rPr>
        <w:t>Elsevier</w:t>
      </w:r>
      <w:r>
        <w:rPr>
          <w:sz w:val="12"/>
        </w:rPr>
        <w:t> </w:t>
      </w:r>
      <w:r>
        <w:rPr>
          <w:w w:val="109"/>
          <w:sz w:val="12"/>
        </w:rPr>
        <w:t>Inc.</w:t>
      </w:r>
      <w:r>
        <w:rPr>
          <w:sz w:val="12"/>
        </w:rPr>
        <w:t> </w:t>
      </w:r>
      <w:r>
        <w:rPr>
          <w:w w:val="114"/>
          <w:sz w:val="12"/>
        </w:rPr>
        <w:t>on</w:t>
      </w:r>
      <w:r>
        <w:rPr>
          <w:sz w:val="12"/>
        </w:rPr>
        <w:t> </w:t>
      </w:r>
      <w:r>
        <w:rPr>
          <w:w w:val="113"/>
          <w:sz w:val="12"/>
        </w:rPr>
        <w:t>behalf</w:t>
      </w:r>
      <w:r>
        <w:rPr>
          <w:sz w:val="12"/>
        </w:rPr>
        <w:t> </w:t>
      </w:r>
      <w:r>
        <w:rPr>
          <w:w w:val="111"/>
          <w:sz w:val="12"/>
        </w:rPr>
        <w:t>of</w:t>
      </w:r>
      <w:r>
        <w:rPr>
          <w:sz w:val="12"/>
        </w:rPr>
        <w:t> </w:t>
      </w:r>
      <w:r>
        <w:rPr>
          <w:w w:val="110"/>
          <w:sz w:val="12"/>
        </w:rPr>
        <w:t>The</w:t>
      </w:r>
      <w:r>
        <w:rPr>
          <w:sz w:val="12"/>
        </w:rPr>
        <w:t> </w:t>
      </w:r>
      <w:r>
        <w:rPr>
          <w:w w:val="111"/>
          <w:sz w:val="12"/>
        </w:rPr>
        <w:t>American</w:t>
      </w:r>
      <w:r>
        <w:rPr>
          <w:sz w:val="12"/>
        </w:rPr>
        <w:t> </w:t>
      </w:r>
      <w:r>
        <w:rPr>
          <w:w w:val="111"/>
          <w:sz w:val="12"/>
        </w:rPr>
        <w:t>Association</w:t>
      </w:r>
      <w:r>
        <w:rPr>
          <w:sz w:val="12"/>
        </w:rPr>
        <w:t> </w:t>
      </w:r>
      <w:r>
        <w:rPr>
          <w:w w:val="111"/>
          <w:sz w:val="12"/>
        </w:rPr>
        <w:t>of</w:t>
      </w:r>
      <w:r>
        <w:rPr>
          <w:sz w:val="12"/>
        </w:rPr>
        <w:t> </w:t>
      </w:r>
      <w:r>
        <w:rPr>
          <w:w w:val="104"/>
          <w:sz w:val="12"/>
        </w:rPr>
        <w:t>Hip</w:t>
      </w:r>
      <w:r>
        <w:rPr>
          <w:sz w:val="12"/>
        </w:rPr>
        <w:t> </w:t>
      </w:r>
      <w:r>
        <w:rPr>
          <w:w w:val="111"/>
          <w:sz w:val="12"/>
        </w:rPr>
        <w:t>and</w:t>
      </w:r>
      <w:r>
        <w:rPr>
          <w:sz w:val="12"/>
        </w:rPr>
        <w:t> </w:t>
      </w:r>
      <w:r>
        <w:rPr>
          <w:w w:val="111"/>
          <w:sz w:val="12"/>
        </w:rPr>
        <w:t>Knee</w:t>
      </w:r>
      <w:r>
        <w:rPr>
          <w:sz w:val="12"/>
        </w:rPr>
        <w:t> </w:t>
      </w:r>
      <w:r>
        <w:rPr>
          <w:w w:val="111"/>
          <w:sz w:val="12"/>
        </w:rPr>
        <w:t>Surgeons.</w:t>
      </w:r>
      <w:r>
        <w:rPr>
          <w:sz w:val="12"/>
        </w:rPr>
        <w:t> </w:t>
      </w:r>
      <w:r>
        <w:rPr>
          <w:w w:val="109"/>
          <w:sz w:val="12"/>
        </w:rPr>
        <w:t>This</w:t>
      </w:r>
      <w:r>
        <w:rPr>
          <w:sz w:val="12"/>
        </w:rPr>
        <w:t> </w:t>
      </w:r>
      <w:r>
        <w:rPr>
          <w:w w:val="112"/>
          <w:sz w:val="12"/>
        </w:rPr>
        <w:t>is</w:t>
      </w:r>
      <w:r>
        <w:rPr>
          <w:sz w:val="12"/>
        </w:rPr>
        <w:t> </w:t>
      </w:r>
      <w:r>
        <w:rPr>
          <w:w w:val="113"/>
          <w:sz w:val="12"/>
        </w:rPr>
        <w:t>an</w:t>
      </w:r>
      <w:r>
        <w:rPr>
          <w:sz w:val="12"/>
        </w:rPr>
        <w:t> </w:t>
      </w:r>
      <w:r>
        <w:rPr>
          <w:w w:val="114"/>
          <w:sz w:val="12"/>
        </w:rPr>
        <w:t>open</w:t>
      </w:r>
      <w:r>
        <w:rPr>
          <w:sz w:val="12"/>
        </w:rPr>
        <w:t> </w:t>
      </w:r>
      <w:r>
        <w:rPr>
          <w:w w:val="115"/>
          <w:sz w:val="12"/>
        </w:rPr>
        <w:t>access</w:t>
      </w:r>
      <w:r>
        <w:rPr>
          <w:sz w:val="12"/>
        </w:rPr>
        <w:t> </w:t>
      </w:r>
      <w:r>
        <w:rPr>
          <w:w w:val="115"/>
          <w:sz w:val="12"/>
        </w:rPr>
        <w:t>article</w:t>
      </w:r>
      <w:r>
        <w:rPr>
          <w:sz w:val="12"/>
        </w:rPr>
        <w:t> </w:t>
      </w:r>
      <w:r>
        <w:rPr>
          <w:w w:val="112"/>
          <w:sz w:val="12"/>
        </w:rPr>
        <w:t>under</w:t>
      </w:r>
      <w:r>
        <w:rPr>
          <w:sz w:val="12"/>
        </w:rPr>
        <w:t> </w:t>
      </w:r>
      <w:r>
        <w:rPr>
          <w:w w:val="118"/>
          <w:sz w:val="12"/>
        </w:rPr>
        <w:t>the</w:t>
      </w:r>
      <w:r>
        <w:rPr>
          <w:sz w:val="12"/>
        </w:rPr>
        <w:t> </w:t>
      </w:r>
      <w:r>
        <w:rPr>
          <w:w w:val="92"/>
          <w:sz w:val="12"/>
        </w:rPr>
        <w:t>CC</w:t>
      </w:r>
      <w:r>
        <w:rPr>
          <w:sz w:val="12"/>
        </w:rPr>
        <w:t> </w:t>
      </w:r>
      <w:r>
        <w:rPr>
          <w:w w:val="107"/>
          <w:sz w:val="12"/>
        </w:rPr>
        <w:t>B</w:t>
      </w:r>
      <w:r>
        <w:rPr>
          <w:w w:val="101"/>
          <w:sz w:val="12"/>
        </w:rPr>
        <w:t>Y </w:t>
      </w:r>
      <w:r>
        <w:rPr>
          <w:w w:val="110"/>
          <w:sz w:val="12"/>
        </w:rPr>
        <w:t>license (</w:t>
      </w:r>
      <w:hyperlink r:id="rId12">
        <w:r>
          <w:rPr>
            <w:color w:val="007FAC"/>
            <w:w w:val="110"/>
            <w:sz w:val="12"/>
          </w:rPr>
          <w:t>http://creativecommons.org/licenses/by/4.0/</w:t>
        </w:r>
      </w:hyperlink>
      <w:r>
        <w:rPr>
          <w:w w:val="110"/>
          <w:sz w:val="12"/>
        </w:rPr>
        <w:t>).</w:t>
      </w:r>
    </w:p>
    <w:p>
      <w:pPr>
        <w:spacing w:after="0" w:line="276" w:lineRule="auto"/>
        <w:jc w:val="left"/>
        <w:rPr>
          <w:sz w:val="12"/>
        </w:rPr>
        <w:sectPr>
          <w:type w:val="continuous"/>
          <w:pgSz w:w="11910" w:h="15880"/>
          <w:pgMar w:top="840" w:bottom="360" w:left="540" w:right="540"/>
        </w:sectPr>
      </w:pPr>
    </w:p>
    <w:p>
      <w:pPr>
        <w:tabs>
          <w:tab w:pos="3657" w:val="left" w:leader="none"/>
        </w:tabs>
        <w:spacing w:before="99"/>
        <w:ind w:left="116" w:right="0" w:firstLine="0"/>
        <w:jc w:val="left"/>
        <w:rPr>
          <w:i/>
          <w:sz w:val="12"/>
        </w:rPr>
      </w:pPr>
      <w:bookmarkStart w:name="Material and methods" w:id="6"/>
      <w:bookmarkEnd w:id="6"/>
      <w:r>
        <w:rPr/>
      </w:r>
      <w:r>
        <w:rPr>
          <w:w w:val="110"/>
          <w:sz w:val="12"/>
        </w:rPr>
        <w:t>2</w:t>
        <w:tab/>
      </w:r>
      <w:r>
        <w:rPr>
          <w:i/>
          <w:w w:val="110"/>
          <w:sz w:val="12"/>
        </w:rPr>
        <w:t>M.A. Snyder et al. / Arthroplasty Today xxx (2021)</w:t>
      </w:r>
      <w:r>
        <w:rPr>
          <w:i/>
          <w:spacing w:val="15"/>
          <w:w w:val="110"/>
          <w:sz w:val="12"/>
        </w:rPr>
        <w:t> </w:t>
      </w:r>
      <w:r>
        <w:rPr>
          <w:i/>
          <w:spacing w:val="-3"/>
          <w:w w:val="110"/>
          <w:sz w:val="12"/>
        </w:rPr>
        <w:t>1</w:t>
      </w:r>
      <w:r>
        <w:rPr>
          <w:rFonts w:ascii="Lucida Sans"/>
          <w:spacing w:val="-3"/>
          <w:w w:val="110"/>
          <w:sz w:val="12"/>
        </w:rPr>
        <w:t>e</w:t>
      </w:r>
      <w:r>
        <w:rPr>
          <w:i/>
          <w:spacing w:val="-3"/>
          <w:w w:val="110"/>
          <w:sz w:val="12"/>
        </w:rPr>
        <w:t>10.e7</w:t>
      </w:r>
    </w:p>
    <w:p>
      <w:pPr>
        <w:pStyle w:val="BodyText"/>
        <w:spacing w:before="4"/>
        <w:rPr>
          <w:i/>
          <w:sz w:val="8"/>
        </w:rPr>
      </w:pPr>
    </w:p>
    <w:p>
      <w:pPr>
        <w:spacing w:after="0"/>
        <w:rPr>
          <w:sz w:val="8"/>
        </w:rPr>
        <w:sectPr>
          <w:headerReference w:type="default" r:id="rId14"/>
          <w:footerReference w:type="default" r:id="rId15"/>
          <w:pgSz w:w="11910" w:h="15880"/>
          <w:pgMar w:header="210" w:footer="165" w:top="840" w:bottom="360" w:left="540" w:right="540"/>
        </w:sectPr>
      </w:pPr>
    </w:p>
    <w:p>
      <w:pPr>
        <w:pStyle w:val="BodyText"/>
        <w:spacing w:line="252" w:lineRule="auto" w:before="106"/>
        <w:ind w:left="116" w:right="38"/>
        <w:jc w:val="both"/>
      </w:pPr>
      <w:r>
        <w:rPr>
          <w:w w:val="110"/>
        </w:rPr>
        <w:t>documentation of SSIs with categories including super</w:t>
      </w:r>
      <w:r>
        <w:rPr>
          <w:rFonts w:ascii="Times New Roman" w:hAnsi="Times New Roman"/>
          <w:w w:val="110"/>
        </w:rPr>
        <w:t>ﬁ</w:t>
      </w:r>
      <w:r>
        <w:rPr>
          <w:w w:val="110"/>
        </w:rPr>
        <w:t>cial </w:t>
      </w:r>
      <w:r>
        <w:rPr>
          <w:spacing w:val="-4"/>
          <w:w w:val="110"/>
        </w:rPr>
        <w:t>and </w:t>
      </w:r>
      <w:r>
        <w:rPr>
          <w:w w:val="110"/>
        </w:rPr>
        <w:t>deep</w:t>
      </w:r>
      <w:r>
        <w:rPr>
          <w:spacing w:val="-22"/>
          <w:w w:val="110"/>
        </w:rPr>
        <w:t> </w:t>
      </w:r>
      <w:r>
        <w:rPr>
          <w:w w:val="110"/>
        </w:rPr>
        <w:t>infections,</w:t>
      </w:r>
      <w:r>
        <w:rPr>
          <w:spacing w:val="-21"/>
          <w:w w:val="110"/>
        </w:rPr>
        <w:t> </w:t>
      </w:r>
      <w:r>
        <w:rPr>
          <w:w w:val="110"/>
        </w:rPr>
        <w:t>depending</w:t>
      </w:r>
      <w:r>
        <w:rPr>
          <w:spacing w:val="-23"/>
          <w:w w:val="110"/>
        </w:rPr>
        <w:t> </w:t>
      </w:r>
      <w:r>
        <w:rPr>
          <w:w w:val="110"/>
        </w:rPr>
        <w:t>on</w:t>
      </w:r>
      <w:r>
        <w:rPr>
          <w:spacing w:val="-21"/>
          <w:w w:val="110"/>
        </w:rPr>
        <w:t> </w:t>
      </w:r>
      <w:r>
        <w:rPr>
          <w:w w:val="110"/>
        </w:rPr>
        <w:t>the</w:t>
      </w:r>
      <w:r>
        <w:rPr>
          <w:spacing w:val="-22"/>
          <w:w w:val="110"/>
        </w:rPr>
        <w:t> </w:t>
      </w:r>
      <w:r>
        <w:rPr>
          <w:w w:val="110"/>
        </w:rPr>
        <w:t>affected</w:t>
      </w:r>
      <w:r>
        <w:rPr>
          <w:spacing w:val="-21"/>
          <w:w w:val="110"/>
        </w:rPr>
        <w:t> </w:t>
      </w:r>
      <w:r>
        <w:rPr>
          <w:w w:val="110"/>
        </w:rPr>
        <w:t>tissue</w:t>
      </w:r>
      <w:r>
        <w:rPr>
          <w:spacing w:val="-21"/>
          <w:w w:val="110"/>
        </w:rPr>
        <w:t> </w:t>
      </w:r>
      <w:r>
        <w:rPr>
          <w:w w:val="110"/>
        </w:rPr>
        <w:t>layers</w:t>
      </w:r>
      <w:r>
        <w:rPr>
          <w:spacing w:val="-23"/>
          <w:w w:val="110"/>
        </w:rPr>
        <w:t> </w:t>
      </w:r>
      <w:r>
        <w:rPr>
          <w:w w:val="110"/>
        </w:rPr>
        <w:t>[</w:t>
      </w:r>
      <w:hyperlink w:history="true" w:anchor="_bookmark18">
        <w:r>
          <w:rPr>
            <w:color w:val="007FAC"/>
            <w:w w:val="110"/>
          </w:rPr>
          <w:t>7</w:t>
        </w:r>
      </w:hyperlink>
      <w:r>
        <w:rPr>
          <w:w w:val="110"/>
        </w:rPr>
        <w:t>].</w:t>
      </w:r>
      <w:r>
        <w:rPr>
          <w:spacing w:val="-21"/>
          <w:w w:val="110"/>
        </w:rPr>
        <w:t> </w:t>
      </w:r>
      <w:r>
        <w:rPr>
          <w:w w:val="110"/>
        </w:rPr>
        <w:t>In</w:t>
      </w:r>
      <w:r>
        <w:rPr>
          <w:spacing w:val="-22"/>
          <w:w w:val="110"/>
        </w:rPr>
        <w:t> </w:t>
      </w:r>
      <w:r>
        <w:rPr>
          <w:w w:val="110"/>
        </w:rPr>
        <w:t>CDC guidelines, the reported cost of SSIs range from $10,443 (2005</w:t>
      </w:r>
      <w:r>
        <w:rPr>
          <w:spacing w:val="-10"/>
          <w:w w:val="110"/>
        </w:rPr>
        <w:t> </w:t>
      </w:r>
      <w:r>
        <w:rPr>
          <w:w w:val="110"/>
        </w:rPr>
        <w:t>US dollars [USD]) to $25,546 (2002 USD) per infection [</w:t>
      </w:r>
      <w:hyperlink w:history="true" w:anchor="_bookmark19">
        <w:r>
          <w:rPr>
            <w:color w:val="007FAC"/>
            <w:w w:val="110"/>
          </w:rPr>
          <w:t>8</w:t>
        </w:r>
      </w:hyperlink>
      <w:r>
        <w:rPr>
          <w:w w:val="110"/>
        </w:rPr>
        <w:t>]. Within arthroplasty procedures, another classi</w:t>
      </w:r>
      <w:r>
        <w:rPr>
          <w:rFonts w:ascii="Times New Roman" w:hAnsi="Times New Roman"/>
          <w:w w:val="110"/>
        </w:rPr>
        <w:t>ﬁ</w:t>
      </w:r>
      <w:r>
        <w:rPr>
          <w:w w:val="110"/>
        </w:rPr>
        <w:t>cation of infections in- cludes periprosthetic joint infections (PJIs), de</w:t>
      </w:r>
      <w:r>
        <w:rPr>
          <w:rFonts w:ascii="Times New Roman" w:hAnsi="Times New Roman"/>
          <w:w w:val="110"/>
        </w:rPr>
        <w:t>ﬁ</w:t>
      </w:r>
      <w:r>
        <w:rPr>
          <w:w w:val="110"/>
        </w:rPr>
        <w:t>ned as infections involving the joint prosthesis and adjacent tissue [</w:t>
      </w:r>
      <w:hyperlink w:history="true" w:anchor="_bookmark20">
        <w:r>
          <w:rPr>
            <w:color w:val="007FAC"/>
            <w:w w:val="110"/>
          </w:rPr>
          <w:t>9</w:t>
        </w:r>
      </w:hyperlink>
      <w:r>
        <w:rPr>
          <w:w w:val="110"/>
        </w:rPr>
        <w:t>]. Costs asso- ciated</w:t>
      </w:r>
      <w:r>
        <w:rPr>
          <w:spacing w:val="-13"/>
          <w:w w:val="110"/>
        </w:rPr>
        <w:t> </w:t>
      </w:r>
      <w:r>
        <w:rPr>
          <w:w w:val="110"/>
        </w:rPr>
        <w:t>with</w:t>
      </w:r>
      <w:r>
        <w:rPr>
          <w:spacing w:val="-11"/>
          <w:w w:val="110"/>
        </w:rPr>
        <w:t> </w:t>
      </w:r>
      <w:r>
        <w:rPr>
          <w:w w:val="110"/>
        </w:rPr>
        <w:t>a</w:t>
      </w:r>
      <w:r>
        <w:rPr>
          <w:spacing w:val="-12"/>
          <w:w w:val="110"/>
        </w:rPr>
        <w:t> </w:t>
      </w:r>
      <w:r>
        <w:rPr>
          <w:w w:val="110"/>
        </w:rPr>
        <w:t>prosthetic</w:t>
      </w:r>
      <w:r>
        <w:rPr>
          <w:spacing w:val="-12"/>
          <w:w w:val="110"/>
        </w:rPr>
        <w:t> </w:t>
      </w:r>
      <w:r>
        <w:rPr>
          <w:w w:val="110"/>
        </w:rPr>
        <w:t>joint</w:t>
      </w:r>
      <w:r>
        <w:rPr>
          <w:spacing w:val="-13"/>
          <w:w w:val="110"/>
        </w:rPr>
        <w:t> </w:t>
      </w:r>
      <w:r>
        <w:rPr>
          <w:w w:val="110"/>
        </w:rPr>
        <w:t>implant</w:t>
      </w:r>
      <w:r>
        <w:rPr>
          <w:spacing w:val="-12"/>
          <w:w w:val="110"/>
        </w:rPr>
        <w:t> </w:t>
      </w:r>
      <w:r>
        <w:rPr>
          <w:w w:val="110"/>
        </w:rPr>
        <w:t>infection</w:t>
      </w:r>
      <w:r>
        <w:rPr>
          <w:spacing w:val="-12"/>
          <w:w w:val="110"/>
        </w:rPr>
        <w:t> </w:t>
      </w:r>
      <w:r>
        <w:rPr>
          <w:w w:val="110"/>
        </w:rPr>
        <w:t>have</w:t>
      </w:r>
      <w:r>
        <w:rPr>
          <w:spacing w:val="-14"/>
          <w:w w:val="110"/>
        </w:rPr>
        <w:t> </w:t>
      </w:r>
      <w:r>
        <w:rPr>
          <w:w w:val="110"/>
        </w:rPr>
        <w:t>been</w:t>
      </w:r>
      <w:r>
        <w:rPr>
          <w:spacing w:val="-11"/>
          <w:w w:val="110"/>
        </w:rPr>
        <w:t> </w:t>
      </w:r>
      <w:r>
        <w:rPr>
          <w:spacing w:val="-3"/>
          <w:w w:val="110"/>
        </w:rPr>
        <w:t>reported </w:t>
      </w:r>
      <w:r>
        <w:rPr>
          <w:w w:val="110"/>
        </w:rPr>
        <w:t>to be substantially higher, exceeding $90,000 in some cases [</w:t>
      </w:r>
      <w:hyperlink w:history="true" w:anchor="_bookmark19">
        <w:r>
          <w:rPr>
            <w:color w:val="007FAC"/>
            <w:w w:val="110"/>
          </w:rPr>
          <w:t>8</w:t>
        </w:r>
      </w:hyperlink>
      <w:r>
        <w:rPr>
          <w:w w:val="110"/>
        </w:rPr>
        <w:t>]. Optimal</w:t>
      </w:r>
      <w:r>
        <w:rPr>
          <w:spacing w:val="-18"/>
          <w:w w:val="110"/>
        </w:rPr>
        <w:t> </w:t>
      </w:r>
      <w:r>
        <w:rPr>
          <w:w w:val="110"/>
        </w:rPr>
        <w:t>wound</w:t>
      </w:r>
      <w:r>
        <w:rPr>
          <w:spacing w:val="-17"/>
          <w:w w:val="110"/>
        </w:rPr>
        <w:t> </w:t>
      </w:r>
      <w:r>
        <w:rPr>
          <w:w w:val="110"/>
        </w:rPr>
        <w:t>closure</w:t>
      </w:r>
      <w:r>
        <w:rPr>
          <w:spacing w:val="-18"/>
          <w:w w:val="110"/>
        </w:rPr>
        <w:t> </w:t>
      </w:r>
      <w:r>
        <w:rPr>
          <w:w w:val="110"/>
        </w:rPr>
        <w:t>methods</w:t>
      </w:r>
      <w:r>
        <w:rPr>
          <w:spacing w:val="-19"/>
          <w:w w:val="110"/>
        </w:rPr>
        <w:t> </w:t>
      </w:r>
      <w:r>
        <w:rPr>
          <w:w w:val="110"/>
        </w:rPr>
        <w:t>can</w:t>
      </w:r>
      <w:r>
        <w:rPr>
          <w:spacing w:val="-18"/>
          <w:w w:val="110"/>
        </w:rPr>
        <w:t> </w:t>
      </w:r>
      <w:r>
        <w:rPr>
          <w:w w:val="110"/>
        </w:rPr>
        <w:t>help</w:t>
      </w:r>
      <w:r>
        <w:rPr>
          <w:spacing w:val="-18"/>
          <w:w w:val="110"/>
        </w:rPr>
        <w:t> </w:t>
      </w:r>
      <w:r>
        <w:rPr>
          <w:w w:val="110"/>
        </w:rPr>
        <w:t>to</w:t>
      </w:r>
      <w:r>
        <w:rPr>
          <w:spacing w:val="-18"/>
          <w:w w:val="110"/>
        </w:rPr>
        <w:t> </w:t>
      </w:r>
      <w:r>
        <w:rPr>
          <w:w w:val="110"/>
        </w:rPr>
        <w:t>reduce</w:t>
      </w:r>
      <w:r>
        <w:rPr>
          <w:spacing w:val="-18"/>
          <w:w w:val="110"/>
        </w:rPr>
        <w:t> </w:t>
      </w:r>
      <w:r>
        <w:rPr>
          <w:w w:val="110"/>
        </w:rPr>
        <w:t>postoperative adverse events</w:t>
      </w:r>
      <w:r>
        <w:rPr>
          <w:rFonts w:ascii="Lucida Sans" w:hAnsi="Lucida Sans"/>
          <w:w w:val="110"/>
        </w:rPr>
        <w:t>d</w:t>
      </w:r>
      <w:r>
        <w:rPr>
          <w:w w:val="110"/>
        </w:rPr>
        <w:t>including SSIs and PJIs</w:t>
      </w:r>
      <w:r>
        <w:rPr>
          <w:rFonts w:ascii="Lucida Sans" w:hAnsi="Lucida Sans"/>
          <w:w w:val="110"/>
        </w:rPr>
        <w:t>d</w:t>
      </w:r>
      <w:r>
        <w:rPr>
          <w:w w:val="110"/>
        </w:rPr>
        <w:t>thereby potentially lowering excess health-care resource use and costs</w:t>
      </w:r>
      <w:r>
        <w:rPr>
          <w:spacing w:val="11"/>
          <w:w w:val="110"/>
        </w:rPr>
        <w:t> </w:t>
      </w:r>
      <w:r>
        <w:rPr>
          <w:spacing w:val="-3"/>
          <w:w w:val="110"/>
        </w:rPr>
        <w:t>[</w:t>
      </w:r>
      <w:hyperlink w:history="true" w:anchor="_bookmark21">
        <w:r>
          <w:rPr>
            <w:color w:val="007FAC"/>
            <w:spacing w:val="-3"/>
            <w:w w:val="110"/>
          </w:rPr>
          <w:t>10</w:t>
        </w:r>
      </w:hyperlink>
      <w:r>
        <w:rPr>
          <w:spacing w:val="-3"/>
          <w:w w:val="110"/>
        </w:rPr>
        <w:t>].</w:t>
      </w:r>
    </w:p>
    <w:p>
      <w:pPr>
        <w:pStyle w:val="BodyText"/>
        <w:spacing w:line="252" w:lineRule="auto" w:before="4"/>
        <w:ind w:left="116" w:right="38" w:firstLine="239"/>
        <w:jc w:val="both"/>
      </w:pPr>
      <w:r>
        <w:rPr>
          <w:w w:val="105"/>
        </w:rPr>
        <w:t>Substantial variability in wound closure methods characterizes hip and knee arthroplasty literature, clearly demonstrating the </w:t>
      </w:r>
      <w:r>
        <w:rPr>
          <w:spacing w:val="-3"/>
          <w:w w:val="105"/>
        </w:rPr>
        <w:t>lack </w:t>
      </w:r>
      <w:r>
        <w:rPr>
          <w:w w:val="105"/>
        </w:rPr>
        <w:t>of universal recommendations for optimal wound closure.</w:t>
      </w:r>
      <w:r>
        <w:rPr>
          <w:spacing w:val="-22"/>
          <w:w w:val="105"/>
        </w:rPr>
        <w:t> </w:t>
      </w:r>
      <w:r>
        <w:rPr>
          <w:w w:val="105"/>
        </w:rPr>
        <w:t>Previous literature reported on adverse events associated with different wound closure techniques in hip and knee arthroplasty; however, these studies have several limitations. First, they focus </w:t>
      </w:r>
      <w:r>
        <w:rPr>
          <w:spacing w:val="-6"/>
          <w:w w:val="105"/>
        </w:rPr>
        <w:t>on </w:t>
      </w:r>
      <w:r>
        <w:rPr>
          <w:w w:val="105"/>
        </w:rPr>
        <w:t>comparing one or 2 methods of wound closure, rather than the range of methods available </w:t>
      </w:r>
      <w:r>
        <w:rPr>
          <w:spacing w:val="-7"/>
          <w:w w:val="105"/>
        </w:rPr>
        <w:t>[</w:t>
      </w:r>
      <w:hyperlink w:history="true" w:anchor="_bookmark22">
        <w:r>
          <w:rPr>
            <w:color w:val="007FAC"/>
            <w:spacing w:val="-7"/>
            <w:w w:val="105"/>
          </w:rPr>
          <w:t>11</w:t>
        </w:r>
      </w:hyperlink>
      <w:r>
        <w:rPr>
          <w:spacing w:val="-7"/>
          <w:w w:val="105"/>
        </w:rPr>
        <w:t>,</w:t>
      </w:r>
      <w:hyperlink w:history="true" w:anchor="_bookmark23">
        <w:r>
          <w:rPr>
            <w:color w:val="007FAC"/>
            <w:spacing w:val="-7"/>
            <w:w w:val="105"/>
          </w:rPr>
          <w:t>12</w:t>
        </w:r>
      </w:hyperlink>
      <w:r>
        <w:rPr>
          <w:spacing w:val="-7"/>
          <w:w w:val="105"/>
        </w:rPr>
        <w:t>]. </w:t>
      </w:r>
      <w:r>
        <w:rPr>
          <w:w w:val="105"/>
        </w:rPr>
        <w:t>Second, they do not provide consensus on the methods for use in both knee and hip arthro- plasties </w:t>
      </w:r>
      <w:r>
        <w:rPr>
          <w:spacing w:val="-4"/>
          <w:w w:val="105"/>
        </w:rPr>
        <w:t>[</w:t>
      </w:r>
      <w:hyperlink w:history="true" w:anchor="_bookmark13">
        <w:r>
          <w:rPr>
            <w:color w:val="007FAC"/>
            <w:spacing w:val="-4"/>
            <w:w w:val="105"/>
          </w:rPr>
          <w:t>2</w:t>
        </w:r>
      </w:hyperlink>
      <w:r>
        <w:rPr>
          <w:spacing w:val="-4"/>
          <w:w w:val="105"/>
        </w:rPr>
        <w:t>,</w:t>
      </w:r>
      <w:hyperlink w:history="true" w:anchor="_bookmark21">
        <w:r>
          <w:rPr>
            <w:color w:val="007FAC"/>
            <w:spacing w:val="-4"/>
            <w:w w:val="105"/>
          </w:rPr>
          <w:t>10</w:t>
        </w:r>
      </w:hyperlink>
      <w:r>
        <w:rPr>
          <w:spacing w:val="-4"/>
          <w:w w:val="105"/>
        </w:rPr>
        <w:t>]. </w:t>
      </w:r>
      <w:r>
        <w:rPr>
          <w:w w:val="105"/>
        </w:rPr>
        <w:t>Third, they focus on adverse events associated with one tissue </w:t>
      </w:r>
      <w:r>
        <w:rPr>
          <w:spacing w:val="-3"/>
          <w:w w:val="105"/>
        </w:rPr>
        <w:t>layer, </w:t>
      </w:r>
      <w:r>
        <w:rPr>
          <w:w w:val="105"/>
        </w:rPr>
        <w:t>missing the full picture of multilayer closure </w:t>
      </w:r>
      <w:r>
        <w:rPr>
          <w:spacing w:val="-3"/>
          <w:w w:val="105"/>
        </w:rPr>
        <w:t>[</w:t>
      </w:r>
      <w:hyperlink w:history="true" w:anchor="_bookmark21">
        <w:r>
          <w:rPr>
            <w:color w:val="007FAC"/>
            <w:spacing w:val="-3"/>
            <w:w w:val="105"/>
          </w:rPr>
          <w:t>10</w:t>
        </w:r>
      </w:hyperlink>
      <w:r>
        <w:rPr>
          <w:spacing w:val="-3"/>
          <w:w w:val="105"/>
        </w:rPr>
        <w:t>]. </w:t>
      </w:r>
      <w:r>
        <w:rPr>
          <w:w w:val="105"/>
        </w:rPr>
        <w:t>The objective of this study was to conduct a qualitative systematic review</w:t>
      </w:r>
      <w:r>
        <w:rPr>
          <w:spacing w:val="9"/>
          <w:w w:val="105"/>
        </w:rPr>
        <w:t> </w:t>
      </w:r>
      <w:r>
        <w:rPr>
          <w:w w:val="105"/>
        </w:rPr>
        <w:t>of</w:t>
      </w:r>
      <w:r>
        <w:rPr>
          <w:spacing w:val="15"/>
          <w:w w:val="105"/>
        </w:rPr>
        <w:t> </w:t>
      </w:r>
      <w:r>
        <w:rPr>
          <w:w w:val="105"/>
        </w:rPr>
        <w:t>wound</w:t>
      </w:r>
      <w:r>
        <w:rPr>
          <w:spacing w:val="14"/>
          <w:w w:val="105"/>
        </w:rPr>
        <w:t> </w:t>
      </w:r>
      <w:r>
        <w:rPr>
          <w:w w:val="105"/>
        </w:rPr>
        <w:t>closure</w:t>
      </w:r>
      <w:r>
        <w:rPr>
          <w:spacing w:val="13"/>
          <w:w w:val="105"/>
        </w:rPr>
        <w:t> </w:t>
      </w:r>
      <w:r>
        <w:rPr>
          <w:w w:val="105"/>
        </w:rPr>
        <w:t>for</w:t>
      </w:r>
      <w:r>
        <w:rPr>
          <w:spacing w:val="12"/>
          <w:w w:val="105"/>
        </w:rPr>
        <w:t> </w:t>
      </w:r>
      <w:r>
        <w:rPr>
          <w:w w:val="105"/>
        </w:rPr>
        <w:t>hip</w:t>
      </w:r>
      <w:r>
        <w:rPr>
          <w:spacing w:val="14"/>
          <w:w w:val="105"/>
        </w:rPr>
        <w:t> </w:t>
      </w:r>
      <w:r>
        <w:rPr>
          <w:w w:val="105"/>
        </w:rPr>
        <w:t>and</w:t>
      </w:r>
      <w:r>
        <w:rPr>
          <w:spacing w:val="13"/>
          <w:w w:val="105"/>
        </w:rPr>
        <w:t> </w:t>
      </w:r>
      <w:r>
        <w:rPr>
          <w:w w:val="105"/>
        </w:rPr>
        <w:t>knee</w:t>
      </w:r>
      <w:r>
        <w:rPr>
          <w:spacing w:val="14"/>
          <w:w w:val="105"/>
        </w:rPr>
        <w:t> </w:t>
      </w:r>
      <w:r>
        <w:rPr>
          <w:w w:val="105"/>
        </w:rPr>
        <w:t>arthroplasties</w:t>
      </w:r>
      <w:r>
        <w:rPr>
          <w:spacing w:val="14"/>
          <w:w w:val="105"/>
        </w:rPr>
        <w:t> </w:t>
      </w:r>
      <w:r>
        <w:rPr>
          <w:w w:val="105"/>
        </w:rPr>
        <w:t>that</w:t>
      </w:r>
    </w:p>
    <w:p>
      <w:pPr>
        <w:pStyle w:val="BodyText"/>
        <w:spacing w:line="252" w:lineRule="auto" w:before="106"/>
        <w:ind w:left="116" w:right="304"/>
        <w:jc w:val="both"/>
      </w:pPr>
      <w:r>
        <w:rPr/>
        <w:br w:type="column"/>
      </w:r>
      <w:r>
        <w:rPr>
          <w:w w:val="105"/>
        </w:rPr>
        <w:t>characterize the various types of wound closure methods and dressings used in practice, which wound closure methods are used within different tissue layers, and reported rates of adverse events related to wound closure (ie, SSI, deep infection or PJI, prolonged wound drainage, and dehiscence).</w:t>
      </w:r>
    </w:p>
    <w:p>
      <w:pPr>
        <w:pStyle w:val="BodyText"/>
        <w:spacing w:before="4"/>
        <w:rPr>
          <w:sz w:val="26"/>
        </w:rPr>
      </w:pPr>
    </w:p>
    <w:p>
      <w:pPr>
        <w:pStyle w:val="BodyText"/>
        <w:ind w:left="116"/>
        <w:jc w:val="both"/>
      </w:pPr>
      <w:r>
        <w:rPr>
          <w:w w:val="110"/>
        </w:rPr>
        <w:t>Material and methods</w:t>
      </w:r>
    </w:p>
    <w:p>
      <w:pPr>
        <w:pStyle w:val="BodyText"/>
        <w:spacing w:before="8"/>
        <w:rPr>
          <w:sz w:val="17"/>
        </w:rPr>
      </w:pPr>
    </w:p>
    <w:p>
      <w:pPr>
        <w:pStyle w:val="BodyText"/>
        <w:spacing w:line="252" w:lineRule="auto"/>
        <w:ind w:left="116" w:right="305" w:firstLine="238"/>
        <w:jc w:val="both"/>
      </w:pPr>
      <w:r>
        <w:rPr/>
        <w:pict>
          <v:group style="position:absolute;margin-left:107.046997pt;margin-top:197.779694pt;width:23.25pt;height:86.8pt;mso-position-horizontal-relative:page;mso-position-vertical-relative:paragraph;z-index:251679744" coordorigin="2141,3956" coordsize="465,1736">
            <v:shape style="position:absolute;left:2140;top:3955;width:465;height:1735" coordorigin="2141,3956" coordsize="465,1735" path="m2524,3956l2222,3956,2191,3962,2165,3979,2147,4005,2141,4037,2141,5609,2147,5640,2165,5666,2191,5684,2222,5690,2222,5678,2195,5673,2173,5658,2158,5636,2153,5609,2153,4037,2154,4023,2158,4010,2165,3998,2173,3988,2184,3979,2195,3973,2208,3969,2222,3968,2564,3968,2555,3962,2524,3956xm2564,3968l2524,3968,2538,3969,2551,3973,2563,3979,2573,3988,2581,3998,2588,4010,2592,4023,2593,4037,2593,5609,2588,5636,2573,5658,2551,5673,2524,5678,2222,5678,2222,5690,2524,5690,2555,5684,2581,5666,2599,5640,2605,5609,2605,4037,2599,4005,2581,3979,2564,3968xe" filled="true" fillcolor="#231f20" stroked="false">
              <v:path arrowok="t"/>
              <v:fill type="solid"/>
            </v:shape>
            <v:shape style="position:absolute;left:2262;top:4018;width:231;height:1673" type="#_x0000_t75" stroked="false">
              <v:imagedata r:id="rId16" o:title=""/>
            </v:shape>
            <w10:wrap type="none"/>
          </v:group>
        </w:pict>
      </w:r>
      <w:r>
        <w:rPr/>
        <w:pict>
          <v:shape style="position:absolute;margin-left:112.477821pt;margin-top:214.213531pt;width:11.85pt;height:56.7pt;mso-position-horizontal-relative:page;mso-position-vertical-relative:paragraph;z-index:251685888" type="#_x0000_t202" filled="false" stroked="false">
            <v:textbox inset="0,0,0,0" style="layout-flow:vertical;mso-layout-flow-alt:bottom-to-top">
              <w:txbxContent>
                <w:p>
                  <w:pPr>
                    <w:spacing w:before="20"/>
                    <w:ind w:left="20" w:right="0" w:firstLine="0"/>
                    <w:jc w:val="left"/>
                    <w:rPr>
                      <w:rFonts w:ascii="Arial"/>
                      <w:b/>
                      <w:sz w:val="17"/>
                    </w:rPr>
                  </w:pPr>
                  <w:r>
                    <w:rPr>
                      <w:rFonts w:ascii="Arial"/>
                      <w:b/>
                      <w:color w:val="231F20"/>
                      <w:sz w:val="17"/>
                    </w:rPr>
                    <w:t>Identification</w:t>
                  </w:r>
                </w:p>
              </w:txbxContent>
            </v:textbox>
            <w10:wrap type="none"/>
          </v:shape>
        </w:pict>
      </w:r>
      <w:r>
        <w:rPr>
          <w:w w:val="105"/>
        </w:rPr>
        <w:t>A</w:t>
      </w:r>
      <w:r>
        <w:rPr>
          <w:spacing w:val="-13"/>
          <w:w w:val="105"/>
        </w:rPr>
        <w:t> </w:t>
      </w:r>
      <w:r>
        <w:rPr>
          <w:w w:val="105"/>
        </w:rPr>
        <w:t>systematic</w:t>
      </w:r>
      <w:r>
        <w:rPr>
          <w:spacing w:val="-12"/>
          <w:w w:val="105"/>
        </w:rPr>
        <w:t> </w:t>
      </w:r>
      <w:r>
        <w:rPr>
          <w:w w:val="105"/>
        </w:rPr>
        <w:t>search</w:t>
      </w:r>
      <w:r>
        <w:rPr>
          <w:spacing w:val="-13"/>
          <w:w w:val="105"/>
        </w:rPr>
        <w:t> </w:t>
      </w:r>
      <w:r>
        <w:rPr>
          <w:w w:val="105"/>
        </w:rPr>
        <w:t>was</w:t>
      </w:r>
      <w:r>
        <w:rPr>
          <w:spacing w:val="-12"/>
          <w:w w:val="105"/>
        </w:rPr>
        <w:t> </w:t>
      </w:r>
      <w:r>
        <w:rPr>
          <w:w w:val="105"/>
        </w:rPr>
        <w:t>performed</w:t>
      </w:r>
      <w:r>
        <w:rPr>
          <w:spacing w:val="-12"/>
          <w:w w:val="105"/>
        </w:rPr>
        <w:t> </w:t>
      </w:r>
      <w:r>
        <w:rPr>
          <w:w w:val="105"/>
        </w:rPr>
        <w:t>in</w:t>
      </w:r>
      <w:r>
        <w:rPr>
          <w:spacing w:val="-13"/>
          <w:w w:val="105"/>
        </w:rPr>
        <w:t> </w:t>
      </w:r>
      <w:r>
        <w:rPr>
          <w:w w:val="105"/>
        </w:rPr>
        <w:t>MEDLINE</w:t>
      </w:r>
      <w:r>
        <w:rPr>
          <w:spacing w:val="-13"/>
          <w:w w:val="105"/>
        </w:rPr>
        <w:t> </w:t>
      </w:r>
      <w:r>
        <w:rPr>
          <w:w w:val="105"/>
        </w:rPr>
        <w:t>via</w:t>
      </w:r>
      <w:r>
        <w:rPr>
          <w:spacing w:val="-12"/>
          <w:w w:val="105"/>
        </w:rPr>
        <w:t> </w:t>
      </w:r>
      <w:r>
        <w:rPr>
          <w:w w:val="105"/>
        </w:rPr>
        <w:t>the</w:t>
      </w:r>
      <w:r>
        <w:rPr>
          <w:spacing w:val="-14"/>
          <w:w w:val="105"/>
        </w:rPr>
        <w:t> </w:t>
      </w:r>
      <w:r>
        <w:rPr>
          <w:w w:val="105"/>
        </w:rPr>
        <w:t>PubMed interface, EMBASE, and the Cochrane Library for the period of January </w:t>
      </w:r>
      <w:r>
        <w:rPr>
          <w:spacing w:val="-7"/>
          <w:w w:val="105"/>
        </w:rPr>
        <w:t>1, </w:t>
      </w:r>
      <w:r>
        <w:rPr>
          <w:w w:val="105"/>
        </w:rPr>
        <w:t>2000, through August 28, 2020. An example search strategy for MEDLINE can be found in </w:t>
      </w:r>
      <w:hyperlink w:history="true" w:anchor="_bookmark74">
        <w:r>
          <w:rPr>
            <w:color w:val="007FAC"/>
            <w:w w:val="105"/>
          </w:rPr>
          <w:t>Appendix A</w:t>
        </w:r>
      </w:hyperlink>
      <w:r>
        <w:rPr>
          <w:w w:val="105"/>
        </w:rPr>
        <w:t>. The search strategy was adapted to account for differences in database struc- tures. </w:t>
      </w:r>
      <w:r>
        <w:rPr>
          <w:spacing w:val="-5"/>
          <w:w w:val="105"/>
        </w:rPr>
        <w:t>To </w:t>
      </w:r>
      <w:r>
        <w:rPr>
          <w:w w:val="105"/>
        </w:rPr>
        <w:t>supplement electronic searches, a manual search </w:t>
      </w:r>
      <w:r>
        <w:rPr>
          <w:spacing w:val="-6"/>
          <w:w w:val="105"/>
        </w:rPr>
        <w:t>was </w:t>
      </w:r>
      <w:r>
        <w:rPr>
          <w:w w:val="105"/>
        </w:rPr>
        <w:t>performed of the reference lists of all included studies as well as recent relevant reviews and meta-analyses. Separate </w:t>
      </w:r>
      <w:r>
        <w:rPr>
          <w:spacing w:val="-2"/>
          <w:w w:val="105"/>
        </w:rPr>
        <w:t>publications </w:t>
      </w:r>
      <w:r>
        <w:rPr>
          <w:w w:val="105"/>
        </w:rPr>
        <w:t>reporting outcomes for the same or overlapping patient pop- ulations (linked or kin studies) were grouped together to avoid double-counting. One reviewer evaluated each title and abstract identi</w:t>
      </w:r>
      <w:r>
        <w:rPr>
          <w:rFonts w:ascii="Times New Roman" w:hAnsi="Times New Roman"/>
          <w:w w:val="105"/>
        </w:rPr>
        <w:t>ﬁ</w:t>
      </w:r>
      <w:r>
        <w:rPr>
          <w:w w:val="105"/>
        </w:rPr>
        <w:t>ed, and determined the eligibility based on the inclusion criteria, and documented rationale for exclusion. Abstracts that were included after title and abstract screening were assessed in full text by one reviewer, with excluded articles con</w:t>
      </w:r>
      <w:r>
        <w:rPr>
          <w:rFonts w:ascii="Times New Roman" w:hAnsi="Times New Roman"/>
          <w:w w:val="105"/>
        </w:rPr>
        <w:t>ﬁ</w:t>
      </w:r>
      <w:r>
        <w:rPr>
          <w:w w:val="105"/>
        </w:rPr>
        <w:t>rmed by a second reviewer and resolution of discrepancies resolved by study</w:t>
      </w:r>
      <w:bookmarkStart w:name="_bookmark3" w:id="7"/>
      <w:bookmarkEnd w:id="7"/>
      <w:r>
        <w:rPr>
          <w:w w:val="105"/>
        </w:rPr>
      </w:r>
      <w:r>
        <w:rPr>
          <w:w w:val="105"/>
        </w:rPr>
        <w:t> author consensus. Reasons for exclusion were documented (</w:t>
      </w:r>
      <w:hyperlink w:history="true" w:anchor="_bookmark3">
        <w:r>
          <w:rPr>
            <w:color w:val="007FAC"/>
            <w:w w:val="105"/>
          </w:rPr>
          <w:t>Fig.</w:t>
        </w:r>
        <w:r>
          <w:rPr>
            <w:color w:val="007FAC"/>
            <w:spacing w:val="37"/>
            <w:w w:val="105"/>
          </w:rPr>
          <w:t> </w:t>
        </w:r>
        <w:r>
          <w:rPr>
            <w:color w:val="007FAC"/>
            <w:w w:val="105"/>
          </w:rPr>
          <w:t>1</w:t>
        </w:r>
      </w:hyperlink>
      <w:r>
        <w:rPr>
          <w:w w:val="105"/>
        </w:rPr>
        <w:t>).</w:t>
      </w:r>
    </w:p>
    <w:p>
      <w:pPr>
        <w:spacing w:after="0" w:line="252" w:lineRule="auto"/>
        <w:jc w:val="both"/>
        <w:sectPr>
          <w:type w:val="continuous"/>
          <w:pgSz w:w="11910" w:h="15880"/>
          <w:pgMar w:top="840" w:bottom="360" w:left="540" w:right="540"/>
          <w:cols w:num="2" w:equalWidth="0">
            <w:col w:w="5180" w:space="200"/>
            <w:col w:w="5450"/>
          </w:cols>
        </w:sectPr>
      </w:pPr>
    </w:p>
    <w:p>
      <w:pPr>
        <w:pStyle w:val="BodyText"/>
        <w:rPr>
          <w:sz w:val="20"/>
        </w:rPr>
      </w:pPr>
      <w:r>
        <w:rPr/>
        <w:pict>
          <v:group style="position:absolute;margin-left:107.046997pt;margin-top:446.065979pt;width:23.25pt;height:86.95pt;mso-position-horizontal-relative:page;mso-position-vertical-relative:page;z-index:251678720" coordorigin="2141,8921" coordsize="465,1739">
            <v:shape style="position:absolute;left:2140;top:8921;width:465;height:1735" coordorigin="2141,8921" coordsize="465,1735" path="m2524,8921l2222,8921,2191,8928,2165,8945,2147,8971,2141,9003,2141,10574,2147,10606,2165,10632,2191,10649,2222,10656,2222,10644,2195,10638,2173,10624,2158,10601,2153,10574,2153,9003,2158,8976,2173,8954,2195,8939,2222,8933,2564,8933,2555,8928,2524,8921xm2564,8933l2524,8933,2551,8939,2573,8954,2588,8976,2593,9003,2593,10574,2588,10601,2573,10624,2551,10638,2524,10644,2222,10644,2222,10656,2524,10656,2555,10649,2581,10632,2599,10606,2605,10574,2605,9003,2599,8971,2581,8945,2564,8933xe" filled="true" fillcolor="#231f20" stroked="false">
              <v:path arrowok="t"/>
              <v:fill type="solid"/>
            </v:shape>
            <v:shape style="position:absolute;left:2260;top:8984;width:231;height:1676" type="#_x0000_t75" stroked="false">
              <v:imagedata r:id="rId17" o:title=""/>
            </v:shape>
            <w10:wrap type="none"/>
          </v:group>
        </w:pict>
      </w:r>
      <w:r>
        <w:rPr/>
        <w:pict>
          <v:group style="position:absolute;margin-left:107.046997pt;margin-top:538.450012pt;width:23.25pt;height:86.95pt;mso-position-horizontal-relative:page;mso-position-vertical-relative:page;z-index:251681792" coordorigin="2141,10769" coordsize="465,1739">
            <v:shape style="position:absolute;left:2140;top:10769;width:465;height:1735" coordorigin="2141,10769" coordsize="465,1735" path="m2524,10769l2222,10769,2191,10775,2165,10793,2147,10819,2141,10850,2141,12422,2147,12454,2165,12480,2191,12497,2222,12504,2222,12492,2195,12486,2173,12471,2158,12449,2153,12422,2153,10850,2158,10823,2173,10801,2195,10786,2222,10781,2564,10781,2555,10775,2524,10769xm2564,10781l2524,10781,2551,10786,2573,10801,2588,10823,2593,10850,2593,12422,2588,12449,2573,12471,2551,12486,2524,12492,2222,12492,2222,12504,2524,12504,2555,12497,2581,12480,2599,12454,2605,12422,2605,10850,2599,10819,2581,10793,2564,10781xe" filled="true" fillcolor="#231f20" stroked="false">
              <v:path arrowok="t"/>
              <v:fill type="solid"/>
            </v:shape>
            <v:shape style="position:absolute;left:2260;top:10831;width:231;height:1676" type="#_x0000_t75" stroked="false">
              <v:imagedata r:id="rId18" o:title=""/>
            </v:shape>
            <w10:wrap type="none"/>
          </v:group>
        </w:pict>
      </w:r>
      <w:r>
        <w:rPr/>
        <w:pict>
          <v:shape style="position:absolute;margin-left:112.382118pt;margin-top:562.710083pt;width:11.85pt;height:41.1pt;mso-position-horizontal-relative:page;mso-position-vertical-relative:page;z-index:251683840" type="#_x0000_t202" filled="false" stroked="false">
            <v:textbox inset="0,0,0,0" style="layout-flow:vertical;mso-layout-flow-alt:bottom-to-top">
              <w:txbxContent>
                <w:p>
                  <w:pPr>
                    <w:spacing w:before="20"/>
                    <w:ind w:left="20" w:right="0" w:firstLine="0"/>
                    <w:jc w:val="left"/>
                    <w:rPr>
                      <w:rFonts w:ascii="Arial"/>
                      <w:b/>
                      <w:sz w:val="17"/>
                    </w:rPr>
                  </w:pPr>
                  <w:r>
                    <w:rPr>
                      <w:rFonts w:ascii="Arial"/>
                      <w:b/>
                      <w:color w:val="231F20"/>
                      <w:w w:val="105"/>
                      <w:sz w:val="17"/>
                    </w:rPr>
                    <w:t>Eligibility</w:t>
                  </w:r>
                </w:p>
              </w:txbxContent>
            </v:textbox>
            <w10:wrap type="none"/>
          </v:shape>
        </w:pict>
      </w:r>
      <w:r>
        <w:rPr/>
        <w:pict>
          <v:shape style="position:absolute;margin-left:112.382118pt;margin-top:468.606262pt;width:11.85pt;height:44.55pt;mso-position-horizontal-relative:page;mso-position-vertical-relative:page;z-index:251684864" type="#_x0000_t202" filled="false" stroked="false">
            <v:textbox inset="0,0,0,0" style="layout-flow:vertical;mso-layout-flow-alt:bottom-to-top">
              <w:txbxContent>
                <w:p>
                  <w:pPr>
                    <w:spacing w:before="20"/>
                    <w:ind w:left="20" w:right="0" w:firstLine="0"/>
                    <w:jc w:val="left"/>
                    <w:rPr>
                      <w:rFonts w:ascii="Arial"/>
                      <w:b/>
                      <w:sz w:val="17"/>
                    </w:rPr>
                  </w:pPr>
                  <w:r>
                    <w:rPr>
                      <w:rFonts w:ascii="Arial"/>
                      <w:b/>
                      <w:color w:val="231F20"/>
                      <w:sz w:val="17"/>
                    </w:rPr>
                    <w:t>Screening</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8"/>
        </w:rPr>
      </w:pPr>
    </w:p>
    <w:p>
      <w:pPr>
        <w:spacing w:line="276" w:lineRule="auto" w:before="112"/>
        <w:ind w:left="116" w:right="249" w:firstLine="0"/>
        <w:jc w:val="left"/>
        <w:rPr>
          <w:sz w:val="12"/>
        </w:rPr>
      </w:pPr>
      <w:r>
        <w:rPr/>
        <w:pict>
          <v:group style="position:absolute;margin-left:145.372498pt;margin-top:-355.234314pt;width:333.85pt;height:338.85pt;mso-position-horizontal-relative:page;mso-position-vertical-relative:paragraph;z-index:251677696" coordorigin="2907,-7105" coordsize="6677,6777">
            <v:shape style="position:absolute;left:5158;top:-6075;width:1551;height:4607" coordorigin="5159,-6075" coordsize="1551,4607" path="m5254,-2976l5213,-2976,5213,-3454,5201,-3454,5201,-2976,5159,-2976,5206,-2880,5246,-2960,5254,-2976m5256,-1564l5214,-1564,5214,-1899,5202,-1899,5202,-1564,5160,-1564,5208,-1468,5248,-1548,5256,-1564m6200,-5440l6158,-5440,6158,-6075,6146,-6075,6146,-5440,6104,-5440,6152,-5344,6192,-5424,6200,-5440m6709,-2222l6697,-2228,6613,-2270,6613,-2228,6003,-2228,6003,-2216,6613,-2216,6613,-2174,6697,-2216,6709,-2222e" filled="true" fillcolor="#231f20" stroked="false">
              <v:path arrowok="t"/>
              <v:fill type="solid"/>
            </v:shape>
            <v:rect style="position:absolute;left:5425;top:-7099;width:2178;height:1025" filled="true" fillcolor="#f1f1f2" stroked="false">
              <v:fill type="solid"/>
            </v:rect>
            <v:shape style="position:absolute;left:5431;top:-6863;width:2177;height:677" type="#_x0000_t75" stroked="false">
              <v:imagedata r:id="rId19" o:title=""/>
            </v:shape>
            <v:shape style="position:absolute;left:4419;top:-6075;width:96;height:731" coordorigin="4420,-6075" coordsize="96,731" path="m4461,-5440l4420,-5440,4467,-5344,4507,-5424,4461,-5424,4461,-5440xm4473,-6075l4461,-6075,4461,-5424,4473,-5424,4473,-6075xm4515,-5440l4473,-5440,4473,-5424,4507,-5424,4515,-5440xe" filled="true" fillcolor="#231f20" stroked="false">
              <v:path arrowok="t"/>
              <v:fill type="solid"/>
            </v:shape>
            <v:rect style="position:absolute;left:2913;top:-7092;width:2178;height:1017" filled="true" fillcolor="#f1f1f2" stroked="false">
              <v:fill type="solid"/>
            </v:rect>
            <v:shape style="position:absolute;left:2918;top:-6857;width:2177;height:668" type="#_x0000_t75" stroked="false">
              <v:imagedata r:id="rId20" o:title=""/>
            </v:shape>
            <v:shape style="position:absolute;left:5158;top:-4735;width:96;height:679" coordorigin="5159,-4734" coordsize="96,679" path="m5201,-4152l5159,-4152,5206,-4056,5246,-4136,5201,-4136,5201,-4152xm5213,-4734l5201,-4734,5201,-4136,5213,-4136,5213,-4734xm5254,-4152l5213,-4152,5213,-4136,5246,-4136,5254,-4152xe" filled="true" fillcolor="#231f20" stroked="false">
              <v:path arrowok="t"/>
              <v:fill type="solid"/>
            </v:shape>
            <v:rect style="position:absolute;left:3909;top:-5345;width:2708;height:718" filled="true" fillcolor="#f1f1f2" stroked="false">
              <v:fill type="solid"/>
            </v:rect>
            <v:shape style="position:absolute;left:3915;top:-5167;width:2701;height:427" type="#_x0000_t75" stroked="false">
              <v:imagedata r:id="rId21" o:title=""/>
            </v:shape>
            <v:shape style="position:absolute;left:6002;top:-3693;width:724;height:96" coordorigin="6003,-3693" coordsize="724,96" path="m6715,-3651l6646,-3651,6646,-3639,6630,-3639,6631,-3597,6726,-3645,6715,-3651xm6630,-3651l6003,-3646,6003,-3634,6630,-3639,6630,-3651xm6646,-3651l6630,-3651,6630,-3639,6646,-3639,6646,-3651xm6630,-3693l6630,-3651,6715,-3651,6630,-3693xe" filled="true" fillcolor="#231f20" stroked="false">
              <v:path arrowok="t"/>
              <v:fill type="solid"/>
            </v:shape>
            <v:rect style="position:absolute;left:4448;top:-4053;width:1632;height:718" filled="true" fillcolor="#f1f1f2" stroked="false">
              <v:fill type="solid"/>
            </v:rect>
            <v:shape style="position:absolute;left:4453;top:-3875;width:1627;height:427" type="#_x0000_t75" stroked="false">
              <v:imagedata r:id="rId22" o:title=""/>
            </v:shape>
            <v:rect style="position:absolute;left:6745;top:-4367;width:2802;height:1347" filled="true" fillcolor="#f1f1f2" stroked="false">
              <v:fill type="solid"/>
            </v:rect>
            <v:shape style="position:absolute;left:6752;top:-4189;width:2796;height:1054" type="#_x0000_t75" stroked="false">
              <v:imagedata r:id="rId23" o:title=""/>
            </v:shape>
            <v:rect style="position:absolute;left:4420;top:-2880;width:1675;height:1017" filled="true" fillcolor="#f1f1f2" stroked="false">
              <v:fill type="solid"/>
            </v:rect>
            <v:shape style="position:absolute;left:4426;top:-2644;width:1670;height:668" type="#_x0000_t75" stroked="false">
              <v:imagedata r:id="rId24" o:title=""/>
            </v:shape>
            <v:rect style="position:absolute;left:6709;top:-2880;width:2869;height:2546" filled="true" fillcolor="#f1f1f2" stroked="false">
              <v:fill type="solid"/>
            </v:rect>
            <v:shape style="position:absolute;left:6715;top:-2759;width:2862;height:2309" type="#_x0000_t75" stroked="false">
              <v:imagedata r:id="rId25" o:title=""/>
            </v:shape>
            <v:rect style="position:absolute;left:4420;top:-1469;width:1675;height:1134" filled="true" fillcolor="#f1f1f2" stroked="false">
              <v:fill type="solid"/>
            </v:rect>
            <v:shape style="position:absolute;left:4426;top:-1234;width:1670;height:786" type="#_x0000_t75" stroked="false">
              <v:imagedata r:id="rId26" o:title=""/>
            </v:shape>
            <v:shape style="position:absolute;left:4420;top:-1469;width:1675;height:1134" type="#_x0000_t202" filled="false" stroked="true" strokeweight=".598pt" strokecolor="#231f20">
              <v:textbox inset="0,0,0,0">
                <w:txbxContent>
                  <w:p>
                    <w:pPr>
                      <w:spacing w:line="240" w:lineRule="auto" w:before="0"/>
                      <w:rPr>
                        <w:sz w:val="16"/>
                      </w:rPr>
                    </w:pPr>
                  </w:p>
                  <w:p>
                    <w:pPr>
                      <w:spacing w:line="283" w:lineRule="auto" w:before="114"/>
                      <w:ind w:left="188" w:right="189" w:firstLine="2"/>
                      <w:jc w:val="center"/>
                      <w:rPr>
                        <w:rFonts w:ascii="Arial"/>
                        <w:sz w:val="14"/>
                      </w:rPr>
                    </w:pPr>
                    <w:r>
                      <w:rPr>
                        <w:rFonts w:ascii="Arial"/>
                        <w:color w:val="231F20"/>
                        <w:w w:val="105"/>
                        <w:sz w:val="14"/>
                      </w:rPr>
                      <w:t>Studies included in </w:t>
                    </w:r>
                    <w:r>
                      <w:rPr>
                        <w:rFonts w:ascii="Arial"/>
                        <w:color w:val="231F20"/>
                        <w:sz w:val="14"/>
                      </w:rPr>
                      <w:t>qualitative synthesis </w:t>
                    </w:r>
                    <w:r>
                      <w:rPr>
                        <w:rFonts w:ascii="Arial"/>
                        <w:color w:val="231F20"/>
                        <w:w w:val="105"/>
                        <w:sz w:val="14"/>
                      </w:rPr>
                      <w:t>(n = 40)*</w:t>
                    </w:r>
                  </w:p>
                </w:txbxContent>
              </v:textbox>
              <v:stroke dashstyle="solid"/>
              <w10:wrap type="none"/>
            </v:shape>
            <v:shape style="position:absolute;left:6709;top:-2881;width:2869;height:2546" type="#_x0000_t202" filled="false" stroked="true" strokeweight=".598pt" strokecolor="#231f20">
              <v:textbox inset="0,0,0,0">
                <w:txbxContent>
                  <w:p>
                    <w:pPr>
                      <w:spacing w:line="240" w:lineRule="auto" w:before="11"/>
                      <w:rPr>
                        <w:sz w:val="13"/>
                      </w:rPr>
                    </w:pPr>
                  </w:p>
                  <w:p>
                    <w:pPr>
                      <w:spacing w:line="283" w:lineRule="auto" w:before="0"/>
                      <w:ind w:left="1178" w:right="96" w:hanging="1003"/>
                      <w:jc w:val="left"/>
                      <w:rPr>
                        <w:rFonts w:ascii="Arial"/>
                        <w:sz w:val="14"/>
                      </w:rPr>
                    </w:pPr>
                    <w:r>
                      <w:rPr>
                        <w:rFonts w:ascii="Arial"/>
                        <w:color w:val="231F20"/>
                        <w:w w:val="105"/>
                        <w:sz w:val="14"/>
                      </w:rPr>
                      <w:t>Full-text articles excluded, with reasons (n = 27)</w:t>
                    </w:r>
                  </w:p>
                  <w:p>
                    <w:pPr>
                      <w:numPr>
                        <w:ilvl w:val="0"/>
                        <w:numId w:val="1"/>
                      </w:numPr>
                      <w:tabs>
                        <w:tab w:pos="289" w:val="left" w:leader="none"/>
                      </w:tabs>
                      <w:spacing w:line="268" w:lineRule="auto" w:before="47"/>
                      <w:ind w:left="288" w:right="452" w:hanging="173"/>
                      <w:jc w:val="left"/>
                      <w:rPr>
                        <w:rFonts w:ascii="Arial"/>
                        <w:sz w:val="14"/>
                      </w:rPr>
                    </w:pPr>
                    <w:r>
                      <w:rPr>
                        <w:rFonts w:ascii="Arial"/>
                        <w:color w:val="231F20"/>
                        <w:w w:val="105"/>
                        <w:sz w:val="14"/>
                      </w:rPr>
                      <w:t>Not</w:t>
                    </w:r>
                    <w:r>
                      <w:rPr>
                        <w:rFonts w:ascii="Arial"/>
                        <w:color w:val="231F20"/>
                        <w:spacing w:val="-12"/>
                        <w:w w:val="105"/>
                        <w:sz w:val="14"/>
                      </w:rPr>
                      <w:t> </w:t>
                    </w:r>
                    <w:r>
                      <w:rPr>
                        <w:rFonts w:ascii="Arial"/>
                        <w:color w:val="231F20"/>
                        <w:w w:val="105"/>
                        <w:sz w:val="14"/>
                      </w:rPr>
                      <w:t>total</w:t>
                    </w:r>
                    <w:r>
                      <w:rPr>
                        <w:rFonts w:ascii="Arial"/>
                        <w:color w:val="231F20"/>
                        <w:spacing w:val="-11"/>
                        <w:w w:val="105"/>
                        <w:sz w:val="14"/>
                      </w:rPr>
                      <w:t> </w:t>
                    </w:r>
                    <w:r>
                      <w:rPr>
                        <w:rFonts w:ascii="Arial"/>
                        <w:color w:val="231F20"/>
                        <w:w w:val="105"/>
                        <w:sz w:val="14"/>
                      </w:rPr>
                      <w:t>hip</w:t>
                    </w:r>
                    <w:r>
                      <w:rPr>
                        <w:rFonts w:ascii="Arial"/>
                        <w:color w:val="231F20"/>
                        <w:spacing w:val="-12"/>
                        <w:w w:val="105"/>
                        <w:sz w:val="14"/>
                      </w:rPr>
                      <w:t> </w:t>
                    </w:r>
                    <w:r>
                      <w:rPr>
                        <w:rFonts w:ascii="Arial"/>
                        <w:color w:val="231F20"/>
                        <w:w w:val="105"/>
                        <w:sz w:val="14"/>
                      </w:rPr>
                      <w:t>or</w:t>
                    </w:r>
                    <w:r>
                      <w:rPr>
                        <w:rFonts w:ascii="Arial"/>
                        <w:color w:val="231F20"/>
                        <w:spacing w:val="-13"/>
                        <w:w w:val="105"/>
                        <w:sz w:val="14"/>
                      </w:rPr>
                      <w:t> </w:t>
                    </w:r>
                    <w:r>
                      <w:rPr>
                        <w:rFonts w:ascii="Arial"/>
                        <w:color w:val="231F20"/>
                        <w:w w:val="105"/>
                        <w:sz w:val="14"/>
                      </w:rPr>
                      <w:t>knee</w:t>
                    </w:r>
                    <w:r>
                      <w:rPr>
                        <w:rFonts w:ascii="Arial"/>
                        <w:color w:val="231F20"/>
                        <w:spacing w:val="-11"/>
                        <w:w w:val="105"/>
                        <w:sz w:val="14"/>
                      </w:rPr>
                      <w:t> </w:t>
                    </w:r>
                    <w:r>
                      <w:rPr>
                        <w:rFonts w:ascii="Arial"/>
                        <w:color w:val="231F20"/>
                        <w:w w:val="105"/>
                        <w:sz w:val="14"/>
                      </w:rPr>
                      <w:t>replacement (n =</w:t>
                    </w:r>
                    <w:r>
                      <w:rPr>
                        <w:rFonts w:ascii="Arial"/>
                        <w:color w:val="231F20"/>
                        <w:spacing w:val="-3"/>
                        <w:w w:val="105"/>
                        <w:sz w:val="14"/>
                      </w:rPr>
                      <w:t> </w:t>
                    </w:r>
                    <w:r>
                      <w:rPr>
                        <w:rFonts w:ascii="Arial"/>
                        <w:color w:val="231F20"/>
                        <w:w w:val="105"/>
                        <w:sz w:val="14"/>
                      </w:rPr>
                      <w:t>8)</w:t>
                    </w:r>
                  </w:p>
                  <w:p>
                    <w:pPr>
                      <w:numPr>
                        <w:ilvl w:val="0"/>
                        <w:numId w:val="1"/>
                      </w:numPr>
                      <w:tabs>
                        <w:tab w:pos="289" w:val="left" w:leader="none"/>
                      </w:tabs>
                      <w:spacing w:before="11"/>
                      <w:ind w:left="288" w:right="0" w:hanging="173"/>
                      <w:jc w:val="left"/>
                      <w:rPr>
                        <w:rFonts w:ascii="Arial"/>
                        <w:sz w:val="14"/>
                      </w:rPr>
                    </w:pPr>
                    <w:r>
                      <w:rPr>
                        <w:rFonts w:ascii="Arial"/>
                        <w:color w:val="231F20"/>
                        <w:w w:val="105"/>
                        <w:sz w:val="14"/>
                      </w:rPr>
                      <w:t>SSI not reported or lacking</w:t>
                    </w:r>
                    <w:r>
                      <w:rPr>
                        <w:rFonts w:ascii="Arial"/>
                        <w:color w:val="231F20"/>
                        <w:spacing w:val="-22"/>
                        <w:w w:val="105"/>
                        <w:sz w:val="14"/>
                      </w:rPr>
                      <w:t> </w:t>
                    </w:r>
                    <w:r>
                      <w:rPr>
                        <w:rFonts w:ascii="Arial"/>
                        <w:color w:val="231F20"/>
                        <w:w w:val="105"/>
                        <w:sz w:val="14"/>
                      </w:rPr>
                      <w:t>detail</w:t>
                    </w:r>
                  </w:p>
                  <w:p>
                    <w:pPr>
                      <w:spacing w:before="21"/>
                      <w:ind w:left="288" w:right="0" w:firstLine="0"/>
                      <w:jc w:val="left"/>
                      <w:rPr>
                        <w:rFonts w:ascii="Arial"/>
                        <w:sz w:val="14"/>
                      </w:rPr>
                    </w:pPr>
                    <w:r>
                      <w:rPr>
                        <w:rFonts w:ascii="Arial"/>
                        <w:color w:val="231F20"/>
                        <w:w w:val="105"/>
                        <w:sz w:val="14"/>
                      </w:rPr>
                      <w:t>(n = 9)</w:t>
                    </w:r>
                  </w:p>
                  <w:p>
                    <w:pPr>
                      <w:numPr>
                        <w:ilvl w:val="0"/>
                        <w:numId w:val="1"/>
                      </w:numPr>
                      <w:tabs>
                        <w:tab w:pos="289" w:val="left" w:leader="none"/>
                      </w:tabs>
                      <w:spacing w:before="28"/>
                      <w:ind w:left="288" w:right="0" w:hanging="173"/>
                      <w:jc w:val="left"/>
                      <w:rPr>
                        <w:rFonts w:ascii="Arial"/>
                        <w:sz w:val="14"/>
                      </w:rPr>
                    </w:pPr>
                    <w:r>
                      <w:rPr>
                        <w:rFonts w:ascii="Arial"/>
                        <w:color w:val="231F20"/>
                        <w:w w:val="105"/>
                        <w:sz w:val="14"/>
                      </w:rPr>
                      <w:t>Non-English publication (n =</w:t>
                    </w:r>
                    <w:r>
                      <w:rPr>
                        <w:rFonts w:ascii="Arial"/>
                        <w:color w:val="231F20"/>
                        <w:spacing w:val="-15"/>
                        <w:w w:val="105"/>
                        <w:sz w:val="14"/>
                      </w:rPr>
                      <w:t> </w:t>
                    </w:r>
                    <w:r>
                      <w:rPr>
                        <w:rFonts w:ascii="Arial"/>
                        <w:color w:val="231F20"/>
                        <w:w w:val="105"/>
                        <w:sz w:val="14"/>
                      </w:rPr>
                      <w:t>1)</w:t>
                    </w:r>
                  </w:p>
                  <w:p>
                    <w:pPr>
                      <w:numPr>
                        <w:ilvl w:val="0"/>
                        <w:numId w:val="1"/>
                      </w:numPr>
                      <w:tabs>
                        <w:tab w:pos="289" w:val="left" w:leader="none"/>
                      </w:tabs>
                      <w:spacing w:before="21"/>
                      <w:ind w:left="288" w:right="0" w:hanging="173"/>
                      <w:jc w:val="left"/>
                      <w:rPr>
                        <w:rFonts w:ascii="Arial"/>
                        <w:sz w:val="14"/>
                      </w:rPr>
                    </w:pPr>
                    <w:r>
                      <w:rPr>
                        <w:rFonts w:ascii="Arial"/>
                        <w:color w:val="231F20"/>
                        <w:w w:val="105"/>
                        <w:sz w:val="14"/>
                      </w:rPr>
                      <w:t>Full-text</w:t>
                    </w:r>
                    <w:r>
                      <w:rPr>
                        <w:rFonts w:ascii="Arial"/>
                        <w:color w:val="231F20"/>
                        <w:spacing w:val="-6"/>
                        <w:w w:val="105"/>
                        <w:sz w:val="14"/>
                      </w:rPr>
                      <w:t> </w:t>
                    </w:r>
                    <w:r>
                      <w:rPr>
                        <w:rFonts w:ascii="Arial"/>
                        <w:color w:val="231F20"/>
                        <w:w w:val="105"/>
                        <w:sz w:val="14"/>
                      </w:rPr>
                      <w:t>article</w:t>
                    </w:r>
                    <w:r>
                      <w:rPr>
                        <w:rFonts w:ascii="Arial"/>
                        <w:color w:val="231F20"/>
                        <w:spacing w:val="-7"/>
                        <w:w w:val="105"/>
                        <w:sz w:val="14"/>
                      </w:rPr>
                      <w:t> </w:t>
                    </w:r>
                    <w:r>
                      <w:rPr>
                        <w:rFonts w:ascii="Arial"/>
                        <w:color w:val="231F20"/>
                        <w:w w:val="105"/>
                        <w:sz w:val="14"/>
                      </w:rPr>
                      <w:t>not</w:t>
                    </w:r>
                    <w:r>
                      <w:rPr>
                        <w:rFonts w:ascii="Arial"/>
                        <w:color w:val="231F20"/>
                        <w:spacing w:val="-5"/>
                        <w:w w:val="105"/>
                        <w:sz w:val="14"/>
                      </w:rPr>
                      <w:t> </w:t>
                    </w:r>
                    <w:r>
                      <w:rPr>
                        <w:rFonts w:ascii="Arial"/>
                        <w:color w:val="231F20"/>
                        <w:w w:val="105"/>
                        <w:sz w:val="14"/>
                      </w:rPr>
                      <w:t>available</w:t>
                    </w:r>
                    <w:r>
                      <w:rPr>
                        <w:rFonts w:ascii="Arial"/>
                        <w:color w:val="231F20"/>
                        <w:spacing w:val="-7"/>
                        <w:w w:val="105"/>
                        <w:sz w:val="14"/>
                      </w:rPr>
                      <w:t> </w:t>
                    </w:r>
                    <w:r>
                      <w:rPr>
                        <w:rFonts w:ascii="Arial"/>
                        <w:color w:val="231F20"/>
                        <w:w w:val="105"/>
                        <w:sz w:val="14"/>
                      </w:rPr>
                      <w:t>(n</w:t>
                    </w:r>
                    <w:r>
                      <w:rPr>
                        <w:rFonts w:ascii="Arial"/>
                        <w:color w:val="231F20"/>
                        <w:spacing w:val="-6"/>
                        <w:w w:val="105"/>
                        <w:sz w:val="14"/>
                      </w:rPr>
                      <w:t> </w:t>
                    </w:r>
                    <w:r>
                      <w:rPr>
                        <w:rFonts w:ascii="Arial"/>
                        <w:color w:val="231F20"/>
                        <w:w w:val="105"/>
                        <w:sz w:val="14"/>
                      </w:rPr>
                      <w:t>=</w:t>
                    </w:r>
                    <w:r>
                      <w:rPr>
                        <w:rFonts w:ascii="Arial"/>
                        <w:color w:val="231F20"/>
                        <w:spacing w:val="-5"/>
                        <w:w w:val="105"/>
                        <w:sz w:val="14"/>
                      </w:rPr>
                      <w:t> </w:t>
                    </w:r>
                    <w:r>
                      <w:rPr>
                        <w:rFonts w:ascii="Arial"/>
                        <w:color w:val="231F20"/>
                        <w:w w:val="105"/>
                        <w:sz w:val="14"/>
                      </w:rPr>
                      <w:t>1)</w:t>
                    </w:r>
                  </w:p>
                  <w:p>
                    <w:pPr>
                      <w:numPr>
                        <w:ilvl w:val="0"/>
                        <w:numId w:val="1"/>
                      </w:numPr>
                      <w:tabs>
                        <w:tab w:pos="289" w:val="left" w:leader="none"/>
                      </w:tabs>
                      <w:spacing w:line="268" w:lineRule="auto" w:before="22"/>
                      <w:ind w:left="288" w:right="675" w:hanging="173"/>
                      <w:jc w:val="left"/>
                      <w:rPr>
                        <w:rFonts w:ascii="Arial"/>
                        <w:sz w:val="14"/>
                      </w:rPr>
                    </w:pPr>
                    <w:r>
                      <w:rPr>
                        <w:rFonts w:ascii="Arial"/>
                        <w:color w:val="231F20"/>
                        <w:w w:val="105"/>
                        <w:sz w:val="14"/>
                      </w:rPr>
                      <w:t>Study</w:t>
                    </w:r>
                    <w:r>
                      <w:rPr>
                        <w:rFonts w:ascii="Arial"/>
                        <w:color w:val="231F20"/>
                        <w:spacing w:val="-18"/>
                        <w:w w:val="105"/>
                        <w:sz w:val="14"/>
                      </w:rPr>
                      <w:t> </w:t>
                    </w:r>
                    <w:r>
                      <w:rPr>
                        <w:rFonts w:ascii="Arial"/>
                        <w:color w:val="231F20"/>
                        <w:w w:val="105"/>
                        <w:sz w:val="14"/>
                      </w:rPr>
                      <w:t>comparison</w:t>
                    </w:r>
                    <w:r>
                      <w:rPr>
                        <w:rFonts w:ascii="Arial"/>
                        <w:color w:val="231F20"/>
                        <w:spacing w:val="-17"/>
                        <w:w w:val="105"/>
                        <w:sz w:val="14"/>
                      </w:rPr>
                      <w:t> </w:t>
                    </w:r>
                    <w:r>
                      <w:rPr>
                        <w:rFonts w:ascii="Arial"/>
                        <w:color w:val="231F20"/>
                        <w:w w:val="105"/>
                        <w:sz w:val="14"/>
                      </w:rPr>
                      <w:t>not</w:t>
                    </w:r>
                    <w:r>
                      <w:rPr>
                        <w:rFonts w:ascii="Arial"/>
                        <w:color w:val="231F20"/>
                        <w:spacing w:val="-16"/>
                        <w:w w:val="105"/>
                        <w:sz w:val="14"/>
                      </w:rPr>
                      <w:t> </w:t>
                    </w:r>
                    <w:r>
                      <w:rPr>
                        <w:rFonts w:ascii="Arial"/>
                        <w:color w:val="231F20"/>
                        <w:w w:val="105"/>
                        <w:sz w:val="14"/>
                      </w:rPr>
                      <w:t>closure techniques (n =</w:t>
                    </w:r>
                    <w:r>
                      <w:rPr>
                        <w:rFonts w:ascii="Arial"/>
                        <w:color w:val="231F20"/>
                        <w:spacing w:val="-6"/>
                        <w:w w:val="105"/>
                        <w:sz w:val="14"/>
                      </w:rPr>
                      <w:t> </w:t>
                    </w:r>
                    <w:r>
                      <w:rPr>
                        <w:rFonts w:ascii="Arial"/>
                        <w:color w:val="231F20"/>
                        <w:w w:val="105"/>
                        <w:sz w:val="14"/>
                      </w:rPr>
                      <w:t>7)</w:t>
                    </w:r>
                  </w:p>
                  <w:p>
                    <w:pPr>
                      <w:numPr>
                        <w:ilvl w:val="0"/>
                        <w:numId w:val="1"/>
                      </w:numPr>
                      <w:tabs>
                        <w:tab w:pos="289" w:val="left" w:leader="none"/>
                      </w:tabs>
                      <w:spacing w:before="9"/>
                      <w:ind w:left="288" w:right="0" w:hanging="173"/>
                      <w:jc w:val="left"/>
                      <w:rPr>
                        <w:rFonts w:ascii="Arial"/>
                        <w:sz w:val="14"/>
                      </w:rPr>
                    </w:pPr>
                    <w:r>
                      <w:rPr>
                        <w:rFonts w:ascii="Arial"/>
                        <w:color w:val="231F20"/>
                        <w:w w:val="105"/>
                        <w:sz w:val="14"/>
                      </w:rPr>
                      <w:t>Closure</w:t>
                    </w:r>
                    <w:r>
                      <w:rPr>
                        <w:rFonts w:ascii="Arial"/>
                        <w:color w:val="231F20"/>
                        <w:spacing w:val="-8"/>
                        <w:w w:val="105"/>
                        <w:sz w:val="14"/>
                      </w:rPr>
                      <w:t> </w:t>
                    </w:r>
                    <w:r>
                      <w:rPr>
                        <w:rFonts w:ascii="Arial"/>
                        <w:color w:val="231F20"/>
                        <w:w w:val="105"/>
                        <w:sz w:val="14"/>
                      </w:rPr>
                      <w:t>methods</w:t>
                    </w:r>
                    <w:r>
                      <w:rPr>
                        <w:rFonts w:ascii="Arial"/>
                        <w:color w:val="231F20"/>
                        <w:spacing w:val="-9"/>
                        <w:w w:val="105"/>
                        <w:sz w:val="14"/>
                      </w:rPr>
                      <w:t> </w:t>
                    </w:r>
                    <w:r>
                      <w:rPr>
                        <w:rFonts w:ascii="Arial"/>
                        <w:color w:val="231F20"/>
                        <w:w w:val="105"/>
                        <w:sz w:val="14"/>
                      </w:rPr>
                      <w:t>lacking</w:t>
                    </w:r>
                    <w:r>
                      <w:rPr>
                        <w:rFonts w:ascii="Arial"/>
                        <w:color w:val="231F20"/>
                        <w:spacing w:val="-7"/>
                        <w:w w:val="105"/>
                        <w:sz w:val="14"/>
                      </w:rPr>
                      <w:t> </w:t>
                    </w:r>
                    <w:r>
                      <w:rPr>
                        <w:rFonts w:ascii="Arial"/>
                        <w:color w:val="231F20"/>
                        <w:w w:val="105"/>
                        <w:sz w:val="14"/>
                      </w:rPr>
                      <w:t>detail</w:t>
                    </w:r>
                    <w:r>
                      <w:rPr>
                        <w:rFonts w:ascii="Arial"/>
                        <w:color w:val="231F20"/>
                        <w:spacing w:val="-9"/>
                        <w:w w:val="105"/>
                        <w:sz w:val="14"/>
                      </w:rPr>
                      <w:t> </w:t>
                    </w:r>
                    <w:r>
                      <w:rPr>
                        <w:rFonts w:ascii="Arial"/>
                        <w:color w:val="231F20"/>
                        <w:w w:val="105"/>
                        <w:sz w:val="14"/>
                      </w:rPr>
                      <w:t>(n</w:t>
                    </w:r>
                    <w:r>
                      <w:rPr>
                        <w:rFonts w:ascii="Arial"/>
                        <w:color w:val="231F20"/>
                        <w:spacing w:val="-3"/>
                        <w:w w:val="105"/>
                        <w:sz w:val="14"/>
                      </w:rPr>
                      <w:t> </w:t>
                    </w:r>
                    <w:r>
                      <w:rPr>
                        <w:rFonts w:ascii="Arial"/>
                        <w:color w:val="231F20"/>
                        <w:w w:val="105"/>
                        <w:sz w:val="14"/>
                      </w:rPr>
                      <w:t>=</w:t>
                    </w:r>
                    <w:r>
                      <w:rPr>
                        <w:rFonts w:ascii="Arial"/>
                        <w:color w:val="231F20"/>
                        <w:spacing w:val="-7"/>
                        <w:w w:val="105"/>
                        <w:sz w:val="14"/>
                      </w:rPr>
                      <w:t> </w:t>
                    </w:r>
                    <w:r>
                      <w:rPr>
                        <w:rFonts w:ascii="Arial"/>
                        <w:color w:val="231F20"/>
                        <w:w w:val="105"/>
                        <w:sz w:val="14"/>
                      </w:rPr>
                      <w:t>1)</w:t>
                    </w:r>
                  </w:p>
                </w:txbxContent>
              </v:textbox>
              <v:stroke dashstyle="solid"/>
              <w10:wrap type="none"/>
            </v:shape>
            <v:shape style="position:absolute;left:4420;top:-2880;width:1675;height:1016" type="#_x0000_t202" filled="false" stroked="true" strokeweight=".598pt" strokecolor="#231f20">
              <v:textbox inset="0,0,0,0">
                <w:txbxContent>
                  <w:p>
                    <w:pPr>
                      <w:spacing w:line="240" w:lineRule="auto" w:before="5"/>
                      <w:rPr>
                        <w:sz w:val="20"/>
                      </w:rPr>
                    </w:pPr>
                  </w:p>
                  <w:p>
                    <w:pPr>
                      <w:spacing w:line="283" w:lineRule="auto" w:before="0"/>
                      <w:ind w:left="132" w:right="134" w:firstLine="1"/>
                      <w:jc w:val="center"/>
                      <w:rPr>
                        <w:rFonts w:ascii="Arial"/>
                        <w:sz w:val="14"/>
                      </w:rPr>
                    </w:pPr>
                    <w:r>
                      <w:rPr>
                        <w:rFonts w:ascii="Arial"/>
                        <w:color w:val="231F20"/>
                        <w:w w:val="105"/>
                        <w:sz w:val="14"/>
                      </w:rPr>
                      <w:t>Full-text articles assessed</w:t>
                    </w:r>
                    <w:r>
                      <w:rPr>
                        <w:rFonts w:ascii="Arial"/>
                        <w:color w:val="231F20"/>
                        <w:spacing w:val="-21"/>
                        <w:w w:val="105"/>
                        <w:sz w:val="14"/>
                      </w:rPr>
                      <w:t> </w:t>
                    </w:r>
                    <w:r>
                      <w:rPr>
                        <w:rFonts w:ascii="Arial"/>
                        <w:color w:val="231F20"/>
                        <w:w w:val="105"/>
                        <w:sz w:val="14"/>
                      </w:rPr>
                      <w:t>for</w:t>
                    </w:r>
                    <w:r>
                      <w:rPr>
                        <w:rFonts w:ascii="Arial"/>
                        <w:color w:val="231F20"/>
                        <w:spacing w:val="-20"/>
                        <w:w w:val="105"/>
                        <w:sz w:val="14"/>
                      </w:rPr>
                      <w:t> </w:t>
                    </w:r>
                    <w:r>
                      <w:rPr>
                        <w:rFonts w:ascii="Arial"/>
                        <w:color w:val="231F20"/>
                        <w:w w:val="105"/>
                        <w:sz w:val="14"/>
                      </w:rPr>
                      <w:t>eligibility (n =</w:t>
                    </w:r>
                    <w:r>
                      <w:rPr>
                        <w:rFonts w:ascii="Arial"/>
                        <w:color w:val="231F20"/>
                        <w:spacing w:val="-3"/>
                        <w:w w:val="105"/>
                        <w:sz w:val="14"/>
                      </w:rPr>
                      <w:t> </w:t>
                    </w:r>
                    <w:r>
                      <w:rPr>
                        <w:rFonts w:ascii="Arial"/>
                        <w:color w:val="231F20"/>
                        <w:w w:val="105"/>
                        <w:sz w:val="14"/>
                      </w:rPr>
                      <w:t>68)</w:t>
                    </w:r>
                  </w:p>
                </w:txbxContent>
              </v:textbox>
              <v:stroke dashstyle="solid"/>
              <w10:wrap type="none"/>
            </v:shape>
            <v:shape style="position:absolute;left:4448;top:-4053;width:1632;height:718" type="#_x0000_t202" filled="false" stroked="true" strokeweight=".598pt" strokecolor="#231f20">
              <v:textbox inset="0,0,0,0">
                <w:txbxContent>
                  <w:p>
                    <w:pPr>
                      <w:spacing w:line="240" w:lineRule="auto" w:before="1"/>
                      <w:rPr>
                        <w:sz w:val="14"/>
                      </w:rPr>
                    </w:pPr>
                  </w:p>
                  <w:p>
                    <w:pPr>
                      <w:spacing w:line="285" w:lineRule="auto" w:before="0"/>
                      <w:ind w:left="520" w:right="91" w:hanging="295"/>
                      <w:jc w:val="left"/>
                      <w:rPr>
                        <w:rFonts w:ascii="Arial"/>
                        <w:sz w:val="14"/>
                      </w:rPr>
                    </w:pPr>
                    <w:r>
                      <w:rPr>
                        <w:rFonts w:ascii="Arial"/>
                        <w:color w:val="231F20"/>
                        <w:w w:val="105"/>
                        <w:sz w:val="14"/>
                      </w:rPr>
                      <w:t>Records screened (n = 956)</w:t>
                    </w:r>
                  </w:p>
                </w:txbxContent>
              </v:textbox>
              <v:stroke dashstyle="solid"/>
              <w10:wrap type="none"/>
            </v:shape>
            <v:shape style="position:absolute;left:6745;top:-4366;width:2802;height:1346" type="#_x0000_t202" filled="false" stroked="true" strokeweight=".598pt" strokecolor="#231f20">
              <v:textbox inset="0,0,0,0">
                <w:txbxContent>
                  <w:p>
                    <w:pPr>
                      <w:spacing w:line="240" w:lineRule="auto" w:before="10"/>
                      <w:rPr>
                        <w:sz w:val="20"/>
                      </w:rPr>
                    </w:pPr>
                  </w:p>
                  <w:p>
                    <w:pPr>
                      <w:spacing w:line="319" w:lineRule="auto" w:before="0"/>
                      <w:ind w:left="1105" w:right="739" w:hanging="286"/>
                      <w:jc w:val="left"/>
                      <w:rPr>
                        <w:rFonts w:ascii="Arial"/>
                        <w:sz w:val="14"/>
                      </w:rPr>
                    </w:pPr>
                    <w:r>
                      <w:rPr>
                        <w:rFonts w:ascii="Arial"/>
                        <w:color w:val="231F20"/>
                        <w:sz w:val="14"/>
                      </w:rPr>
                      <w:t>Records excluded </w:t>
                    </w:r>
                    <w:r>
                      <w:rPr>
                        <w:rFonts w:ascii="Arial"/>
                        <w:color w:val="231F20"/>
                        <w:w w:val="105"/>
                        <w:sz w:val="14"/>
                      </w:rPr>
                      <w:t>(n = 888)</w:t>
                    </w:r>
                  </w:p>
                  <w:p>
                    <w:pPr>
                      <w:spacing w:line="283" w:lineRule="auto" w:before="24"/>
                      <w:ind w:left="116" w:right="153" w:firstLine="0"/>
                      <w:jc w:val="left"/>
                      <w:rPr>
                        <w:rFonts w:ascii="Arial"/>
                        <w:sz w:val="14"/>
                      </w:rPr>
                    </w:pPr>
                    <w:r>
                      <w:rPr>
                        <w:rFonts w:ascii="Arial"/>
                        <w:color w:val="231F20"/>
                        <w:w w:val="105"/>
                        <w:sz w:val="14"/>
                      </w:rPr>
                      <w:t>Did not report on closure methods and SSI rates</w:t>
                    </w:r>
                  </w:p>
                </w:txbxContent>
              </v:textbox>
              <v:stroke dashstyle="solid"/>
              <w10:wrap type="none"/>
            </v:shape>
            <v:shape style="position:absolute;left:3909;top:-5345;width:2708;height:718" type="#_x0000_t202" filled="false" stroked="true" strokeweight=".598pt" strokecolor="#231f20">
              <v:textbox inset="0,0,0,0">
                <w:txbxContent>
                  <w:p>
                    <w:pPr>
                      <w:spacing w:line="240" w:lineRule="auto" w:before="1"/>
                      <w:rPr>
                        <w:sz w:val="14"/>
                      </w:rPr>
                    </w:pPr>
                  </w:p>
                  <w:p>
                    <w:pPr>
                      <w:spacing w:line="285" w:lineRule="auto" w:before="0"/>
                      <w:ind w:left="1059" w:right="206" w:hanging="787"/>
                      <w:jc w:val="left"/>
                      <w:rPr>
                        <w:rFonts w:ascii="Arial"/>
                        <w:sz w:val="14"/>
                      </w:rPr>
                    </w:pPr>
                    <w:r>
                      <w:rPr>
                        <w:rFonts w:ascii="Arial"/>
                        <w:color w:val="231F20"/>
                        <w:w w:val="105"/>
                        <w:sz w:val="14"/>
                      </w:rPr>
                      <w:t>Records after duplicates removed (n = 956)</w:t>
                    </w:r>
                  </w:p>
                </w:txbxContent>
              </v:textbox>
              <v:stroke dashstyle="solid"/>
              <w10:wrap type="none"/>
            </v:shape>
            <v:shape style="position:absolute;left:5425;top:-7099;width:2178;height:1024" type="#_x0000_t202" filled="false" stroked="true" strokeweight=".598pt" strokecolor="#231f20">
              <v:textbox inset="0,0,0,0">
                <w:txbxContent>
                  <w:p>
                    <w:pPr>
                      <w:spacing w:line="240" w:lineRule="auto" w:before="9"/>
                      <w:rPr>
                        <w:sz w:val="20"/>
                      </w:rPr>
                    </w:pPr>
                  </w:p>
                  <w:p>
                    <w:pPr>
                      <w:spacing w:line="283" w:lineRule="auto" w:before="1"/>
                      <w:ind w:left="168" w:right="171" w:firstLine="0"/>
                      <w:jc w:val="center"/>
                      <w:rPr>
                        <w:rFonts w:ascii="Arial"/>
                        <w:sz w:val="14"/>
                      </w:rPr>
                    </w:pPr>
                    <w:r>
                      <w:rPr>
                        <w:rFonts w:ascii="Arial"/>
                        <w:color w:val="231F20"/>
                        <w:w w:val="105"/>
                        <w:sz w:val="14"/>
                      </w:rPr>
                      <w:t>Additional records identified through other sources</w:t>
                    </w:r>
                  </w:p>
                  <w:p>
                    <w:pPr>
                      <w:spacing w:line="160" w:lineRule="exact" w:before="0"/>
                      <w:ind w:left="168" w:right="166" w:firstLine="0"/>
                      <w:jc w:val="center"/>
                      <w:rPr>
                        <w:rFonts w:ascii="Arial"/>
                        <w:sz w:val="14"/>
                      </w:rPr>
                    </w:pPr>
                    <w:r>
                      <w:rPr>
                        <w:rFonts w:ascii="Arial"/>
                        <w:color w:val="231F20"/>
                        <w:w w:val="105"/>
                        <w:sz w:val="14"/>
                      </w:rPr>
                      <w:t>(n = 19)</w:t>
                    </w:r>
                  </w:p>
                </w:txbxContent>
              </v:textbox>
              <v:stroke dashstyle="solid"/>
              <w10:wrap type="none"/>
            </v:shape>
            <v:shape style="position:absolute;left:2913;top:-7091;width:2178;height:1016" type="#_x0000_t202" filled="false" stroked="true" strokeweight=".599pt" strokecolor="#231f20">
              <v:textbox inset="0,0,0,0">
                <w:txbxContent>
                  <w:p>
                    <w:pPr>
                      <w:spacing w:line="240" w:lineRule="auto" w:before="5"/>
                      <w:rPr>
                        <w:sz w:val="20"/>
                      </w:rPr>
                    </w:pPr>
                  </w:p>
                  <w:p>
                    <w:pPr>
                      <w:spacing w:line="283" w:lineRule="auto" w:before="0"/>
                      <w:ind w:left="214" w:right="213" w:firstLine="0"/>
                      <w:jc w:val="center"/>
                      <w:rPr>
                        <w:rFonts w:ascii="Arial"/>
                        <w:sz w:val="14"/>
                      </w:rPr>
                    </w:pPr>
                    <w:r>
                      <w:rPr>
                        <w:rFonts w:ascii="Arial"/>
                        <w:color w:val="231F20"/>
                        <w:w w:val="105"/>
                        <w:sz w:val="14"/>
                      </w:rPr>
                      <w:t>Records identified through database searching</w:t>
                    </w:r>
                  </w:p>
                  <w:p>
                    <w:pPr>
                      <w:spacing w:before="1"/>
                      <w:ind w:left="214" w:right="212" w:firstLine="0"/>
                      <w:jc w:val="center"/>
                      <w:rPr>
                        <w:rFonts w:ascii="Arial"/>
                        <w:sz w:val="14"/>
                      </w:rPr>
                    </w:pPr>
                    <w:r>
                      <w:rPr>
                        <w:rFonts w:ascii="Arial"/>
                        <w:color w:val="231F20"/>
                        <w:w w:val="105"/>
                        <w:sz w:val="14"/>
                      </w:rPr>
                      <w:t>(n = 945)</w:t>
                    </w:r>
                  </w:p>
                </w:txbxContent>
              </v:textbox>
              <v:stroke dashstyle="solid"/>
              <w10:wrap type="none"/>
            </v:shape>
            <w10:wrap type="none"/>
          </v:group>
        </w:pict>
      </w:r>
      <w:r>
        <w:rPr/>
        <w:pict>
          <v:group style="position:absolute;margin-left:106.582001pt;margin-top:-90.629318pt;width:23.25pt;height:86.9pt;mso-position-horizontal-relative:page;mso-position-vertical-relative:paragraph;z-index:251680768" coordorigin="2132,-1813" coordsize="465,1738">
            <v:shape style="position:absolute;left:2131;top:-1813;width:465;height:1735" coordorigin="2132,-1813" coordsize="465,1735" path="m2514,-1813l2213,-1813,2181,-1806,2155,-1789,2138,-1763,2132,-1731,2132,-159,2138,-128,2156,-102,2181,-84,2213,-78,2213,-90,2199,-91,2186,-95,2174,-102,2164,-110,2155,-121,2149,-132,2145,-145,2144,-159,2144,-1731,2149,-1758,2164,-1780,2186,-1795,2213,-1801,2554,-1801,2546,-1806,2514,-1813xm2554,-1801l2514,-1801,2541,-1795,2563,-1780,2578,-1758,2584,-1731,2584,-159,2582,-145,2578,-132,2572,-121,2563,-110,2553,-102,2541,-95,2528,-91,2514,-90,2213,-90,2213,-78,2514,-78,2546,-84,2572,-102,2589,-128,2596,-159,2596,-1731,2589,-1763,2572,-1789,2554,-1801xe" filled="true" fillcolor="#231f20" stroked="false">
              <v:path arrowok="t"/>
              <v:fill type="solid"/>
            </v:shape>
            <v:shape style="position:absolute;left:2252;top:-1750;width:231;height:1676" type="#_x0000_t75" stroked="false">
              <v:imagedata r:id="rId27" o:title=""/>
            </v:shape>
            <w10:wrap type="none"/>
          </v:group>
        </w:pict>
      </w:r>
      <w:r>
        <w:rPr/>
        <w:pict>
          <v:shape style="position:absolute;margin-left:111.998817pt;margin-top:-64.926735pt;width:11.85pt;height:38.25pt;mso-position-horizontal-relative:page;mso-position-vertical-relative:paragraph;z-index:251682816" type="#_x0000_t202" filled="false" stroked="false">
            <v:textbox inset="0,0,0,0" style="layout-flow:vertical;mso-layout-flow-alt:bottom-to-top">
              <w:txbxContent>
                <w:p>
                  <w:pPr>
                    <w:spacing w:before="20"/>
                    <w:ind w:left="20" w:right="0" w:firstLine="0"/>
                    <w:jc w:val="left"/>
                    <w:rPr>
                      <w:rFonts w:ascii="Arial"/>
                      <w:b/>
                      <w:sz w:val="17"/>
                    </w:rPr>
                  </w:pPr>
                  <w:r>
                    <w:rPr>
                      <w:rFonts w:ascii="Arial"/>
                      <w:b/>
                      <w:color w:val="231F20"/>
                      <w:w w:val="105"/>
                      <w:sz w:val="17"/>
                    </w:rPr>
                    <w:t>Included</w:t>
                  </w:r>
                </w:p>
              </w:txbxContent>
            </v:textbox>
            <w10:wrap type="none"/>
          </v:shape>
        </w:pict>
      </w:r>
      <w:r>
        <w:rPr>
          <w:w w:val="110"/>
          <w:sz w:val="12"/>
        </w:rPr>
        <w:t>Figure 1. PRISMA </w:t>
      </w:r>
      <w:r>
        <w:rPr>
          <w:rFonts w:ascii="Times New Roman" w:hAnsi="Times New Roman"/>
          <w:w w:val="110"/>
          <w:sz w:val="12"/>
        </w:rPr>
        <w:t>ﬂ</w:t>
      </w:r>
      <w:r>
        <w:rPr>
          <w:w w:val="110"/>
          <w:sz w:val="12"/>
        </w:rPr>
        <w:t>ow diagram. </w:t>
      </w:r>
      <w:r>
        <w:rPr>
          <w:rFonts w:ascii="Lucida Sans" w:hAnsi="Lucida Sans"/>
          <w:w w:val="110"/>
          <w:sz w:val="12"/>
        </w:rPr>
        <w:t>*</w:t>
      </w:r>
      <w:r>
        <w:rPr>
          <w:w w:val="110"/>
          <w:sz w:val="12"/>
        </w:rPr>
        <w:t>Note that 40 studies were included after full-text screening, but a correction was identi</w:t>
      </w:r>
      <w:r>
        <w:rPr>
          <w:rFonts w:ascii="Times New Roman" w:hAnsi="Times New Roman"/>
          <w:w w:val="110"/>
          <w:sz w:val="12"/>
        </w:rPr>
        <w:t>ﬁ</w:t>
      </w:r>
      <w:r>
        <w:rPr>
          <w:w w:val="110"/>
          <w:sz w:val="12"/>
        </w:rPr>
        <w:t>ed for Sundaram </w:t>
      </w:r>
      <w:r>
        <w:rPr>
          <w:i/>
          <w:w w:val="110"/>
          <w:sz w:val="12"/>
        </w:rPr>
        <w:t>et al., </w:t>
      </w:r>
      <w:r>
        <w:rPr>
          <w:w w:val="110"/>
          <w:sz w:val="12"/>
        </w:rPr>
        <w:t>2020 which was not included in the </w:t>
      </w:r>
      <w:r>
        <w:rPr>
          <w:rFonts w:ascii="Times New Roman" w:hAnsi="Times New Roman"/>
          <w:w w:val="110"/>
          <w:sz w:val="12"/>
        </w:rPr>
        <w:t>ﬁ</w:t>
      </w:r>
      <w:r>
        <w:rPr>
          <w:w w:val="110"/>
          <w:sz w:val="12"/>
        </w:rPr>
        <w:t>nal number of included studies but was considered during data extraction.</w:t>
      </w:r>
    </w:p>
    <w:p>
      <w:pPr>
        <w:spacing w:after="0" w:line="276" w:lineRule="auto"/>
        <w:jc w:val="left"/>
        <w:rPr>
          <w:sz w:val="12"/>
        </w:rPr>
        <w:sectPr>
          <w:type w:val="continuous"/>
          <w:pgSz w:w="11910" w:h="15880"/>
          <w:pgMar w:top="840" w:bottom="360" w:left="540" w:right="540"/>
        </w:sectPr>
      </w:pPr>
    </w:p>
    <w:p>
      <w:pPr>
        <w:tabs>
          <w:tab w:pos="10711" w:val="right" w:leader="none"/>
        </w:tabs>
        <w:spacing w:before="99"/>
        <w:ind w:left="3851" w:right="0" w:firstLine="0"/>
        <w:jc w:val="left"/>
        <w:rPr>
          <w:sz w:val="12"/>
        </w:rPr>
      </w:pPr>
      <w:bookmarkStart w:name="Results" w:id="8"/>
      <w:bookmarkEnd w:id="8"/>
      <w:r>
        <w:rPr/>
      </w:r>
      <w:r>
        <w:rPr>
          <w:i/>
          <w:w w:val="110"/>
          <w:sz w:val="12"/>
        </w:rPr>
        <w:t>M.A. Snyder et al. / Arthroplasty Today xxx</w:t>
      </w:r>
      <w:r>
        <w:rPr>
          <w:i/>
          <w:spacing w:val="8"/>
          <w:w w:val="110"/>
          <w:sz w:val="12"/>
        </w:rPr>
        <w:t> </w:t>
      </w:r>
      <w:r>
        <w:rPr>
          <w:i/>
          <w:w w:val="110"/>
          <w:sz w:val="12"/>
        </w:rPr>
        <w:t>(2021)</w:t>
      </w:r>
      <w:r>
        <w:rPr>
          <w:i/>
          <w:spacing w:val="10"/>
          <w:w w:val="110"/>
          <w:sz w:val="12"/>
        </w:rPr>
        <w:t> </w:t>
      </w:r>
      <w:r>
        <w:rPr>
          <w:i/>
          <w:spacing w:val="-3"/>
          <w:w w:val="110"/>
          <w:sz w:val="12"/>
        </w:rPr>
        <w:t>1</w:t>
      </w:r>
      <w:r>
        <w:rPr>
          <w:rFonts w:ascii="Lucida Sans"/>
          <w:spacing w:val="-3"/>
          <w:w w:val="110"/>
          <w:sz w:val="12"/>
        </w:rPr>
        <w:t>e</w:t>
      </w:r>
      <w:r>
        <w:rPr>
          <w:i/>
          <w:spacing w:val="-3"/>
          <w:w w:val="110"/>
          <w:sz w:val="12"/>
        </w:rPr>
        <w:t>10.e7</w:t>
        <w:tab/>
      </w:r>
      <w:r>
        <w:rPr>
          <w:w w:val="110"/>
          <w:sz w:val="12"/>
        </w:rPr>
        <w:t>3</w:t>
      </w:r>
    </w:p>
    <w:p>
      <w:pPr>
        <w:spacing w:after="0"/>
        <w:jc w:val="left"/>
        <w:rPr>
          <w:sz w:val="12"/>
        </w:rPr>
        <w:sectPr>
          <w:pgSz w:w="11910" w:h="15880"/>
          <w:pgMar w:header="210" w:footer="165" w:top="840" w:bottom="360" w:left="540" w:right="540"/>
        </w:sectPr>
      </w:pPr>
    </w:p>
    <w:p>
      <w:pPr>
        <w:pStyle w:val="BodyText"/>
        <w:spacing w:before="8"/>
      </w:pPr>
    </w:p>
    <w:p>
      <w:pPr>
        <w:pStyle w:val="BodyText"/>
        <w:spacing w:line="252" w:lineRule="auto"/>
        <w:ind w:left="310" w:right="1"/>
        <w:jc w:val="both"/>
      </w:pPr>
      <w:r>
        <w:rPr>
          <w:w w:val="105"/>
        </w:rPr>
        <w:t>The methods used in this analysis were aligned with the Preferred Reporting Items for Systematic Reviews and Meta-Analyses.</w:t>
      </w:r>
    </w:p>
    <w:p>
      <w:pPr>
        <w:pStyle w:val="BodyText"/>
        <w:spacing w:line="252" w:lineRule="auto" w:before="1"/>
        <w:ind w:left="310" w:firstLine="239"/>
        <w:jc w:val="both"/>
      </w:pPr>
      <w:r>
        <w:rPr>
          <w:w w:val="105"/>
        </w:rPr>
        <w:t>Study inclusion was determined according to the PICOS </w:t>
      </w:r>
      <w:r>
        <w:rPr>
          <w:spacing w:val="-3"/>
          <w:w w:val="105"/>
        </w:rPr>
        <w:t>(ie, </w:t>
      </w:r>
      <w:r>
        <w:rPr>
          <w:w w:val="105"/>
        </w:rPr>
        <w:t>population, intervention/ comparator, outcome, and study design) criteria that were developed a priori. Brie</w:t>
      </w:r>
      <w:r>
        <w:rPr>
          <w:rFonts w:ascii="Times New Roman" w:hAnsi="Times New Roman"/>
          <w:w w:val="105"/>
        </w:rPr>
        <w:t>ﬂ</w:t>
      </w:r>
      <w:r>
        <w:rPr>
          <w:w w:val="105"/>
        </w:rPr>
        <w:t>y, the population of in- terest was patients who underwent primary hip and knee arthro- plasty. The interventions and comparators included all methods </w:t>
      </w:r>
      <w:r>
        <w:rPr>
          <w:spacing w:val="-7"/>
          <w:w w:val="105"/>
        </w:rPr>
        <w:t>of </w:t>
      </w:r>
      <w:r>
        <w:rPr>
          <w:w w:val="105"/>
        </w:rPr>
        <w:t>wound closure (eg, traditional sutures, antimicrobial sutures </w:t>
      </w:r>
      <w:r>
        <w:rPr>
          <w:spacing w:val="-4"/>
          <w:w w:val="105"/>
        </w:rPr>
        <w:t>[ie, </w:t>
      </w:r>
      <w:r>
        <w:rPr>
          <w:w w:val="105"/>
        </w:rPr>
        <w:t>triclosan-coated sutures], barbed sutures, staples, topical skin </w:t>
      </w:r>
      <w:r>
        <w:rPr>
          <w:spacing w:val="-4"/>
          <w:w w:val="105"/>
        </w:rPr>
        <w:t>ad- </w:t>
      </w:r>
      <w:r>
        <w:rPr>
          <w:w w:val="105"/>
        </w:rPr>
        <w:t>hesives [TSA]), used in both super</w:t>
      </w:r>
      <w:r>
        <w:rPr>
          <w:rFonts w:ascii="Times New Roman" w:hAnsi="Times New Roman"/>
          <w:w w:val="105"/>
        </w:rPr>
        <w:t>ﬁ</w:t>
      </w:r>
      <w:r>
        <w:rPr>
          <w:w w:val="105"/>
        </w:rPr>
        <w:t>cial and deep tissue layers, </w:t>
      </w:r>
      <w:r>
        <w:rPr>
          <w:spacing w:val="-4"/>
          <w:w w:val="105"/>
        </w:rPr>
        <w:t>and </w:t>
      </w:r>
      <w:r>
        <w:rPr>
          <w:w w:val="105"/>
        </w:rPr>
        <w:t>dressings if reported. Outcomes included were super</w:t>
      </w:r>
      <w:r>
        <w:rPr>
          <w:rFonts w:ascii="Times New Roman" w:hAnsi="Times New Roman"/>
          <w:w w:val="105"/>
        </w:rPr>
        <w:t>ﬁ</w:t>
      </w:r>
      <w:r>
        <w:rPr>
          <w:w w:val="105"/>
        </w:rPr>
        <w:t>cial and </w:t>
      </w:r>
      <w:r>
        <w:rPr>
          <w:spacing w:val="-3"/>
          <w:w w:val="105"/>
        </w:rPr>
        <w:t>deep </w:t>
      </w:r>
      <w:r>
        <w:rPr>
          <w:w w:val="105"/>
        </w:rPr>
        <w:t>SSI (primary; studies were required to report on SSI for inclusion) and wound dehiscence and drainage (secondary, studies did </w:t>
      </w:r>
      <w:r>
        <w:rPr>
          <w:spacing w:val="-6"/>
          <w:w w:val="105"/>
        </w:rPr>
        <w:t>not </w:t>
      </w:r>
      <w:r>
        <w:rPr>
          <w:w w:val="105"/>
        </w:rPr>
        <w:t>have to report on these outcomes for inclusion). Study designs included were randomized controlled trials </w:t>
      </w:r>
      <w:r>
        <w:rPr>
          <w:spacing w:val="-2"/>
          <w:w w:val="105"/>
        </w:rPr>
        <w:t>(RCTs) </w:t>
      </w:r>
      <w:r>
        <w:rPr>
          <w:w w:val="105"/>
        </w:rPr>
        <w:t>and prospective or retrospective observational studies (both comparative </w:t>
      </w:r>
      <w:r>
        <w:rPr>
          <w:spacing w:val="-5"/>
          <w:w w:val="105"/>
        </w:rPr>
        <w:t>and </w:t>
      </w:r>
      <w:r>
        <w:rPr>
          <w:w w:val="105"/>
        </w:rPr>
        <w:t>noncomparative). The secondary focus was to include studies </w:t>
      </w:r>
      <w:r>
        <w:rPr>
          <w:spacing w:val="-3"/>
          <w:w w:val="105"/>
        </w:rPr>
        <w:t>that </w:t>
      </w:r>
      <w:r>
        <w:rPr>
          <w:w w:val="105"/>
        </w:rPr>
        <w:t>reported on SSI and reported/compared dressing use as well </w:t>
      </w:r>
      <w:r>
        <w:rPr>
          <w:spacing w:val="-6"/>
          <w:w w:val="105"/>
        </w:rPr>
        <w:t>as </w:t>
      </w:r>
      <w:r>
        <w:rPr>
          <w:w w:val="105"/>
        </w:rPr>
        <w:t>wound closure methods. Studies were excluded based on </w:t>
      </w:r>
      <w:r>
        <w:rPr>
          <w:spacing w:val="-4"/>
          <w:w w:val="105"/>
        </w:rPr>
        <w:t>the </w:t>
      </w:r>
      <w:r>
        <w:rPr>
          <w:w w:val="105"/>
        </w:rPr>
        <w:t>following criteria: study designs such as white papers, commen- taries, narrative reviews, models; non-English studies including nonhuman, phantom, or cadaver subjects; and studies on </w:t>
      </w:r>
      <w:r>
        <w:rPr>
          <w:spacing w:val="-4"/>
          <w:w w:val="105"/>
        </w:rPr>
        <w:t>fewer </w:t>
      </w:r>
      <w:r>
        <w:rPr>
          <w:w w:val="105"/>
        </w:rPr>
        <w:t>than 50 total patients.</w:t>
      </w:r>
    </w:p>
    <w:p>
      <w:pPr>
        <w:pStyle w:val="BodyText"/>
        <w:spacing w:line="252" w:lineRule="auto" w:before="9"/>
        <w:ind w:left="310" w:firstLine="239"/>
        <w:jc w:val="both"/>
      </w:pPr>
      <w:r>
        <w:rPr>
          <w:w w:val="105"/>
        </w:rPr>
        <w:t>A data extraction form was developed in Microsoft Excel, and a single reviewer extracted data for each study; data were checked for accuracy and completeness by a second reviewer with </w:t>
      </w:r>
      <w:r>
        <w:rPr>
          <w:spacing w:val="-3"/>
          <w:w w:val="105"/>
        </w:rPr>
        <w:t>dis- </w:t>
      </w:r>
      <w:r>
        <w:rPr>
          <w:w w:val="105"/>
        </w:rPr>
        <w:t>crepancies resolved by consensus. The following information </w:t>
      </w:r>
      <w:r>
        <w:rPr>
          <w:spacing w:val="-6"/>
          <w:w w:val="105"/>
        </w:rPr>
        <w:t>was </w:t>
      </w:r>
      <w:r>
        <w:rPr>
          <w:w w:val="105"/>
        </w:rPr>
        <w:t>extracted: geographic location, study design, closure methods, </w:t>
      </w:r>
      <w:r>
        <w:rPr>
          <w:spacing w:val="-4"/>
          <w:w w:val="105"/>
        </w:rPr>
        <w:t>and </w:t>
      </w:r>
      <w:r>
        <w:rPr>
          <w:w w:val="105"/>
        </w:rPr>
        <w:t>dressing types for each study arm by tissue layer (eg, joint</w:t>
      </w:r>
      <w:r>
        <w:rPr>
          <w:spacing w:val="-20"/>
          <w:w w:val="105"/>
        </w:rPr>
        <w:t> </w:t>
      </w:r>
      <w:r>
        <w:rPr>
          <w:w w:val="105"/>
        </w:rPr>
        <w:t>capsule/ fascia, subcutaneous, subcuticular, super</w:t>
      </w:r>
      <w:r>
        <w:rPr>
          <w:rFonts w:ascii="Times New Roman" w:hAnsi="Times New Roman"/>
          <w:w w:val="105"/>
        </w:rPr>
        <w:t>ﬁ</w:t>
      </w:r>
      <w:r>
        <w:rPr>
          <w:w w:val="105"/>
        </w:rPr>
        <w:t>cial skin layer), </w:t>
      </w:r>
      <w:r>
        <w:rPr>
          <w:spacing w:val="-3"/>
          <w:w w:val="105"/>
        </w:rPr>
        <w:t>surgery </w:t>
      </w:r>
      <w:r>
        <w:rPr>
          <w:w w:val="105"/>
        </w:rPr>
        <w:t>type, outcome de</w:t>
      </w:r>
      <w:r>
        <w:rPr>
          <w:rFonts w:ascii="Times New Roman" w:hAnsi="Times New Roman"/>
          <w:w w:val="105"/>
        </w:rPr>
        <w:t>ﬁ</w:t>
      </w:r>
      <w:r>
        <w:rPr>
          <w:w w:val="105"/>
        </w:rPr>
        <w:t>nitions, sample size, deep infections and </w:t>
      </w:r>
      <w:r>
        <w:rPr>
          <w:spacing w:val="-4"/>
          <w:w w:val="105"/>
        </w:rPr>
        <w:t>PJIs, </w:t>
      </w:r>
      <w:r>
        <w:rPr>
          <w:w w:val="105"/>
        </w:rPr>
        <w:t>super</w:t>
      </w:r>
      <w:r>
        <w:rPr>
          <w:rFonts w:ascii="Times New Roman" w:hAnsi="Times New Roman"/>
          <w:w w:val="105"/>
        </w:rPr>
        <w:t>ﬁ</w:t>
      </w:r>
      <w:r>
        <w:rPr>
          <w:w w:val="105"/>
        </w:rPr>
        <w:t>cial SSIs, prolonged wound drainage, and </w:t>
      </w:r>
      <w:r>
        <w:rPr>
          <w:spacing w:val="-4"/>
          <w:w w:val="105"/>
        </w:rPr>
        <w:t>wound </w:t>
      </w:r>
      <w:r>
        <w:rPr>
          <w:w w:val="105"/>
        </w:rPr>
        <w:t>dehiscence.</w:t>
      </w:r>
    </w:p>
    <w:p>
      <w:pPr>
        <w:pStyle w:val="BodyText"/>
        <w:spacing w:line="252" w:lineRule="auto" w:before="4"/>
        <w:ind w:left="310" w:firstLine="239"/>
        <w:jc w:val="both"/>
      </w:pPr>
      <w:r>
        <w:rPr>
          <w:w w:val="105"/>
        </w:rPr>
        <w:t>Key outcomes evaluated in this study include a qualitative summary of the following: methods of wound closure across each tissue layer, super</w:t>
      </w:r>
      <w:r>
        <w:rPr>
          <w:rFonts w:ascii="Times New Roman" w:hAnsi="Times New Roman"/>
          <w:w w:val="105"/>
        </w:rPr>
        <w:t>ﬁ</w:t>
      </w:r>
      <w:r>
        <w:rPr>
          <w:w w:val="105"/>
        </w:rPr>
        <w:t>cial and deep SSI rates, and rates of wound drainage and dehiscence. Analyzing </w:t>
      </w:r>
      <w:r>
        <w:rPr>
          <w:rFonts w:ascii="Times New Roman" w:hAnsi="Times New Roman"/>
          <w:w w:val="105"/>
        </w:rPr>
        <w:t>ﬁ</w:t>
      </w:r>
      <w:r>
        <w:rPr>
          <w:w w:val="105"/>
        </w:rPr>
        <w:t>ndings using a meta-analysis was explored; however, several challenges made such an approach impractical including large heterogeneity in level of details re- ported for wound closure methods, outcome de</w:t>
      </w:r>
      <w:r>
        <w:rPr>
          <w:rFonts w:ascii="Times New Roman" w:hAnsi="Times New Roman"/>
          <w:w w:val="105"/>
        </w:rPr>
        <w:t>ﬁ</w:t>
      </w:r>
      <w:r>
        <w:rPr>
          <w:w w:val="105"/>
        </w:rPr>
        <w:t>nitions, and study populations. Thus, this focused literature review systematically presents wound closure methods by layer and the associated rates of super</w:t>
      </w:r>
      <w:r>
        <w:rPr>
          <w:rFonts w:ascii="Times New Roman" w:hAnsi="Times New Roman"/>
          <w:w w:val="105"/>
        </w:rPr>
        <w:t>ﬁ</w:t>
      </w:r>
      <w:r>
        <w:rPr>
          <w:w w:val="105"/>
        </w:rPr>
        <w:t>cial and deep SSI, wound dehiscence, and prolonged drainage.</w:t>
      </w:r>
    </w:p>
    <w:p>
      <w:pPr>
        <w:pStyle w:val="BodyText"/>
        <w:spacing w:line="252" w:lineRule="auto" w:before="4"/>
        <w:ind w:left="310" w:firstLine="239"/>
        <w:jc w:val="right"/>
      </w:pPr>
      <w:r>
        <w:rPr/>
        <w:pict>
          <v:shape style="position:absolute;margin-left:42.519699pt;margin-top:64.504692pt;width:6.4pt;height:13.8pt;mso-position-horizontal-relative:page;mso-position-vertical-relative:paragraph;z-index:-265012224" type="#_x0000_t202" filled="false" stroked="false">
            <v:textbox inset="0,0,0,0">
              <w:txbxContent>
                <w:p>
                  <w:pPr>
                    <w:pStyle w:val="BodyText"/>
                    <w:spacing w:line="158" w:lineRule="exact"/>
                    <w:rPr>
                      <w:rFonts w:ascii="Century Gothic"/>
                    </w:rPr>
                  </w:pPr>
                  <w:r>
                    <w:rPr>
                      <w:rFonts w:ascii="Century Gothic"/>
                      <w:w w:val="70"/>
                    </w:rPr>
                    <w:t>:::  </w:t>
                  </w:r>
                </w:p>
              </w:txbxContent>
            </v:textbox>
            <w10:wrap type="none"/>
          </v:shape>
        </w:pict>
      </w:r>
      <w:r>
        <w:rPr>
          <w:w w:val="105"/>
        </w:rPr>
        <w:t>Study quality was assessed according to their design. Two re-</w:t>
      </w:r>
      <w:r>
        <w:rPr>
          <w:w w:val="114"/>
        </w:rPr>
        <w:t> </w:t>
      </w:r>
      <w:r>
        <w:rPr>
          <w:w w:val="105"/>
        </w:rPr>
        <w:t>viewers independently assessed study quality using the Cochrane</w:t>
      </w:r>
      <w:r>
        <w:rPr>
          <w:w w:val="112"/>
        </w:rPr>
        <w:t> </w:t>
      </w:r>
      <w:r>
        <w:rPr>
          <w:w w:val="105"/>
        </w:rPr>
        <w:t>risk of bias tool for RCTs [</w:t>
      </w:r>
      <w:hyperlink w:history="true" w:anchor="_bookmark24">
        <w:r>
          <w:rPr>
            <w:color w:val="007FAC"/>
            <w:w w:val="105"/>
          </w:rPr>
          <w:t>13</w:t>
        </w:r>
      </w:hyperlink>
      <w:r>
        <w:rPr>
          <w:w w:val="105"/>
        </w:rPr>
        <w:t>] or the Newcastle-Ottawa Quality</w:t>
      </w:r>
      <w:r>
        <w:rPr>
          <w:w w:val="101"/>
        </w:rPr>
        <w:t> </w:t>
      </w:r>
      <w:r>
        <w:rPr>
          <w:w w:val="105"/>
        </w:rPr>
        <w:t>Assessment Scale (NOS) for nonrandomized comparative observa-</w:t>
      </w:r>
      <w:r>
        <w:rPr>
          <w:w w:val="113"/>
        </w:rPr>
        <w:t> </w:t>
      </w:r>
      <w:r>
        <w:rPr>
          <w:w w:val="105"/>
        </w:rPr>
        <w:t>tional studies [</w:t>
      </w:r>
      <w:hyperlink w:history="true" w:anchor="_bookmark25">
        <w:r>
          <w:rPr>
            <w:color w:val="007FAC"/>
            <w:w w:val="105"/>
          </w:rPr>
          <w:t>14</w:t>
        </w:r>
      </w:hyperlink>
      <w:r>
        <w:rPr>
          <w:w w:val="105"/>
        </w:rPr>
        <w:t>]. For each nonrandomized study, overall quality</w:t>
      </w:r>
      <w:r>
        <w:rPr>
          <w:w w:val="104"/>
        </w:rPr>
        <w:t> </w:t>
      </w:r>
      <w:r>
        <w:rPr>
          <w:w w:val="105"/>
        </w:rPr>
        <w:t>was determined based on the total scores on the NOS as follows:</w:t>
      </w:r>
      <w:r>
        <w:rPr>
          <w:w w:val="119"/>
        </w:rPr>
        <w:t> </w:t>
      </w:r>
      <w:r>
        <w:rPr>
          <w:w w:val="105"/>
        </w:rPr>
        <w:t>5, low quality; 6-7, moderate quality; 8-9, high quality [</w:t>
      </w:r>
      <w:hyperlink w:history="true" w:anchor="_bookmark25">
        <w:r>
          <w:rPr>
            <w:color w:val="007FAC"/>
            <w:w w:val="105"/>
          </w:rPr>
          <w:t>14</w:t>
        </w:r>
      </w:hyperlink>
      <w:r>
        <w:rPr>
          <w:w w:val="105"/>
        </w:rPr>
        <w:t>]. For</w:t>
      </w:r>
      <w:r>
        <w:rPr>
          <w:w w:val="101"/>
        </w:rPr>
        <w:t> </w:t>
      </w:r>
      <w:r>
        <w:rPr>
          <w:w w:val="105"/>
        </w:rPr>
        <w:t>each RCT, the risk of bias for each domain (sequence generation,</w:t>
      </w:r>
      <w:r>
        <w:rPr>
          <w:w w:val="106"/>
        </w:rPr>
        <w:t> </w:t>
      </w:r>
      <w:r>
        <w:rPr>
          <w:w w:val="105"/>
        </w:rPr>
        <w:t>allocation concealment, blinding, incomplete outcome data, selec-</w:t>
      </w:r>
      <w:r>
        <w:rPr>
          <w:w w:val="111"/>
        </w:rPr>
        <w:t> </w:t>
      </w:r>
      <w:r>
        <w:rPr>
          <w:w w:val="105"/>
        </w:rPr>
        <w:t>tive outcome reporting, and other sources of bias) and across all</w:t>
      </w:r>
      <w:r>
        <w:rPr>
          <w:w w:val="104"/>
        </w:rPr>
        <w:t> </w:t>
      </w:r>
      <w:r>
        <w:rPr>
          <w:w w:val="105"/>
        </w:rPr>
        <w:t>domains was assigned as low, unclear, or high according to the</w:t>
      </w:r>
      <w:r>
        <w:rPr>
          <w:w w:val="111"/>
        </w:rPr>
        <w:t> </w:t>
      </w:r>
      <w:r>
        <w:rPr>
          <w:w w:val="105"/>
        </w:rPr>
        <w:t>strategy devised by the Cochrane Collaboration as described by</w:t>
      </w:r>
      <w:r>
        <w:rPr>
          <w:w w:val="103"/>
        </w:rPr>
        <w:t> </w:t>
      </w:r>
      <w:r>
        <w:rPr>
          <w:w w:val="105"/>
        </w:rPr>
        <w:t>Higgins et al. [</w:t>
      </w:r>
      <w:hyperlink w:history="true" w:anchor="_bookmark24">
        <w:r>
          <w:rPr>
            <w:color w:val="007FAC"/>
            <w:w w:val="105"/>
          </w:rPr>
          <w:t>13</w:t>
        </w:r>
      </w:hyperlink>
      <w:r>
        <w:rPr>
          <w:w w:val="105"/>
        </w:rPr>
        <w:t>]. Differences in study rating between reviewers</w:t>
      </w:r>
      <w:r>
        <w:rPr>
          <w:w w:val="108"/>
        </w:rPr>
        <w:t> </w:t>
      </w:r>
      <w:r>
        <w:rPr>
          <w:w w:val="105"/>
        </w:rPr>
        <w:t>were resolved through consensus. Studies were not excluded based</w:t>
      </w:r>
      <w:r>
        <w:rPr>
          <w:w w:val="106"/>
        </w:rPr>
        <w:t> </w:t>
      </w:r>
      <w:r>
        <w:rPr>
          <w:w w:val="105"/>
        </w:rPr>
        <w:t>on methodological quality. Risk of bias for noncomparative studies</w:t>
      </w:r>
    </w:p>
    <w:p>
      <w:pPr>
        <w:pStyle w:val="BodyText"/>
        <w:spacing w:before="6"/>
        <w:ind w:left="310"/>
      </w:pPr>
      <w:r>
        <w:rPr>
          <w:w w:val="110"/>
        </w:rPr>
        <w:t>[</w:t>
      </w:r>
      <w:hyperlink w:history="true" w:anchor="_bookmark26">
        <w:r>
          <w:rPr>
            <w:color w:val="007FAC"/>
            <w:w w:val="110"/>
          </w:rPr>
          <w:t>15</w:t>
        </w:r>
      </w:hyperlink>
      <w:r>
        <w:rPr>
          <w:rFonts w:ascii="Lucida Sans"/>
          <w:color w:val="007FAC"/>
          <w:w w:val="110"/>
        </w:rPr>
        <w:t>e</w:t>
      </w:r>
      <w:hyperlink w:history="true" w:anchor="_bookmark26">
        <w:r>
          <w:rPr>
            <w:color w:val="007FAC"/>
            <w:w w:val="110"/>
          </w:rPr>
          <w:t>18</w:t>
        </w:r>
      </w:hyperlink>
      <w:r>
        <w:rPr>
          <w:w w:val="110"/>
        </w:rPr>
        <w:t>] was not evaluated.</w:t>
      </w:r>
    </w:p>
    <w:p>
      <w:pPr>
        <w:pStyle w:val="BodyText"/>
        <w:spacing w:before="9"/>
        <w:rPr>
          <w:sz w:val="17"/>
        </w:rPr>
      </w:pPr>
    </w:p>
    <w:p>
      <w:pPr>
        <w:pStyle w:val="BodyText"/>
        <w:ind w:left="310"/>
      </w:pPr>
      <w:r>
        <w:rPr>
          <w:w w:val="110"/>
        </w:rPr>
        <w:t>Results</w:t>
      </w:r>
    </w:p>
    <w:p>
      <w:pPr>
        <w:pStyle w:val="BodyText"/>
        <w:spacing w:before="8"/>
        <w:rPr>
          <w:sz w:val="17"/>
        </w:rPr>
      </w:pPr>
    </w:p>
    <w:p>
      <w:pPr>
        <w:pStyle w:val="BodyText"/>
        <w:spacing w:line="252" w:lineRule="auto"/>
        <w:ind w:left="310" w:firstLine="239"/>
        <w:jc w:val="right"/>
      </w:pPr>
      <w:r>
        <w:rPr>
          <w:w w:val="105"/>
        </w:rPr>
        <w:t>From the literature search, 956 potentially relevant records were</w:t>
      </w:r>
      <w:r>
        <w:rPr>
          <w:w w:val="112"/>
        </w:rPr>
        <w:t> </w:t>
      </w:r>
      <w:r>
        <w:rPr>
          <w:w w:val="105"/>
        </w:rPr>
        <w:t>identi</w:t>
      </w:r>
      <w:r>
        <w:rPr>
          <w:rFonts w:ascii="Times New Roman" w:hAnsi="Times New Roman"/>
          <w:w w:val="105"/>
        </w:rPr>
        <w:t>ﬁ</w:t>
      </w:r>
      <w:r>
        <w:rPr>
          <w:w w:val="105"/>
        </w:rPr>
        <w:t>ed, of which 888 were excluded during title and abstract</w:t>
      </w:r>
    </w:p>
    <w:p>
      <w:pPr>
        <w:pStyle w:val="BodyText"/>
        <w:spacing w:before="7"/>
      </w:pPr>
      <w:r>
        <w:rPr/>
        <w:br w:type="column"/>
      </w:r>
      <w:r>
        <w:rPr/>
      </w:r>
    </w:p>
    <w:p>
      <w:pPr>
        <w:pStyle w:val="BodyText"/>
        <w:spacing w:line="252" w:lineRule="auto" w:before="1"/>
        <w:ind w:left="310" w:right="110"/>
        <w:jc w:val="both"/>
      </w:pPr>
      <w:r>
        <w:rPr>
          <w:w w:val="105"/>
        </w:rPr>
        <w:t>screening. Of the 68 full-text articles assessed for inclusion, 40 publications were included in the qualitative systematic review (</w:t>
      </w:r>
      <w:hyperlink w:history="true" w:anchor="_bookmark3">
        <w:r>
          <w:rPr>
            <w:color w:val="007FAC"/>
            <w:w w:val="105"/>
          </w:rPr>
          <w:t>Fig. 1</w:t>
        </w:r>
      </w:hyperlink>
      <w:r>
        <w:rPr>
          <w:w w:val="105"/>
        </w:rPr>
        <w:t>). A summary of included study characteristics is provided in </w:t>
      </w:r>
      <w:hyperlink w:history="true" w:anchor="_bookmark4">
        <w:r>
          <w:rPr>
            <w:color w:val="007FAC"/>
            <w:w w:val="105"/>
          </w:rPr>
          <w:t>Table</w:t>
        </w:r>
        <w:r>
          <w:rPr>
            <w:color w:val="007FAC"/>
            <w:spacing w:val="-6"/>
            <w:w w:val="105"/>
          </w:rPr>
          <w:t> </w:t>
        </w:r>
        <w:r>
          <w:rPr>
            <w:color w:val="007FAC"/>
            <w:spacing w:val="-7"/>
            <w:w w:val="105"/>
          </w:rPr>
          <w:t>1</w:t>
        </w:r>
      </w:hyperlink>
      <w:r>
        <w:rPr>
          <w:spacing w:val="-7"/>
          <w:w w:val="105"/>
        </w:rPr>
        <w:t>.</w:t>
      </w:r>
      <w:r>
        <w:rPr>
          <w:spacing w:val="-5"/>
          <w:w w:val="105"/>
        </w:rPr>
        <w:t> </w:t>
      </w:r>
      <w:r>
        <w:rPr>
          <w:w w:val="105"/>
        </w:rPr>
        <w:t>The</w:t>
      </w:r>
      <w:r>
        <w:rPr>
          <w:spacing w:val="-5"/>
          <w:w w:val="105"/>
        </w:rPr>
        <w:t> </w:t>
      </w:r>
      <w:r>
        <w:rPr>
          <w:w w:val="105"/>
        </w:rPr>
        <w:t>risk</w:t>
      </w:r>
      <w:r>
        <w:rPr>
          <w:spacing w:val="-6"/>
          <w:w w:val="105"/>
        </w:rPr>
        <w:t> </w:t>
      </w:r>
      <w:r>
        <w:rPr>
          <w:w w:val="105"/>
        </w:rPr>
        <w:t>of</w:t>
      </w:r>
      <w:r>
        <w:rPr>
          <w:spacing w:val="-5"/>
          <w:w w:val="105"/>
        </w:rPr>
        <w:t> </w:t>
      </w:r>
      <w:r>
        <w:rPr>
          <w:w w:val="105"/>
        </w:rPr>
        <w:t>bias</w:t>
      </w:r>
      <w:r>
        <w:rPr>
          <w:spacing w:val="-6"/>
          <w:w w:val="105"/>
        </w:rPr>
        <w:t> </w:t>
      </w:r>
      <w:r>
        <w:rPr>
          <w:w w:val="105"/>
        </w:rPr>
        <w:t>for</w:t>
      </w:r>
      <w:r>
        <w:rPr>
          <w:spacing w:val="-5"/>
          <w:w w:val="105"/>
        </w:rPr>
        <w:t> </w:t>
      </w:r>
      <w:r>
        <w:rPr>
          <w:w w:val="105"/>
        </w:rPr>
        <w:t>the</w:t>
      </w:r>
      <w:r>
        <w:rPr>
          <w:spacing w:val="-6"/>
          <w:w w:val="105"/>
        </w:rPr>
        <w:t> </w:t>
      </w:r>
      <w:r>
        <w:rPr>
          <w:w w:val="105"/>
        </w:rPr>
        <w:t>22</w:t>
      </w:r>
      <w:r>
        <w:rPr>
          <w:spacing w:val="-5"/>
          <w:w w:val="105"/>
        </w:rPr>
        <w:t> </w:t>
      </w:r>
      <w:r>
        <w:rPr>
          <w:w w:val="105"/>
        </w:rPr>
        <w:t>included</w:t>
      </w:r>
      <w:r>
        <w:rPr>
          <w:spacing w:val="-5"/>
          <w:w w:val="105"/>
        </w:rPr>
        <w:t> </w:t>
      </w:r>
      <w:r>
        <w:rPr>
          <w:spacing w:val="-3"/>
          <w:w w:val="105"/>
        </w:rPr>
        <w:t>RCTs</w:t>
      </w:r>
      <w:r>
        <w:rPr>
          <w:spacing w:val="-5"/>
          <w:w w:val="105"/>
        </w:rPr>
        <w:t> </w:t>
      </w:r>
      <w:r>
        <w:rPr>
          <w:w w:val="105"/>
        </w:rPr>
        <w:t>was</w:t>
      </w:r>
      <w:r>
        <w:rPr>
          <w:spacing w:val="-5"/>
          <w:w w:val="105"/>
        </w:rPr>
        <w:t> </w:t>
      </w:r>
      <w:r>
        <w:rPr>
          <w:w w:val="105"/>
        </w:rPr>
        <w:t>assessed</w:t>
      </w:r>
      <w:r>
        <w:rPr>
          <w:spacing w:val="-4"/>
          <w:w w:val="105"/>
        </w:rPr>
        <w:t> </w:t>
      </w:r>
      <w:r>
        <w:rPr>
          <w:w w:val="105"/>
        </w:rPr>
        <w:t>using the Cochrane risk of bias tool </w:t>
      </w:r>
      <w:r>
        <w:rPr>
          <w:spacing w:val="-3"/>
          <w:w w:val="105"/>
        </w:rPr>
        <w:t>[</w:t>
      </w:r>
      <w:hyperlink w:history="true" w:anchor="_bookmark24">
        <w:r>
          <w:rPr>
            <w:color w:val="007FAC"/>
            <w:spacing w:val="-3"/>
            <w:w w:val="105"/>
          </w:rPr>
          <w:t>13</w:t>
        </w:r>
      </w:hyperlink>
      <w:r>
        <w:rPr>
          <w:spacing w:val="-3"/>
          <w:w w:val="105"/>
        </w:rPr>
        <w:t>].  </w:t>
      </w:r>
      <w:r>
        <w:rPr>
          <w:w w:val="105"/>
        </w:rPr>
        <w:t>All studies (n  22) had either  low or unclear risk of bias for random sequence generation and allocation concealment (</w:t>
      </w:r>
      <w:hyperlink w:history="true" w:anchor="_bookmark75">
        <w:r>
          <w:rPr>
            <w:color w:val="007FAC"/>
            <w:w w:val="105"/>
          </w:rPr>
          <w:t>Supplement Table 1</w:t>
        </w:r>
      </w:hyperlink>
      <w:r>
        <w:rPr>
          <w:w w:val="105"/>
        </w:rPr>
        <w:t>). Thirteen </w:t>
      </w:r>
      <w:r>
        <w:rPr>
          <w:spacing w:val="-4"/>
          <w:w w:val="105"/>
        </w:rPr>
        <w:t>RCTs </w:t>
      </w:r>
      <w:r>
        <w:rPr>
          <w:w w:val="105"/>
        </w:rPr>
        <w:t>had high</w:t>
      </w:r>
      <w:r>
        <w:rPr>
          <w:spacing w:val="-6"/>
          <w:w w:val="105"/>
        </w:rPr>
        <w:t> </w:t>
      </w:r>
      <w:r>
        <w:rPr>
          <w:w w:val="105"/>
        </w:rPr>
        <w:t>risk</w:t>
      </w:r>
      <w:r>
        <w:rPr>
          <w:spacing w:val="-5"/>
          <w:w w:val="105"/>
        </w:rPr>
        <w:t> </w:t>
      </w:r>
      <w:r>
        <w:rPr>
          <w:w w:val="105"/>
        </w:rPr>
        <w:t>of</w:t>
      </w:r>
      <w:r>
        <w:rPr>
          <w:spacing w:val="-2"/>
          <w:w w:val="105"/>
        </w:rPr>
        <w:t> </w:t>
      </w:r>
      <w:r>
        <w:rPr>
          <w:w w:val="105"/>
        </w:rPr>
        <w:t>bias</w:t>
      </w:r>
      <w:r>
        <w:rPr>
          <w:spacing w:val="-5"/>
          <w:w w:val="105"/>
        </w:rPr>
        <w:t> </w:t>
      </w:r>
      <w:r>
        <w:rPr>
          <w:w w:val="105"/>
        </w:rPr>
        <w:t>for</w:t>
      </w:r>
      <w:r>
        <w:rPr>
          <w:spacing w:val="-4"/>
          <w:w w:val="105"/>
        </w:rPr>
        <w:t> </w:t>
      </w:r>
      <w:r>
        <w:rPr>
          <w:w w:val="105"/>
        </w:rPr>
        <w:t>both</w:t>
      </w:r>
      <w:r>
        <w:rPr>
          <w:spacing w:val="-4"/>
          <w:w w:val="105"/>
        </w:rPr>
        <w:t> </w:t>
      </w:r>
      <w:r>
        <w:rPr>
          <w:w w:val="105"/>
        </w:rPr>
        <w:t>lack</w:t>
      </w:r>
      <w:r>
        <w:rPr>
          <w:spacing w:val="-6"/>
          <w:w w:val="105"/>
        </w:rPr>
        <w:t> </w:t>
      </w:r>
      <w:r>
        <w:rPr>
          <w:w w:val="105"/>
        </w:rPr>
        <w:t>of</w:t>
      </w:r>
      <w:r>
        <w:rPr>
          <w:spacing w:val="-5"/>
          <w:w w:val="105"/>
        </w:rPr>
        <w:t> </w:t>
      </w:r>
      <w:r>
        <w:rPr>
          <w:w w:val="105"/>
        </w:rPr>
        <w:t>blinding</w:t>
      </w:r>
      <w:r>
        <w:rPr>
          <w:spacing w:val="-4"/>
          <w:w w:val="105"/>
        </w:rPr>
        <w:t> </w:t>
      </w:r>
      <w:r>
        <w:rPr>
          <w:w w:val="105"/>
        </w:rPr>
        <w:t>participants</w:t>
      </w:r>
      <w:r>
        <w:rPr>
          <w:spacing w:val="-4"/>
          <w:w w:val="105"/>
        </w:rPr>
        <w:t> </w:t>
      </w:r>
      <w:r>
        <w:rPr>
          <w:w w:val="105"/>
        </w:rPr>
        <w:t>and</w:t>
      </w:r>
      <w:r>
        <w:rPr>
          <w:spacing w:val="-5"/>
          <w:w w:val="105"/>
        </w:rPr>
        <w:t> </w:t>
      </w:r>
      <w:r>
        <w:rPr>
          <w:w w:val="105"/>
        </w:rPr>
        <w:t>personnel or outcome assessors </w:t>
      </w:r>
      <w:r>
        <w:rPr>
          <w:spacing w:val="-3"/>
          <w:w w:val="105"/>
        </w:rPr>
        <w:t>[</w:t>
      </w:r>
      <w:hyperlink w:history="true" w:anchor="_bookmark30">
        <w:r>
          <w:rPr>
            <w:color w:val="007FAC"/>
            <w:spacing w:val="-3"/>
            <w:w w:val="105"/>
          </w:rPr>
          <w:t>19</w:t>
        </w:r>
      </w:hyperlink>
      <w:r>
        <w:rPr>
          <w:rFonts w:ascii="Lucida Sans"/>
          <w:color w:val="007FAC"/>
          <w:spacing w:val="-3"/>
          <w:w w:val="105"/>
        </w:rPr>
        <w:t>e</w:t>
      </w:r>
      <w:hyperlink w:history="true" w:anchor="_bookmark30">
        <w:r>
          <w:rPr>
            <w:color w:val="007FAC"/>
            <w:spacing w:val="-3"/>
            <w:w w:val="105"/>
          </w:rPr>
          <w:t>31</w:t>
        </w:r>
      </w:hyperlink>
      <w:r>
        <w:rPr>
          <w:spacing w:val="-3"/>
          <w:w w:val="105"/>
        </w:rPr>
        <w:t>], </w:t>
      </w:r>
      <w:r>
        <w:rPr>
          <w:w w:val="105"/>
        </w:rPr>
        <w:t>and the other 9 had low or unclear risk of bias [</w:t>
      </w:r>
      <w:hyperlink w:history="true" w:anchor="_bookmark43">
        <w:r>
          <w:rPr>
            <w:color w:val="007FAC"/>
            <w:w w:val="105"/>
          </w:rPr>
          <w:t>32</w:t>
        </w:r>
      </w:hyperlink>
      <w:r>
        <w:rPr>
          <w:rFonts w:ascii="Lucida Sans"/>
          <w:color w:val="007FAC"/>
          <w:w w:val="105"/>
        </w:rPr>
        <w:t>e</w:t>
      </w:r>
      <w:hyperlink w:history="true" w:anchor="_bookmark43">
        <w:r>
          <w:rPr>
            <w:color w:val="007FAC"/>
            <w:w w:val="105"/>
          </w:rPr>
          <w:t>40</w:t>
        </w:r>
      </w:hyperlink>
      <w:r>
        <w:rPr>
          <w:w w:val="105"/>
        </w:rPr>
        <w:t>]. Two studies had high risk of bias from incomplete outcome data [</w:t>
      </w:r>
      <w:hyperlink w:history="true" w:anchor="_bookmark37">
        <w:r>
          <w:rPr>
            <w:color w:val="007FAC"/>
            <w:w w:val="105"/>
          </w:rPr>
          <w:t>26</w:t>
        </w:r>
      </w:hyperlink>
      <w:r>
        <w:rPr>
          <w:w w:val="105"/>
        </w:rPr>
        <w:t>,</w:t>
      </w:r>
      <w:hyperlink w:history="true" w:anchor="_bookmark39">
        <w:r>
          <w:rPr>
            <w:color w:val="007FAC"/>
            <w:w w:val="105"/>
          </w:rPr>
          <w:t>28</w:t>
        </w:r>
      </w:hyperlink>
      <w:r>
        <w:rPr>
          <w:w w:val="105"/>
        </w:rPr>
        <w:t>], and 7 studies had high risk of bias from other sources [</w:t>
      </w:r>
      <w:hyperlink w:history="true" w:anchor="_bookmark30">
        <w:r>
          <w:rPr>
            <w:color w:val="007FAC"/>
            <w:w w:val="105"/>
          </w:rPr>
          <w:t>19</w:t>
        </w:r>
      </w:hyperlink>
      <w:r>
        <w:rPr>
          <w:rFonts w:ascii="Lucida Sans"/>
          <w:color w:val="007FAC"/>
          <w:w w:val="105"/>
        </w:rPr>
        <w:t>e</w:t>
      </w:r>
      <w:hyperlink w:history="true" w:anchor="_bookmark30">
        <w:r>
          <w:rPr>
            <w:color w:val="007FAC"/>
            <w:w w:val="105"/>
          </w:rPr>
          <w:t>21</w:t>
        </w:r>
      </w:hyperlink>
      <w:r>
        <w:rPr>
          <w:w w:val="105"/>
        </w:rPr>
        <w:t>,</w:t>
      </w:r>
      <w:hyperlink w:history="true" w:anchor="_bookmark34">
        <w:r>
          <w:rPr>
            <w:color w:val="007FAC"/>
            <w:w w:val="105"/>
          </w:rPr>
          <w:t>23</w:t>
        </w:r>
      </w:hyperlink>
      <w:r>
        <w:rPr>
          <w:w w:val="105"/>
        </w:rPr>
        <w:t>,</w:t>
      </w:r>
      <w:hyperlink w:history="true" w:anchor="_bookmark35">
        <w:r>
          <w:rPr>
            <w:color w:val="007FAC"/>
            <w:w w:val="105"/>
          </w:rPr>
          <w:t>24</w:t>
        </w:r>
      </w:hyperlink>
      <w:r>
        <w:rPr>
          <w:w w:val="105"/>
        </w:rPr>
        <w:t>,</w:t>
      </w:r>
      <w:hyperlink w:history="true" w:anchor="_bookmark39">
        <w:r>
          <w:rPr>
            <w:color w:val="007FAC"/>
            <w:w w:val="105"/>
          </w:rPr>
          <w:t>28</w:t>
        </w:r>
      </w:hyperlink>
      <w:r>
        <w:rPr>
          <w:w w:val="105"/>
        </w:rPr>
        <w:t>,</w:t>
      </w:r>
      <w:hyperlink w:history="true" w:anchor="_bookmark40">
        <w:r>
          <w:rPr>
            <w:color w:val="007FAC"/>
            <w:w w:val="105"/>
          </w:rPr>
          <w:t>29</w:t>
        </w:r>
      </w:hyperlink>
      <w:r>
        <w:rPr>
          <w:w w:val="105"/>
        </w:rPr>
        <w:t>]. Overall, 3 studies had low risk, [</w:t>
      </w:r>
      <w:hyperlink w:history="true" w:anchor="_bookmark45">
        <w:r>
          <w:rPr>
            <w:color w:val="007FAC"/>
            <w:w w:val="105"/>
          </w:rPr>
          <w:t>34</w:t>
        </w:r>
      </w:hyperlink>
      <w:r>
        <w:rPr>
          <w:w w:val="105"/>
        </w:rPr>
        <w:t>,</w:t>
      </w:r>
      <w:hyperlink w:history="true" w:anchor="_bookmark49">
        <w:r>
          <w:rPr>
            <w:color w:val="007FAC"/>
            <w:w w:val="105"/>
          </w:rPr>
          <w:t>38</w:t>
        </w:r>
      </w:hyperlink>
      <w:r>
        <w:rPr>
          <w:w w:val="105"/>
        </w:rPr>
        <w:t>,</w:t>
      </w:r>
      <w:hyperlink w:history="true" w:anchor="_bookmark51">
        <w:r>
          <w:rPr>
            <w:color w:val="007FAC"/>
            <w:w w:val="105"/>
          </w:rPr>
          <w:t>40</w:t>
        </w:r>
      </w:hyperlink>
      <w:r>
        <w:rPr>
          <w:w w:val="105"/>
        </w:rPr>
        <w:t>] 6 studies had unclear risk, [</w:t>
      </w:r>
      <w:hyperlink w:history="true" w:anchor="_bookmark43">
        <w:r>
          <w:rPr>
            <w:color w:val="007FAC"/>
            <w:w w:val="105"/>
          </w:rPr>
          <w:t>32</w:t>
        </w:r>
      </w:hyperlink>
      <w:r>
        <w:rPr>
          <w:w w:val="105"/>
        </w:rPr>
        <w:t>,</w:t>
      </w:r>
      <w:hyperlink w:history="true" w:anchor="_bookmark44">
        <w:r>
          <w:rPr>
            <w:color w:val="007FAC"/>
            <w:w w:val="105"/>
          </w:rPr>
          <w:t>33</w:t>
        </w:r>
      </w:hyperlink>
      <w:r>
        <w:rPr>
          <w:w w:val="105"/>
        </w:rPr>
        <w:t>,</w:t>
      </w:r>
      <w:hyperlink w:history="true" w:anchor="_bookmark46">
        <w:r>
          <w:rPr>
            <w:color w:val="007FAC"/>
            <w:w w:val="105"/>
          </w:rPr>
          <w:t>35</w:t>
        </w:r>
      </w:hyperlink>
      <w:r>
        <w:rPr>
          <w:rFonts w:ascii="Lucida Sans"/>
          <w:color w:val="007FAC"/>
          <w:w w:val="105"/>
        </w:rPr>
        <w:t>e</w:t>
      </w:r>
      <w:hyperlink w:history="true" w:anchor="_bookmark46">
        <w:r>
          <w:rPr>
            <w:color w:val="007FAC"/>
            <w:w w:val="105"/>
          </w:rPr>
          <w:t>37</w:t>
        </w:r>
      </w:hyperlink>
      <w:r>
        <w:rPr>
          <w:w w:val="105"/>
        </w:rPr>
        <w:t>,</w:t>
      </w:r>
      <w:hyperlink w:history="true" w:anchor="_bookmark50">
        <w:r>
          <w:rPr>
            <w:color w:val="007FAC"/>
            <w:w w:val="105"/>
          </w:rPr>
          <w:t>39</w:t>
        </w:r>
      </w:hyperlink>
      <w:r>
        <w:rPr>
          <w:w w:val="105"/>
        </w:rPr>
        <w:t>] and </w:t>
      </w:r>
      <w:r>
        <w:rPr>
          <w:spacing w:val="-6"/>
          <w:w w:val="105"/>
        </w:rPr>
        <w:t>13 </w:t>
      </w:r>
      <w:r>
        <w:rPr>
          <w:w w:val="105"/>
        </w:rPr>
        <w:t>studies had high risk of bias </w:t>
      </w:r>
      <w:r>
        <w:rPr>
          <w:spacing w:val="-3"/>
          <w:w w:val="105"/>
        </w:rPr>
        <w:t>[</w:t>
      </w:r>
      <w:hyperlink w:history="true" w:anchor="_bookmark30">
        <w:r>
          <w:rPr>
            <w:color w:val="007FAC"/>
            <w:spacing w:val="-3"/>
            <w:w w:val="105"/>
          </w:rPr>
          <w:t>19</w:t>
        </w:r>
      </w:hyperlink>
      <w:r>
        <w:rPr>
          <w:rFonts w:ascii="Lucida Sans"/>
          <w:color w:val="007FAC"/>
          <w:spacing w:val="-3"/>
          <w:w w:val="105"/>
        </w:rPr>
        <w:t>e</w:t>
      </w:r>
      <w:hyperlink w:history="true" w:anchor="_bookmark30">
        <w:r>
          <w:rPr>
            <w:color w:val="007FAC"/>
            <w:spacing w:val="-3"/>
            <w:w w:val="105"/>
          </w:rPr>
          <w:t>31</w:t>
        </w:r>
      </w:hyperlink>
      <w:r>
        <w:rPr>
          <w:spacing w:val="-3"/>
          <w:w w:val="105"/>
        </w:rPr>
        <w:t>] </w:t>
      </w:r>
      <w:r>
        <w:rPr>
          <w:w w:val="105"/>
        </w:rPr>
        <w:t>The risk of bias for the </w:t>
      </w:r>
      <w:r>
        <w:rPr>
          <w:spacing w:val="-6"/>
          <w:w w:val="105"/>
        </w:rPr>
        <w:t>14 </w:t>
      </w:r>
      <w:r>
        <w:rPr>
          <w:w w:val="105"/>
        </w:rPr>
        <w:t>included comparative observational studies was assessed using the NOS scale </w:t>
      </w:r>
      <w:r>
        <w:rPr>
          <w:spacing w:val="-3"/>
          <w:w w:val="105"/>
        </w:rPr>
        <w:t>[</w:t>
      </w:r>
      <w:hyperlink w:history="true" w:anchor="_bookmark25">
        <w:r>
          <w:rPr>
            <w:color w:val="007FAC"/>
            <w:spacing w:val="-3"/>
            <w:w w:val="105"/>
          </w:rPr>
          <w:t>14</w:t>
        </w:r>
      </w:hyperlink>
      <w:r>
        <w:rPr>
          <w:spacing w:val="-3"/>
          <w:w w:val="105"/>
        </w:rPr>
        <w:t>]. </w:t>
      </w:r>
      <w:r>
        <w:rPr>
          <w:w w:val="105"/>
        </w:rPr>
        <w:t>Overall, </w:t>
      </w:r>
      <w:r>
        <w:rPr>
          <w:spacing w:val="-6"/>
          <w:w w:val="105"/>
        </w:rPr>
        <w:t>13 </w:t>
      </w:r>
      <w:r>
        <w:rPr>
          <w:w w:val="105"/>
        </w:rPr>
        <w:t>of the </w:t>
      </w:r>
      <w:r>
        <w:rPr>
          <w:spacing w:val="-5"/>
          <w:w w:val="105"/>
        </w:rPr>
        <w:t>14 </w:t>
      </w:r>
      <w:r>
        <w:rPr>
          <w:w w:val="105"/>
        </w:rPr>
        <w:t>studies were of moderate to high quality (6-7 or 8-9 stars, respectively) </w:t>
      </w:r>
      <w:r>
        <w:rPr>
          <w:spacing w:val="-3"/>
          <w:w w:val="105"/>
        </w:rPr>
        <w:t>[</w:t>
      </w:r>
      <w:hyperlink w:history="true" w:anchor="_bookmark52">
        <w:r>
          <w:rPr>
            <w:color w:val="007FAC"/>
            <w:spacing w:val="-3"/>
            <w:w w:val="105"/>
          </w:rPr>
          <w:t>41</w:t>
        </w:r>
      </w:hyperlink>
      <w:r>
        <w:rPr>
          <w:rFonts w:ascii="Lucida Sans"/>
          <w:color w:val="007FAC"/>
          <w:spacing w:val="-3"/>
          <w:w w:val="105"/>
        </w:rPr>
        <w:t>e</w:t>
      </w:r>
      <w:hyperlink w:history="true" w:anchor="_bookmark52">
        <w:r>
          <w:rPr>
            <w:color w:val="007FAC"/>
            <w:spacing w:val="-3"/>
            <w:w w:val="105"/>
          </w:rPr>
          <w:t>52</w:t>
        </w:r>
      </w:hyperlink>
      <w:r>
        <w:rPr>
          <w:spacing w:val="-3"/>
          <w:w w:val="105"/>
        </w:rPr>
        <w:t>],  </w:t>
      </w:r>
      <w:r>
        <w:rPr>
          <w:w w:val="105"/>
        </w:rPr>
        <w:t>and 2 received  5 stars [</w:t>
      </w:r>
      <w:hyperlink w:history="true" w:anchor="_bookmark63">
        <w:r>
          <w:rPr>
            <w:color w:val="007FAC"/>
            <w:w w:val="105"/>
          </w:rPr>
          <w:t>53</w:t>
        </w:r>
      </w:hyperlink>
      <w:r>
        <w:rPr>
          <w:w w:val="105"/>
        </w:rPr>
        <w:t>,</w:t>
      </w:r>
      <w:hyperlink w:history="true" w:anchor="_bookmark65">
        <w:r>
          <w:rPr>
            <w:color w:val="007FAC"/>
            <w:w w:val="105"/>
          </w:rPr>
          <w:t>54</w:t>
        </w:r>
      </w:hyperlink>
      <w:r>
        <w:rPr>
          <w:w w:val="105"/>
        </w:rPr>
        <w:t>] (</w:t>
      </w:r>
      <w:hyperlink w:history="true" w:anchor="_bookmark76">
        <w:r>
          <w:rPr>
            <w:color w:val="007FAC"/>
            <w:w w:val="105"/>
          </w:rPr>
          <w:t>Supplement Table</w:t>
        </w:r>
        <w:r>
          <w:rPr>
            <w:color w:val="007FAC"/>
            <w:spacing w:val="1"/>
            <w:w w:val="105"/>
          </w:rPr>
          <w:t> </w:t>
        </w:r>
        <w:r>
          <w:rPr>
            <w:color w:val="007FAC"/>
            <w:w w:val="105"/>
          </w:rPr>
          <w:t>2</w:t>
        </w:r>
      </w:hyperlink>
      <w:r>
        <w:rPr>
          <w:w w:val="105"/>
        </w:rPr>
        <w:t>).</w:t>
      </w:r>
    </w:p>
    <w:p>
      <w:pPr>
        <w:pStyle w:val="BodyText"/>
        <w:spacing w:line="252" w:lineRule="auto" w:before="1"/>
        <w:ind w:left="310" w:right="110" w:firstLine="239"/>
        <w:jc w:val="both"/>
      </w:pPr>
      <w:r>
        <w:rPr/>
        <w:pict>
          <v:shape style="position:absolute;margin-left:499.011871pt;margin-top:-144.839157pt;width:6.4pt;height:13.8pt;mso-position-horizontal-relative:page;mso-position-vertical-relative:paragraph;z-index:-265011200" type="#_x0000_t202" filled="false" stroked="false">
            <v:textbox inset="0,0,0,0">
              <w:txbxContent>
                <w:p>
                  <w:pPr>
                    <w:pStyle w:val="BodyText"/>
                    <w:spacing w:line="158" w:lineRule="exact"/>
                    <w:rPr>
                      <w:rFonts w:ascii="Century Gothic" w:hAnsi="Century Gothic"/>
                    </w:rPr>
                  </w:pPr>
                  <w:r>
                    <w:rPr>
                      <w:rFonts w:ascii="Century Gothic" w:hAnsi="Century Gothic"/>
                      <w:w w:val="95"/>
                    </w:rPr>
                    <w:t>¼</w:t>
                  </w:r>
                </w:p>
              </w:txbxContent>
            </v:textbox>
            <w10:wrap type="none"/>
          </v:shape>
        </w:pict>
      </w:r>
      <w:r>
        <w:rPr>
          <w:w w:val="105"/>
        </w:rPr>
        <w:t>In total, 22 </w:t>
      </w:r>
      <w:r>
        <w:rPr>
          <w:spacing w:val="-3"/>
          <w:w w:val="105"/>
        </w:rPr>
        <w:t>RCTs, </w:t>
      </w:r>
      <w:r>
        <w:rPr>
          <w:w w:val="105"/>
        </w:rPr>
        <w:t>3 prospective observational studies, </w:t>
      </w:r>
      <w:r>
        <w:rPr>
          <w:spacing w:val="-9"/>
          <w:w w:val="105"/>
        </w:rPr>
        <w:t>11 </w:t>
      </w:r>
      <w:r>
        <w:rPr>
          <w:w w:val="105"/>
        </w:rPr>
        <w:t>retro- spective observational studies, and 4 single-arm noncomparative studies were included in this systematic review. Most of the iden- ti</w:t>
      </w:r>
      <w:r>
        <w:rPr>
          <w:rFonts w:ascii="Times New Roman" w:hAnsi="Times New Roman"/>
          <w:w w:val="105"/>
        </w:rPr>
        <w:t>ﬁ</w:t>
      </w:r>
      <w:r>
        <w:rPr>
          <w:w w:val="105"/>
        </w:rPr>
        <w:t>ed studies included TKA cohorts (62.5%), followed by THA co- horts in 25%, and mixed TKA and THA cohorts in 20%. </w:t>
      </w:r>
      <w:r>
        <w:rPr>
          <w:spacing w:val="-3"/>
          <w:w w:val="105"/>
        </w:rPr>
        <w:t>Across  </w:t>
      </w:r>
      <w:r>
        <w:rPr>
          <w:w w:val="105"/>
        </w:rPr>
        <w:t>included studies, there was substantial variability in the methods used for wound closure, with 6 primary closure categories and 22 unique combinations of methods reported (</w:t>
      </w:r>
      <w:hyperlink w:history="true" w:anchor="_bookmark10">
        <w:r>
          <w:rPr>
            <w:color w:val="007FAC"/>
            <w:w w:val="105"/>
          </w:rPr>
          <w:t>Table 2</w:t>
        </w:r>
      </w:hyperlink>
      <w:r>
        <w:rPr>
          <w:w w:val="105"/>
        </w:rPr>
        <w:t>). In </w:t>
      </w:r>
      <w:r>
        <w:rPr>
          <w:spacing w:val="-3"/>
          <w:w w:val="105"/>
        </w:rPr>
        <w:t>general, </w:t>
      </w:r>
      <w:r>
        <w:rPr>
          <w:w w:val="105"/>
        </w:rPr>
        <w:t>categories for wound closure included (1) conventional methods (traditional sutures for deep tissue closure and staples, sutures, or TSA for skin closure; including 20 </w:t>
      </w:r>
      <w:r>
        <w:rPr>
          <w:spacing w:val="-3"/>
          <w:w w:val="105"/>
        </w:rPr>
        <w:t>RCTs); </w:t>
      </w:r>
      <w:r>
        <w:rPr>
          <w:w w:val="105"/>
        </w:rPr>
        <w:t>(2) conventional methods with antimicrobial sutures (including 3 RCTs); (3) traditional su- tures for deep tissue closure, barbed sutures for subcuticular closure, and traditional TSA or TSA (2-octyl cyanoacrylate) with polyester</w:t>
      </w:r>
      <w:r>
        <w:rPr>
          <w:spacing w:val="-5"/>
          <w:w w:val="105"/>
        </w:rPr>
        <w:t> </w:t>
      </w:r>
      <w:r>
        <w:rPr>
          <w:w w:val="105"/>
        </w:rPr>
        <w:t>mesh</w:t>
      </w:r>
      <w:r>
        <w:rPr>
          <w:spacing w:val="-6"/>
          <w:w w:val="105"/>
        </w:rPr>
        <w:t> </w:t>
      </w:r>
      <w:r>
        <w:rPr>
          <w:w w:val="105"/>
        </w:rPr>
        <w:t>for</w:t>
      </w:r>
      <w:r>
        <w:rPr>
          <w:spacing w:val="-4"/>
          <w:w w:val="105"/>
        </w:rPr>
        <w:t> </w:t>
      </w:r>
      <w:r>
        <w:rPr>
          <w:w w:val="105"/>
        </w:rPr>
        <w:t>skin</w:t>
      </w:r>
      <w:r>
        <w:rPr>
          <w:spacing w:val="-5"/>
          <w:w w:val="105"/>
        </w:rPr>
        <w:t> </w:t>
      </w:r>
      <w:r>
        <w:rPr>
          <w:w w:val="105"/>
        </w:rPr>
        <w:t>closure</w:t>
      </w:r>
      <w:r>
        <w:rPr>
          <w:spacing w:val="-6"/>
          <w:w w:val="105"/>
        </w:rPr>
        <w:t> </w:t>
      </w:r>
      <w:r>
        <w:rPr>
          <w:w w:val="105"/>
        </w:rPr>
        <w:t>(including</w:t>
      </w:r>
      <w:r>
        <w:rPr>
          <w:spacing w:val="-7"/>
          <w:w w:val="105"/>
        </w:rPr>
        <w:t> </w:t>
      </w:r>
      <w:r>
        <w:rPr>
          <w:w w:val="105"/>
        </w:rPr>
        <w:t>one</w:t>
      </w:r>
      <w:r>
        <w:rPr>
          <w:spacing w:val="-4"/>
          <w:w w:val="105"/>
        </w:rPr>
        <w:t> </w:t>
      </w:r>
      <w:r>
        <w:rPr>
          <w:w w:val="105"/>
        </w:rPr>
        <w:t>RCT);</w:t>
      </w:r>
      <w:r>
        <w:rPr>
          <w:spacing w:val="-5"/>
          <w:w w:val="105"/>
        </w:rPr>
        <w:t> </w:t>
      </w:r>
      <w:r>
        <w:rPr>
          <w:w w:val="105"/>
        </w:rPr>
        <w:t>(4)</w:t>
      </w:r>
      <w:r>
        <w:rPr>
          <w:spacing w:val="-4"/>
          <w:w w:val="105"/>
        </w:rPr>
        <w:t> </w:t>
      </w:r>
      <w:r>
        <w:rPr>
          <w:w w:val="105"/>
        </w:rPr>
        <w:t>one</w:t>
      </w:r>
      <w:r>
        <w:rPr>
          <w:spacing w:val="-5"/>
          <w:w w:val="105"/>
        </w:rPr>
        <w:t> </w:t>
      </w:r>
      <w:r>
        <w:rPr>
          <w:w w:val="105"/>
        </w:rPr>
        <w:t>layer</w:t>
      </w:r>
      <w:r>
        <w:rPr>
          <w:spacing w:val="-6"/>
          <w:w w:val="105"/>
        </w:rPr>
        <w:t> </w:t>
      </w:r>
      <w:r>
        <w:rPr>
          <w:w w:val="105"/>
        </w:rPr>
        <w:t>of barbed sutures for deep tissue closure and traditional skin closure (staples, sutures, TSA; including 6 </w:t>
      </w:r>
      <w:r>
        <w:rPr>
          <w:spacing w:val="-2"/>
          <w:w w:val="105"/>
        </w:rPr>
        <w:t>RCTs); </w:t>
      </w:r>
      <w:r>
        <w:rPr>
          <w:w w:val="105"/>
        </w:rPr>
        <w:t>(5) multilayered deep tissue closure with barbed sutures and traditional skin closure (staples, sutures, TSA; including 5 </w:t>
      </w:r>
      <w:r>
        <w:rPr>
          <w:spacing w:val="-2"/>
          <w:w w:val="105"/>
        </w:rPr>
        <w:t>RCTs); </w:t>
      </w:r>
      <w:r>
        <w:rPr>
          <w:w w:val="105"/>
        </w:rPr>
        <w:t>and (6) multilayer barbed sutures</w:t>
      </w:r>
      <w:r>
        <w:rPr>
          <w:spacing w:val="-4"/>
          <w:w w:val="105"/>
        </w:rPr>
        <w:t> </w:t>
      </w:r>
      <w:r>
        <w:rPr>
          <w:w w:val="105"/>
        </w:rPr>
        <w:t>for</w:t>
      </w:r>
      <w:r>
        <w:rPr>
          <w:spacing w:val="-5"/>
          <w:w w:val="105"/>
        </w:rPr>
        <w:t> </w:t>
      </w:r>
      <w:r>
        <w:rPr>
          <w:w w:val="105"/>
        </w:rPr>
        <w:t>deep</w:t>
      </w:r>
      <w:r>
        <w:rPr>
          <w:spacing w:val="-5"/>
          <w:w w:val="105"/>
        </w:rPr>
        <w:t> </w:t>
      </w:r>
      <w:r>
        <w:rPr>
          <w:w w:val="105"/>
        </w:rPr>
        <w:t>tissue</w:t>
      </w:r>
      <w:r>
        <w:rPr>
          <w:spacing w:val="-5"/>
          <w:w w:val="105"/>
        </w:rPr>
        <w:t> </w:t>
      </w:r>
      <w:r>
        <w:rPr>
          <w:w w:val="105"/>
        </w:rPr>
        <w:t>closure</w:t>
      </w:r>
      <w:r>
        <w:rPr>
          <w:spacing w:val="-4"/>
          <w:w w:val="105"/>
        </w:rPr>
        <w:t> </w:t>
      </w:r>
      <w:r>
        <w:rPr>
          <w:w w:val="105"/>
        </w:rPr>
        <w:t>and</w:t>
      </w:r>
      <w:r>
        <w:rPr>
          <w:spacing w:val="-4"/>
          <w:w w:val="105"/>
        </w:rPr>
        <w:t> </w:t>
      </w:r>
      <w:r>
        <w:rPr>
          <w:w w:val="105"/>
        </w:rPr>
        <w:t>TSA</w:t>
      </w:r>
      <w:r>
        <w:rPr>
          <w:spacing w:val="-6"/>
          <w:w w:val="105"/>
        </w:rPr>
        <w:t> </w:t>
      </w:r>
      <w:r>
        <w:rPr>
          <w:w w:val="105"/>
        </w:rPr>
        <w:t>(2-octyl</w:t>
      </w:r>
      <w:r>
        <w:rPr>
          <w:spacing w:val="-5"/>
          <w:w w:val="105"/>
        </w:rPr>
        <w:t> </w:t>
      </w:r>
      <w:r>
        <w:rPr>
          <w:w w:val="105"/>
        </w:rPr>
        <w:t>cyanoacrylate)</w:t>
      </w:r>
      <w:r>
        <w:rPr>
          <w:spacing w:val="-5"/>
          <w:w w:val="105"/>
        </w:rPr>
        <w:t> </w:t>
      </w:r>
      <w:r>
        <w:rPr>
          <w:spacing w:val="-3"/>
          <w:w w:val="105"/>
        </w:rPr>
        <w:t>with </w:t>
      </w:r>
      <w:r>
        <w:rPr>
          <w:w w:val="105"/>
        </w:rPr>
        <w:t>polyester mesh for skin closure (including 3 observational studies). A detailed breakdown of wound closure methods, by treatment arm, for each included study, is reported in </w:t>
      </w:r>
      <w:hyperlink w:history="true" w:anchor="_bookmark83">
        <w:r>
          <w:rPr>
            <w:color w:val="007FAC"/>
            <w:w w:val="105"/>
          </w:rPr>
          <w:t>Supplement Tables 3-5</w:t>
        </w:r>
      </w:hyperlink>
      <w:r>
        <w:rPr>
          <w:w w:val="105"/>
        </w:rPr>
        <w:t>, for knee, hip, and mixed procedure types,</w:t>
      </w:r>
      <w:r>
        <w:rPr>
          <w:spacing w:val="8"/>
          <w:w w:val="105"/>
        </w:rPr>
        <w:t> </w:t>
      </w:r>
      <w:r>
        <w:rPr>
          <w:w w:val="105"/>
        </w:rPr>
        <w:t>respectively.</w:t>
      </w:r>
    </w:p>
    <w:p>
      <w:pPr>
        <w:pStyle w:val="BodyText"/>
        <w:spacing w:line="252" w:lineRule="auto" w:before="11"/>
        <w:ind w:left="310" w:right="111" w:firstLine="239"/>
        <w:jc w:val="both"/>
      </w:pPr>
      <w:r>
        <w:rPr>
          <w:w w:val="105"/>
        </w:rPr>
        <w:t>The most commonly reported method for wound closure in hip and knee arthroplasties consisted of conventional closure methods (#1), with 7063 patients evaluated across studies. In general, </w:t>
      </w:r>
      <w:r>
        <w:rPr>
          <w:spacing w:val="-4"/>
          <w:w w:val="105"/>
        </w:rPr>
        <w:t>this </w:t>
      </w:r>
      <w:r>
        <w:rPr>
          <w:w w:val="105"/>
        </w:rPr>
        <w:t>category for wound closure had large ranges in rates reported for deep</w:t>
      </w:r>
      <w:r>
        <w:rPr>
          <w:spacing w:val="-5"/>
          <w:w w:val="105"/>
        </w:rPr>
        <w:t> </w:t>
      </w:r>
      <w:r>
        <w:rPr>
          <w:w w:val="105"/>
        </w:rPr>
        <w:t>SSI</w:t>
      </w:r>
      <w:r>
        <w:rPr>
          <w:spacing w:val="-4"/>
          <w:w w:val="105"/>
        </w:rPr>
        <w:t> </w:t>
      </w:r>
      <w:r>
        <w:rPr>
          <w:w w:val="105"/>
        </w:rPr>
        <w:t>(0%</w:t>
      </w:r>
      <w:r>
        <w:rPr>
          <w:spacing w:val="-5"/>
          <w:w w:val="105"/>
        </w:rPr>
        <w:t> </w:t>
      </w:r>
      <w:r>
        <w:rPr>
          <w:w w:val="105"/>
        </w:rPr>
        <w:t>to</w:t>
      </w:r>
      <w:r>
        <w:rPr>
          <w:spacing w:val="-5"/>
          <w:w w:val="105"/>
        </w:rPr>
        <w:t> </w:t>
      </w:r>
      <w:r>
        <w:rPr>
          <w:w w:val="105"/>
        </w:rPr>
        <w:t>3.9%)</w:t>
      </w:r>
      <w:r>
        <w:rPr>
          <w:spacing w:val="-5"/>
          <w:w w:val="105"/>
        </w:rPr>
        <w:t> </w:t>
      </w:r>
      <w:r>
        <w:rPr>
          <w:w w:val="105"/>
        </w:rPr>
        <w:t>and</w:t>
      </w:r>
      <w:r>
        <w:rPr>
          <w:spacing w:val="-4"/>
          <w:w w:val="105"/>
        </w:rPr>
        <w:t> </w:t>
      </w:r>
      <w:r>
        <w:rPr>
          <w:w w:val="105"/>
        </w:rPr>
        <w:t>prolonged</w:t>
      </w:r>
      <w:r>
        <w:rPr>
          <w:spacing w:val="-5"/>
          <w:w w:val="105"/>
        </w:rPr>
        <w:t> </w:t>
      </w:r>
      <w:r>
        <w:rPr>
          <w:w w:val="105"/>
        </w:rPr>
        <w:t>drainage</w:t>
      </w:r>
      <w:r>
        <w:rPr>
          <w:spacing w:val="-5"/>
          <w:w w:val="105"/>
        </w:rPr>
        <w:t> </w:t>
      </w:r>
      <w:r>
        <w:rPr>
          <w:w w:val="105"/>
        </w:rPr>
        <w:t>(0%</w:t>
      </w:r>
      <w:r>
        <w:rPr>
          <w:spacing w:val="-5"/>
          <w:w w:val="105"/>
        </w:rPr>
        <w:t> </w:t>
      </w:r>
      <w:r>
        <w:rPr>
          <w:w w:val="105"/>
        </w:rPr>
        <w:t>to</w:t>
      </w:r>
      <w:r>
        <w:rPr>
          <w:spacing w:val="-5"/>
          <w:w w:val="105"/>
        </w:rPr>
        <w:t> </w:t>
      </w:r>
      <w:r>
        <w:rPr>
          <w:spacing w:val="-4"/>
          <w:w w:val="105"/>
        </w:rPr>
        <w:t>51.3%).</w:t>
      </w:r>
      <w:r>
        <w:rPr>
          <w:spacing w:val="-5"/>
          <w:w w:val="105"/>
        </w:rPr>
        <w:t> </w:t>
      </w:r>
      <w:r>
        <w:rPr>
          <w:w w:val="105"/>
        </w:rPr>
        <w:t>For</w:t>
      </w:r>
      <w:r>
        <w:rPr>
          <w:spacing w:val="-3"/>
          <w:w w:val="105"/>
        </w:rPr>
        <w:t> </w:t>
      </w:r>
      <w:r>
        <w:rPr>
          <w:w w:val="105"/>
        </w:rPr>
        <w:t>the other wound-healing complications, super</w:t>
      </w:r>
      <w:r>
        <w:rPr>
          <w:rFonts w:ascii="Times New Roman" w:hAnsi="Times New Roman"/>
          <w:w w:val="105"/>
        </w:rPr>
        <w:t>ﬁ</w:t>
      </w:r>
      <w:r>
        <w:rPr>
          <w:w w:val="105"/>
        </w:rPr>
        <w:t>cial SSI ranged from </w:t>
      </w:r>
      <w:r>
        <w:rPr>
          <w:spacing w:val="-6"/>
          <w:w w:val="105"/>
        </w:rPr>
        <w:t>0% </w:t>
      </w:r>
      <w:r>
        <w:rPr>
          <w:w w:val="105"/>
        </w:rPr>
        <w:t>to 14.8%, and wound dehiscence ranged from 0% to</w:t>
      </w:r>
      <w:r>
        <w:rPr>
          <w:spacing w:val="2"/>
          <w:w w:val="105"/>
        </w:rPr>
        <w:t> </w:t>
      </w:r>
      <w:r>
        <w:rPr>
          <w:w w:val="105"/>
        </w:rPr>
        <w:t>6.7%.</w:t>
      </w:r>
    </w:p>
    <w:p>
      <w:pPr>
        <w:pStyle w:val="BodyText"/>
        <w:spacing w:line="252" w:lineRule="auto" w:before="3"/>
        <w:ind w:left="310" w:right="110" w:firstLine="239"/>
        <w:jc w:val="both"/>
      </w:pPr>
      <w:r>
        <w:rPr>
          <w:w w:val="105"/>
        </w:rPr>
        <w:t>For wound closure categories with more recent technologies, rates of wound complications were reported to be particularly low for the category (#6) of barbed sutures for deep tissue layers and TSA with polyester mesh for skin closure. This category evaluated over 2362 patients and reported 0% to 1.1% deep SSI rates and 0% incidence of super</w:t>
      </w:r>
      <w:r>
        <w:rPr>
          <w:rFonts w:ascii="Times New Roman" w:hAnsi="Times New Roman"/>
          <w:w w:val="105"/>
        </w:rPr>
        <w:t>ﬁ</w:t>
      </w:r>
      <w:r>
        <w:rPr>
          <w:w w:val="105"/>
        </w:rPr>
        <w:t>cial SSI or wound dehiscence (Drainage was not reported.). The other category that reported very low rates of adverse event rates included antimicrobial sutures for deep and super</w:t>
      </w:r>
      <w:r>
        <w:rPr>
          <w:rFonts w:ascii="Times New Roman" w:hAnsi="Times New Roman"/>
          <w:w w:val="105"/>
        </w:rPr>
        <w:t>ﬁ</w:t>
      </w:r>
      <w:r>
        <w:rPr>
          <w:w w:val="105"/>
        </w:rPr>
        <w:t>cial layers (#2). This category consisted of 1692 patients and reported a narrow range in both deep (0% to 1.1%) and super</w:t>
      </w:r>
      <w:r>
        <w:rPr>
          <w:rFonts w:ascii="Times New Roman" w:hAnsi="Times New Roman"/>
          <w:w w:val="105"/>
        </w:rPr>
        <w:t>ﬁ</w:t>
      </w:r>
      <w:r>
        <w:rPr>
          <w:w w:val="105"/>
        </w:rPr>
        <w:t>cial (0% to 1.5%) SSIs. Other evaluated adverse events were poorly re- ported, with only one study reporting prolonged wound drainage (10%) and wound dehiscence (0%).</w:t>
      </w:r>
    </w:p>
    <w:p>
      <w:pPr>
        <w:pStyle w:val="BodyText"/>
        <w:spacing w:line="252" w:lineRule="auto" w:before="6"/>
        <w:ind w:left="310" w:right="110" w:firstLine="239"/>
        <w:jc w:val="both"/>
      </w:pPr>
      <w:r>
        <w:rPr>
          <w:w w:val="105"/>
        </w:rPr>
        <w:t>Of the remaining 3 categories, the use of traditional sutures for deep tissue and barbed sutures with TSA</w:t>
      </w:r>
      <w:r>
        <w:rPr>
          <w:spacing w:val="-31"/>
          <w:w w:val="105"/>
        </w:rPr>
        <w:t> </w:t>
      </w:r>
      <w:r>
        <w:rPr>
          <w:w w:val="105"/>
        </w:rPr>
        <w:t>(with or without </w:t>
      </w:r>
      <w:r>
        <w:rPr>
          <w:spacing w:val="-3"/>
          <w:w w:val="105"/>
        </w:rPr>
        <w:t>polyester </w:t>
      </w:r>
      <w:r>
        <w:rPr>
          <w:w w:val="105"/>
        </w:rPr>
        <w:t>mesh; #3) for super</w:t>
      </w:r>
      <w:r>
        <w:rPr>
          <w:rFonts w:ascii="Times New Roman" w:hAnsi="Times New Roman"/>
          <w:w w:val="105"/>
        </w:rPr>
        <w:t>ﬁ</w:t>
      </w:r>
      <w:r>
        <w:rPr>
          <w:w w:val="105"/>
        </w:rPr>
        <w:t>cial closure was the least studied, with</w:t>
      </w:r>
      <w:r>
        <w:rPr>
          <w:spacing w:val="41"/>
          <w:w w:val="105"/>
        </w:rPr>
        <w:t> </w:t>
      </w:r>
      <w:r>
        <w:rPr>
          <w:spacing w:val="-4"/>
          <w:w w:val="105"/>
        </w:rPr>
        <w:t>76</w:t>
      </w:r>
    </w:p>
    <w:p>
      <w:pPr>
        <w:spacing w:after="0" w:line="252" w:lineRule="auto"/>
        <w:jc w:val="both"/>
        <w:sectPr>
          <w:type w:val="continuous"/>
          <w:pgSz w:w="11910" w:h="15880"/>
          <w:pgMar w:top="840" w:bottom="360" w:left="540" w:right="540"/>
          <w:cols w:num="2" w:equalWidth="0">
            <w:col w:w="5334" w:space="46"/>
            <w:col w:w="5450"/>
          </w:cols>
        </w:sectPr>
      </w:pPr>
    </w:p>
    <w:p>
      <w:pPr>
        <w:pStyle w:val="BodyText"/>
        <w:rPr>
          <w:sz w:val="20"/>
        </w:rPr>
      </w:pPr>
      <w:r>
        <w:rPr/>
        <w:pict>
          <v:group style="position:absolute;margin-left:767.619019pt;margin-top:32.816002pt;width:15.6pt;height:520.0500pt;mso-position-horizontal-relative:page;mso-position-vertical-relative:page;z-index:251688960" coordorigin="15352,656" coordsize="312,10401">
            <v:rect style="position:absolute;left:15352;top:656;width:312;height:10401" filled="true" fillcolor="#c1c3c5" stroked="false">
              <v:fill type="solid"/>
            </v:rect>
            <v:shape style="position:absolute;left:15408;top:4308;width:211;height:2589" coordorigin="15409,4308" coordsize="211,2589" path="m15475,6773l15475,6732,15454,6736,15433,6748,15416,6774,15409,6818,15410,6838,15419,6864,15438,6887,15443,6888,15443,6815,15446,6793,15455,6780,15465,6774,15475,6773xm15619,6813l15613,6773,15597,6750,15577,6738,15558,6736,15531,6741,15514,6755,15505,6776,15499,6799,15494,6821,15490,6835,15485,6847,15479,6854,15469,6857,15456,6853,15448,6843,15444,6830,15443,6815,15443,6888,15474,6897,15497,6893,15512,6881,15522,6864,15528,6845,15540,6796,15542,6787,15545,6775,15561,6775,15572,6778,15579,6786,15583,6797,15585,6809,15585,6881,15596,6874,15613,6851,15619,6813xm15585,6881l15585,6809,15581,6831,15573,6843,15563,6849,15554,6850,15554,6891,15575,6887,15585,6881xm15475,6587l15475,6547,15454,6550,15433,6562,15416,6588,15409,6632,15410,6652,15419,6678,15438,6701,15443,6703,15443,6629,15446,6607,15455,6594,15465,6588,15475,6587xm15619,6627l15613,6587,15597,6564,15577,6553,15558,6550,15531,6555,15514,6569,15505,6590,15499,6613,15494,6635,15490,6649,15485,6661,15479,6668,15469,6671,15456,6667,15448,6658,15444,6644,15443,6629,15443,6703,15474,6711,15497,6707,15512,6695,15522,6679,15528,6659,15540,6610,15542,6602,15545,6589,15561,6589,15572,6592,15579,6600,15583,6611,15585,6624,15585,6695,15596,6689,15613,6665,15619,6627xm15585,6695l15585,6624,15581,6645,15573,6657,15563,6663,15554,6665,15554,6705,15575,6701,15585,6695xm15614,6518l15614,6371,15414,6371,15414,6523,15449,6523,15449,6412,15501,6412,15501,6510,15536,6510,15536,6412,15578,6412,15578,6518,15614,6518xm15614,6272l15614,6171,15414,6171,15414,6212,15492,6212,15492,6324,15495,6323,15504,6315,15510,6304,15517,6317,15526,6325,15526,6212,15579,6212,15579,6330,15592,6324,15607,6304,15614,6272xm15492,6324l15492,6255,15490,6273,15483,6283,15472,6287,15454,6288,15440,6288,15430,6289,15421,6290,15414,6292,15414,6339,15419,6339,15422,6333,15429,6331,15440,6330,15459,6330,15481,6328,15492,6324xm15579,6330l15579,6289,15564,6293,15553,6293,15540,6291,15532,6285,15527,6275,15526,6261,15526,6325,15528,6327,15541,6333,15557,6335,15573,6333,15579,6330xm15614,6077l15614,5985,15414,5985,15414,6027,15486,6027,15486,6075,15493,6108,15511,6127,15520,6131,15520,6027,15579,6027,15579,6133,15597,6122,15609,6103,15614,6077xm15579,6133l15579,6060,15578,6077,15573,6088,15564,6095,15552,6097,15543,6097,15533,6093,15524,6084,15520,6066,15520,6131,15532,6136,15550,6139,15576,6135,15579,6133xm15614,5734l15614,5690,15414,5690,15414,5729,15556,5729,15556,5767,15614,5734xm15556,5767l15556,5730,15414,5811,15414,5853,15474,5853,15474,5814,15556,5767xm15614,5853l15614,5814,15474,5814,15474,5853,15614,5853xm15614,5655l15614,5613,15414,5613,15414,5655,15614,5655xm15614,5484l15614,5337,15414,5337,15414,5489,15449,5489,15449,5378,15501,5378,15501,5476,15536,5476,15536,5378,15578,5378,15578,5484,15614,5484xm15614,5210l15614,5169,15414,5169,15414,5310,15450,5310,15450,5210,15614,5210xm15619,5051l15613,5015,15593,4986,15560,4967,15513,4959,15468,4966,15435,4985,15415,5014,15409,5051,15414,5085,15429,5110,15445,5122,15445,5052,15450,5029,15465,5014,15487,5005,15513,5002,15548,5007,15569,5019,15580,5036,15583,5052,15583,5124,15595,5116,15612,5090,15619,5051xm15482,5138l15482,5096,15466,5090,15454,5081,15447,5068,15445,5052,15445,5122,15452,5128,15482,5138xm15583,5124l15583,5052,15579,5073,15570,5086,15559,5093,15548,5096,15548,5138,15572,5132,15583,5124xm15614,4932l15614,4890,15414,4890,15414,4932,15614,4932xm15578,4810l15578,4768,15414,4768,15414,4810,15578,4810xm15614,4870l15614,4707,15578,4707,15578,4870,15614,4870xm15614,4626l15614,4524,15414,4524,15414,4565,15492,4565,15492,4678,15495,4676,15504,4669,15510,4658,15517,4671,15526,4679,15526,4565,15579,4565,15579,4683,15592,4677,15607,4658,15614,4626xm15492,4678l15492,4609,15490,4627,15483,4636,15472,4640,15454,4641,15440,4641,15430,4642,15421,4644,15414,4646,15414,4692,15419,4692,15422,4687,15429,4684,15440,4683,15459,4683,15481,4681,15492,4678xm15579,4683l15579,4642,15564,4647,15553,4647,15540,4645,15532,4639,15527,4629,15526,4614,15526,4679,15528,4681,15541,4687,15557,4689,15573,4686,15579,4683xm15614,4428l15614,4380,15414,4308,15414,4352,15455,4366,15455,4484,15489,4472,15489,4378,15569,4403,15569,4444,15614,4428xm15455,4484l15455,4440,15414,4453,15414,4499,15455,4484xm15569,4444l15569,4404,15489,4429,15489,4472,15569,4444xe" filled="true" fillcolor="#ffffff" stroked="false">
              <v:path arrowok="t"/>
              <v:fill type="solid"/>
            </v:shape>
            <w10:wrap type="none"/>
          </v:group>
        </w:pict>
      </w:r>
      <w:r>
        <w:rPr/>
        <w:pict>
          <v:shape style="position:absolute;margin-left:738.212219pt;margin-top:31.82387pt;width:9.85pt;height:5.65pt;mso-position-horizontal-relative:page;mso-position-vertical-relative:page;z-index:251689984" type="#_x0000_t202" filled="false" stroked="false">
            <v:textbox inset="0,0,0,0" style="layout-flow:vertical">
              <w:txbxContent>
                <w:p>
                  <w:pPr>
                    <w:spacing w:before="29"/>
                    <w:ind w:left="20" w:right="0" w:firstLine="0"/>
                    <w:jc w:val="left"/>
                    <w:rPr>
                      <w:sz w:val="12"/>
                    </w:rPr>
                  </w:pPr>
                  <w:r>
                    <w:rPr>
                      <w:w w:val="121"/>
                      <w:sz w:val="12"/>
                    </w:rPr>
                    <w:t>4</w:t>
                  </w:r>
                </w:p>
              </w:txbxContent>
            </v:textbox>
            <w10:wrap type="none"/>
          </v:shape>
        </w:pict>
      </w:r>
      <w:r>
        <w:rPr/>
        <w:pict>
          <v:shape style="position:absolute;margin-left:738.346069pt;margin-top:208.877106pt;width:9.65pt;height:167.95pt;mso-position-horizontal-relative:page;mso-position-vertical-relative:page;z-index:251691008"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pict>
          <v:shape style="position:absolute;margin-left:2.48584pt;margin-top:118.893997pt;width:16.8pt;height:357.5pt;mso-position-horizontal-relative:page;mso-position-vertical-relative:page;z-index:251692032"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p>
      <w:pPr>
        <w:pStyle w:val="BodyText"/>
        <w:spacing w:before="8"/>
        <w:rPr>
          <w:sz w:val="21"/>
        </w:rPr>
      </w:pPr>
    </w:p>
    <w:p>
      <w:pPr>
        <w:spacing w:before="111"/>
        <w:ind w:left="511" w:right="0" w:firstLine="0"/>
        <w:jc w:val="left"/>
        <w:rPr>
          <w:sz w:val="12"/>
        </w:rPr>
      </w:pPr>
      <w:bookmarkStart w:name="_bookmark4" w:id="9"/>
      <w:bookmarkEnd w:id="9"/>
      <w:r>
        <w:rPr/>
      </w:r>
      <w:r>
        <w:rPr>
          <w:w w:val="120"/>
          <w:sz w:val="12"/>
        </w:rPr>
        <w:t>Table 1</w:t>
      </w:r>
    </w:p>
    <w:p>
      <w:pPr>
        <w:spacing w:before="23"/>
        <w:ind w:left="511" w:right="0" w:firstLine="0"/>
        <w:jc w:val="left"/>
        <w:rPr>
          <w:sz w:val="12"/>
        </w:rPr>
      </w:pPr>
      <w:r>
        <w:rPr>
          <w:w w:val="110"/>
          <w:sz w:val="12"/>
        </w:rPr>
        <w:t>Summary of included studies.</w:t>
      </w:r>
    </w:p>
    <w:p>
      <w:pPr>
        <w:pStyle w:val="BodyText"/>
        <w:spacing w:before="8"/>
        <w:rPr>
          <w:sz w:val="5"/>
        </w:rPr>
      </w:pPr>
    </w:p>
    <w:tbl>
      <w:tblPr>
        <w:tblW w:w="0" w:type="auto"/>
        <w:jc w:val="left"/>
        <w:tblInd w:w="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44"/>
        <w:gridCol w:w="965"/>
        <w:gridCol w:w="1609"/>
        <w:gridCol w:w="1641"/>
        <w:gridCol w:w="1720"/>
        <w:gridCol w:w="1433"/>
        <w:gridCol w:w="1621"/>
        <w:gridCol w:w="2977"/>
      </w:tblGrid>
      <w:tr>
        <w:trPr>
          <w:trHeight w:val="248" w:hRule="atLeast"/>
        </w:trPr>
        <w:tc>
          <w:tcPr>
            <w:tcW w:w="1544" w:type="dxa"/>
            <w:tcBorders>
              <w:top w:val="single" w:sz="6" w:space="0" w:color="000000"/>
              <w:bottom w:val="single" w:sz="6" w:space="0" w:color="000000"/>
            </w:tcBorders>
          </w:tcPr>
          <w:p>
            <w:pPr>
              <w:pStyle w:val="TableParagraph"/>
              <w:spacing w:before="56"/>
              <w:ind w:left="120"/>
              <w:rPr>
                <w:sz w:val="12"/>
              </w:rPr>
            </w:pPr>
            <w:r>
              <w:rPr>
                <w:w w:val="110"/>
                <w:sz w:val="12"/>
              </w:rPr>
              <w:t>Author</w:t>
            </w:r>
          </w:p>
        </w:tc>
        <w:tc>
          <w:tcPr>
            <w:tcW w:w="965" w:type="dxa"/>
            <w:tcBorders>
              <w:top w:val="single" w:sz="6" w:space="0" w:color="000000"/>
              <w:bottom w:val="single" w:sz="6" w:space="0" w:color="000000"/>
            </w:tcBorders>
          </w:tcPr>
          <w:p>
            <w:pPr>
              <w:pStyle w:val="TableParagraph"/>
              <w:spacing w:before="56"/>
              <w:ind w:left="67"/>
              <w:rPr>
                <w:sz w:val="12"/>
              </w:rPr>
            </w:pPr>
            <w:r>
              <w:rPr>
                <w:w w:val="110"/>
                <w:sz w:val="12"/>
              </w:rPr>
              <w:t>Year</w:t>
            </w:r>
          </w:p>
        </w:tc>
        <w:tc>
          <w:tcPr>
            <w:tcW w:w="1609" w:type="dxa"/>
            <w:tcBorders>
              <w:top w:val="single" w:sz="6" w:space="0" w:color="000000"/>
              <w:bottom w:val="single" w:sz="6" w:space="0" w:color="000000"/>
            </w:tcBorders>
          </w:tcPr>
          <w:p>
            <w:pPr>
              <w:pStyle w:val="TableParagraph"/>
              <w:spacing w:before="56"/>
              <w:ind w:left="593"/>
              <w:rPr>
                <w:sz w:val="12"/>
              </w:rPr>
            </w:pPr>
            <w:r>
              <w:rPr>
                <w:w w:val="110"/>
                <w:sz w:val="12"/>
              </w:rPr>
              <w:t>Region</w:t>
            </w:r>
          </w:p>
        </w:tc>
        <w:tc>
          <w:tcPr>
            <w:tcW w:w="1641" w:type="dxa"/>
            <w:tcBorders>
              <w:top w:val="single" w:sz="6" w:space="0" w:color="000000"/>
              <w:bottom w:val="single" w:sz="6" w:space="0" w:color="000000"/>
            </w:tcBorders>
          </w:tcPr>
          <w:p>
            <w:pPr>
              <w:pStyle w:val="TableParagraph"/>
              <w:spacing w:before="56"/>
              <w:ind w:left="476"/>
              <w:rPr>
                <w:sz w:val="12"/>
              </w:rPr>
            </w:pPr>
            <w:r>
              <w:rPr>
                <w:w w:val="110"/>
                <w:sz w:val="12"/>
              </w:rPr>
              <w:t>Study design</w:t>
            </w:r>
          </w:p>
        </w:tc>
        <w:tc>
          <w:tcPr>
            <w:tcW w:w="1720" w:type="dxa"/>
            <w:tcBorders>
              <w:top w:val="single" w:sz="6" w:space="0" w:color="000000"/>
              <w:bottom w:val="single" w:sz="6" w:space="0" w:color="000000"/>
            </w:tcBorders>
          </w:tcPr>
          <w:p>
            <w:pPr>
              <w:pStyle w:val="TableParagraph"/>
              <w:spacing w:before="56"/>
              <w:ind w:left="326"/>
              <w:rPr>
                <w:sz w:val="12"/>
              </w:rPr>
            </w:pPr>
            <w:r>
              <w:rPr>
                <w:w w:val="110"/>
                <w:sz w:val="12"/>
              </w:rPr>
              <w:t>Surgery type</w:t>
            </w:r>
          </w:p>
        </w:tc>
        <w:tc>
          <w:tcPr>
            <w:tcW w:w="1433" w:type="dxa"/>
            <w:tcBorders>
              <w:top w:val="single" w:sz="6" w:space="0" w:color="000000"/>
              <w:bottom w:val="single" w:sz="6" w:space="0" w:color="000000"/>
            </w:tcBorders>
          </w:tcPr>
          <w:p>
            <w:pPr>
              <w:pStyle w:val="TableParagraph"/>
              <w:spacing w:before="56"/>
              <w:ind w:left="96"/>
              <w:rPr>
                <w:sz w:val="12"/>
              </w:rPr>
            </w:pPr>
            <w:r>
              <w:rPr>
                <w:w w:val="110"/>
                <w:sz w:val="12"/>
              </w:rPr>
              <w:t>Overall sample size</w:t>
            </w:r>
          </w:p>
        </w:tc>
        <w:tc>
          <w:tcPr>
            <w:tcW w:w="1621" w:type="dxa"/>
            <w:tcBorders>
              <w:top w:val="single" w:sz="6" w:space="0" w:color="000000"/>
              <w:bottom w:val="single" w:sz="6" w:space="0" w:color="000000"/>
            </w:tcBorders>
          </w:tcPr>
          <w:p>
            <w:pPr>
              <w:pStyle w:val="TableParagraph"/>
              <w:spacing w:before="56"/>
              <w:ind w:left="154"/>
              <w:rPr>
                <w:sz w:val="12"/>
              </w:rPr>
            </w:pPr>
            <w:r>
              <w:rPr>
                <w:w w:val="110"/>
                <w:sz w:val="12"/>
              </w:rPr>
              <w:t>Main comparison</w:t>
            </w:r>
          </w:p>
        </w:tc>
        <w:tc>
          <w:tcPr>
            <w:tcW w:w="2977" w:type="dxa"/>
            <w:tcBorders>
              <w:top w:val="single" w:sz="6" w:space="0" w:color="000000"/>
              <w:bottom w:val="single" w:sz="6" w:space="0" w:color="000000"/>
            </w:tcBorders>
          </w:tcPr>
          <w:p>
            <w:pPr>
              <w:pStyle w:val="TableParagraph"/>
              <w:spacing w:before="56"/>
              <w:ind w:left="25"/>
              <w:rPr>
                <w:sz w:val="12"/>
              </w:rPr>
            </w:pPr>
            <w:r>
              <w:rPr>
                <w:w w:val="115"/>
                <w:sz w:val="12"/>
              </w:rPr>
              <w:t>Infection de</w:t>
            </w:r>
            <w:r>
              <w:rPr>
                <w:rFonts w:ascii="Times New Roman" w:hAnsi="Times New Roman"/>
                <w:w w:val="115"/>
                <w:sz w:val="12"/>
              </w:rPr>
              <w:t>ﬁ</w:t>
            </w:r>
            <w:r>
              <w:rPr>
                <w:w w:val="115"/>
                <w:sz w:val="12"/>
              </w:rPr>
              <w:t>nitions</w:t>
            </w:r>
          </w:p>
        </w:tc>
      </w:tr>
      <w:tr>
        <w:trPr>
          <w:trHeight w:val="210" w:hRule="atLeast"/>
        </w:trPr>
        <w:tc>
          <w:tcPr>
            <w:tcW w:w="1544" w:type="dxa"/>
            <w:tcBorders>
              <w:top w:val="single" w:sz="6" w:space="0" w:color="000000"/>
            </w:tcBorders>
          </w:tcPr>
          <w:p>
            <w:pPr>
              <w:pStyle w:val="TableParagraph"/>
              <w:spacing w:line="134" w:lineRule="exact" w:before="56"/>
              <w:ind w:left="120"/>
              <w:rPr>
                <w:sz w:val="12"/>
              </w:rPr>
            </w:pPr>
            <w:r>
              <w:rPr>
                <w:w w:val="115"/>
                <w:sz w:val="12"/>
              </w:rPr>
              <w:t>Khan et al. [</w:t>
            </w:r>
            <w:hyperlink w:history="true" w:anchor="_bookmark31">
              <w:r>
                <w:rPr>
                  <w:color w:val="007FAC"/>
                  <w:w w:val="115"/>
                  <w:sz w:val="12"/>
                </w:rPr>
                <w:t>20</w:t>
              </w:r>
            </w:hyperlink>
            <w:r>
              <w:rPr>
                <w:w w:val="115"/>
                <w:sz w:val="12"/>
              </w:rPr>
              <w:t>]</w:t>
            </w:r>
          </w:p>
        </w:tc>
        <w:tc>
          <w:tcPr>
            <w:tcW w:w="965" w:type="dxa"/>
            <w:tcBorders>
              <w:top w:val="single" w:sz="6" w:space="0" w:color="000000"/>
            </w:tcBorders>
          </w:tcPr>
          <w:p>
            <w:pPr>
              <w:pStyle w:val="TableParagraph"/>
              <w:spacing w:line="134" w:lineRule="exact" w:before="56"/>
              <w:ind w:left="67"/>
              <w:rPr>
                <w:sz w:val="12"/>
              </w:rPr>
            </w:pPr>
            <w:r>
              <w:rPr>
                <w:w w:val="125"/>
                <w:sz w:val="12"/>
              </w:rPr>
              <w:t>2006</w:t>
            </w:r>
          </w:p>
        </w:tc>
        <w:tc>
          <w:tcPr>
            <w:tcW w:w="1609" w:type="dxa"/>
            <w:tcBorders>
              <w:top w:val="single" w:sz="6" w:space="0" w:color="000000"/>
            </w:tcBorders>
          </w:tcPr>
          <w:p>
            <w:pPr>
              <w:pStyle w:val="TableParagraph"/>
              <w:spacing w:line="134" w:lineRule="exact" w:before="56"/>
              <w:ind w:left="593"/>
              <w:rPr>
                <w:sz w:val="12"/>
              </w:rPr>
            </w:pPr>
            <w:r>
              <w:rPr>
                <w:w w:val="110"/>
                <w:sz w:val="12"/>
              </w:rPr>
              <w:t>Australia</w:t>
            </w:r>
          </w:p>
        </w:tc>
        <w:tc>
          <w:tcPr>
            <w:tcW w:w="1641" w:type="dxa"/>
            <w:tcBorders>
              <w:top w:val="single" w:sz="6" w:space="0" w:color="000000"/>
            </w:tcBorders>
          </w:tcPr>
          <w:p>
            <w:pPr>
              <w:pStyle w:val="TableParagraph"/>
              <w:spacing w:line="134" w:lineRule="exact" w:before="56"/>
              <w:ind w:left="476"/>
              <w:rPr>
                <w:sz w:val="12"/>
              </w:rPr>
            </w:pPr>
            <w:r>
              <w:rPr>
                <w:sz w:val="12"/>
              </w:rPr>
              <w:t>RCT</w:t>
            </w:r>
          </w:p>
        </w:tc>
        <w:tc>
          <w:tcPr>
            <w:tcW w:w="1720" w:type="dxa"/>
            <w:tcBorders>
              <w:top w:val="single" w:sz="6" w:space="0" w:color="000000"/>
            </w:tcBorders>
          </w:tcPr>
          <w:p>
            <w:pPr>
              <w:pStyle w:val="TableParagraph"/>
              <w:spacing w:line="134" w:lineRule="exact" w:before="56"/>
              <w:ind w:left="326"/>
              <w:rPr>
                <w:sz w:val="12"/>
              </w:rPr>
            </w:pPr>
            <w:r>
              <w:rPr>
                <w:w w:val="115"/>
                <w:sz w:val="12"/>
              </w:rPr>
              <w:t>Hip and knee</w:t>
            </w:r>
          </w:p>
        </w:tc>
        <w:tc>
          <w:tcPr>
            <w:tcW w:w="1433" w:type="dxa"/>
            <w:tcBorders>
              <w:top w:val="single" w:sz="6" w:space="0" w:color="000000"/>
            </w:tcBorders>
          </w:tcPr>
          <w:p>
            <w:pPr>
              <w:pStyle w:val="TableParagraph"/>
              <w:spacing w:line="134" w:lineRule="exact" w:before="56"/>
              <w:ind w:left="262"/>
              <w:rPr>
                <w:sz w:val="12"/>
              </w:rPr>
            </w:pPr>
            <w:r>
              <w:rPr>
                <w:w w:val="125"/>
                <w:sz w:val="12"/>
              </w:rPr>
              <w:t>187</w:t>
            </w:r>
          </w:p>
        </w:tc>
        <w:tc>
          <w:tcPr>
            <w:tcW w:w="1621" w:type="dxa"/>
            <w:tcBorders>
              <w:top w:val="single" w:sz="6" w:space="0" w:color="000000"/>
            </w:tcBorders>
          </w:tcPr>
          <w:p>
            <w:pPr>
              <w:pStyle w:val="TableParagraph"/>
              <w:spacing w:line="134" w:lineRule="exact" w:before="56"/>
              <w:ind w:left="155"/>
              <w:rPr>
                <w:sz w:val="12"/>
              </w:rPr>
            </w:pPr>
            <w:r>
              <w:rPr>
                <w:w w:val="110"/>
                <w:sz w:val="12"/>
              </w:rPr>
              <w:t>Sutures vs staples vs</w:t>
            </w:r>
          </w:p>
        </w:tc>
        <w:tc>
          <w:tcPr>
            <w:tcW w:w="2977" w:type="dxa"/>
            <w:tcBorders>
              <w:top w:val="single" w:sz="6" w:space="0" w:color="000000"/>
            </w:tcBorders>
          </w:tcPr>
          <w:p>
            <w:pPr>
              <w:pStyle w:val="TableParagraph"/>
              <w:spacing w:line="134" w:lineRule="exact" w:before="56"/>
              <w:ind w:left="26"/>
              <w:rPr>
                <w:sz w:val="12"/>
              </w:rPr>
            </w:pPr>
            <w:r>
              <w:rPr>
                <w:w w:val="115"/>
                <w:sz w:val="12"/>
              </w:rPr>
              <w:t>All wounds with discharge after the third day</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sz w:val="12"/>
              </w:rPr>
              <w:t>TSA</w:t>
            </w:r>
          </w:p>
        </w:tc>
        <w:tc>
          <w:tcPr>
            <w:tcW w:w="2977" w:type="dxa"/>
          </w:tcPr>
          <w:p>
            <w:pPr>
              <w:pStyle w:val="TableParagraph"/>
              <w:spacing w:line="134" w:lineRule="exact" w:before="17"/>
              <w:ind w:left="26"/>
              <w:rPr>
                <w:sz w:val="12"/>
              </w:rPr>
            </w:pPr>
            <w:r>
              <w:rPr>
                <w:w w:val="115"/>
                <w:sz w:val="12"/>
              </w:rPr>
              <w:t>were swabbed and cultured. Where cultures</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5"/>
                <w:sz w:val="12"/>
              </w:rPr>
              <w:t>were positive or there was clinical evidence of</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5" w:lineRule="exact" w:before="17"/>
              <w:ind w:left="26"/>
              <w:rPr>
                <w:sz w:val="12"/>
              </w:rPr>
            </w:pPr>
            <w:r>
              <w:rPr>
                <w:w w:val="115"/>
                <w:sz w:val="12"/>
              </w:rPr>
              <w:t>cellulitis, the patients were treated with a</w:t>
            </w:r>
          </w:p>
        </w:tc>
      </w:tr>
      <w:tr>
        <w:trPr>
          <w:trHeight w:val="170"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3" w:lineRule="exact" w:before="17"/>
              <w:ind w:left="26"/>
              <w:rPr>
                <w:sz w:val="12"/>
              </w:rPr>
            </w:pPr>
            <w:r>
              <w:rPr>
                <w:w w:val="115"/>
                <w:sz w:val="12"/>
              </w:rPr>
              <w:t>course of antibiotics and recorded as having an</w:t>
            </w:r>
          </w:p>
        </w:tc>
      </w:tr>
      <w:tr>
        <w:trPr>
          <w:trHeight w:val="172"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5" w:lineRule="exact" w:before="17"/>
              <w:ind w:left="26"/>
              <w:rPr>
                <w:sz w:val="12"/>
              </w:rPr>
            </w:pPr>
            <w:r>
              <w:rPr>
                <w:rFonts w:ascii="Lucida Sans" w:hAnsi="Lucida Sans"/>
                <w:w w:val="115"/>
                <w:sz w:val="12"/>
              </w:rPr>
              <w:t>“</w:t>
            </w:r>
            <w:r>
              <w:rPr>
                <w:w w:val="115"/>
                <w:sz w:val="12"/>
              </w:rPr>
              <w:t>infection.</w:t>
            </w:r>
            <w:r>
              <w:rPr>
                <w:rFonts w:ascii="Lucida Sans" w:hAnsi="Lucida Sans"/>
                <w:w w:val="115"/>
                <w:sz w:val="12"/>
              </w:rPr>
              <w:t>” </w:t>
            </w:r>
            <w:r>
              <w:rPr>
                <w:w w:val="115"/>
                <w:sz w:val="12"/>
              </w:rPr>
              <w:t>No further de</w:t>
            </w:r>
            <w:r>
              <w:rPr>
                <w:rFonts w:ascii="Times New Roman" w:hAnsi="Times New Roman"/>
                <w:w w:val="115"/>
                <w:sz w:val="12"/>
              </w:rPr>
              <w:t>ﬁ</w:t>
            </w:r>
            <w:r>
              <w:rPr>
                <w:w w:val="115"/>
                <w:sz w:val="12"/>
              </w:rPr>
              <w:t>nition of super</w:t>
            </w:r>
            <w:r>
              <w:rPr>
                <w:rFonts w:ascii="Times New Roman" w:hAnsi="Times New Roman"/>
                <w:w w:val="115"/>
                <w:sz w:val="12"/>
              </w:rPr>
              <w:t>ﬁ</w:t>
            </w:r>
            <w:r>
              <w:rPr>
                <w:w w:val="115"/>
                <w:sz w:val="12"/>
              </w:rPr>
              <w:t>cial</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5" w:lineRule="exact" w:before="16"/>
              <w:ind w:left="26"/>
              <w:rPr>
                <w:sz w:val="12"/>
              </w:rPr>
            </w:pPr>
            <w:r>
              <w:rPr>
                <w:w w:val="115"/>
                <w:sz w:val="12"/>
              </w:rPr>
              <w:t>and deep. Text stated, </w:t>
            </w:r>
            <w:r>
              <w:rPr>
                <w:rFonts w:ascii="Lucida Sans" w:hAnsi="Lucida Sans"/>
                <w:w w:val="115"/>
                <w:sz w:val="12"/>
              </w:rPr>
              <w:t>“</w:t>
            </w:r>
            <w:r>
              <w:rPr>
                <w:w w:val="115"/>
                <w:sz w:val="12"/>
              </w:rPr>
              <w:t>no cases of deep</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5" w:lineRule="exact" w:before="16"/>
              <w:ind w:left="26"/>
              <w:rPr>
                <w:sz w:val="12"/>
              </w:rPr>
            </w:pPr>
            <w:r>
              <w:rPr>
                <w:w w:val="115"/>
                <w:sz w:val="12"/>
              </w:rPr>
              <w:t>infection</w:t>
            </w:r>
            <w:r>
              <w:rPr>
                <w:rFonts w:ascii="Lucida Sans" w:hAnsi="Lucida Sans"/>
                <w:w w:val="115"/>
                <w:sz w:val="12"/>
              </w:rPr>
              <w:t>”</w:t>
            </w:r>
            <w:r>
              <w:rPr>
                <w:w w:val="115"/>
                <w:sz w:val="12"/>
              </w:rPr>
              <w:t>. Infections reported as </w:t>
            </w:r>
            <w:r>
              <w:rPr>
                <w:rFonts w:ascii="Lucida Sans" w:hAnsi="Lucida Sans"/>
                <w:w w:val="115"/>
                <w:sz w:val="12"/>
              </w:rPr>
              <w:t>“</w:t>
            </w:r>
            <w:r>
              <w:rPr>
                <w:w w:val="115"/>
                <w:sz w:val="12"/>
              </w:rPr>
              <w:t>early</w:t>
            </w:r>
            <w:r>
              <w:rPr>
                <w:rFonts w:ascii="Lucida Sans" w:hAnsi="Lucida Sans"/>
                <w:w w:val="115"/>
                <w:sz w:val="12"/>
              </w:rPr>
              <w:t>” </w:t>
            </w:r>
            <w:r>
              <w:rPr>
                <w:w w:val="115"/>
                <w:sz w:val="12"/>
              </w:rPr>
              <w:t>and</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6"/>
              <w:ind w:left="26"/>
              <w:rPr>
                <w:sz w:val="12"/>
              </w:rPr>
            </w:pPr>
            <w:r>
              <w:rPr>
                <w:rFonts w:ascii="Lucida Sans" w:hAnsi="Lucida Sans"/>
                <w:w w:val="115"/>
                <w:sz w:val="12"/>
              </w:rPr>
              <w:t>“</w:t>
            </w:r>
            <w:r>
              <w:rPr>
                <w:w w:val="115"/>
                <w:sz w:val="12"/>
              </w:rPr>
              <w:t>late</w:t>
            </w:r>
            <w:r>
              <w:rPr>
                <w:rFonts w:ascii="Lucida Sans" w:hAnsi="Lucida Sans"/>
                <w:w w:val="115"/>
                <w:sz w:val="12"/>
              </w:rPr>
              <w:t>” </w:t>
            </w:r>
            <w:r>
              <w:rPr>
                <w:w w:val="115"/>
                <w:sz w:val="12"/>
              </w:rPr>
              <w:t>were summed.</w:t>
            </w:r>
          </w:p>
        </w:tc>
      </w:tr>
      <w:tr>
        <w:trPr>
          <w:trHeight w:val="172" w:hRule="atLeast"/>
        </w:trPr>
        <w:tc>
          <w:tcPr>
            <w:tcW w:w="1544" w:type="dxa"/>
          </w:tcPr>
          <w:p>
            <w:pPr>
              <w:pStyle w:val="TableParagraph"/>
              <w:spacing w:line="134" w:lineRule="exact" w:before="18"/>
              <w:ind w:left="120"/>
              <w:rPr>
                <w:sz w:val="12"/>
              </w:rPr>
            </w:pPr>
            <w:r>
              <w:rPr>
                <w:w w:val="110"/>
                <w:sz w:val="12"/>
              </w:rPr>
              <w:t>Singhal and Hussain</w:t>
            </w:r>
          </w:p>
        </w:tc>
        <w:tc>
          <w:tcPr>
            <w:tcW w:w="965" w:type="dxa"/>
          </w:tcPr>
          <w:p>
            <w:pPr>
              <w:pStyle w:val="TableParagraph"/>
              <w:spacing w:line="134" w:lineRule="exact" w:before="18"/>
              <w:ind w:left="67"/>
              <w:rPr>
                <w:sz w:val="12"/>
              </w:rPr>
            </w:pPr>
            <w:r>
              <w:rPr>
                <w:w w:val="125"/>
                <w:sz w:val="12"/>
              </w:rPr>
              <w:t>2006</w:t>
            </w:r>
          </w:p>
        </w:tc>
        <w:tc>
          <w:tcPr>
            <w:tcW w:w="1609" w:type="dxa"/>
          </w:tcPr>
          <w:p>
            <w:pPr>
              <w:pStyle w:val="TableParagraph"/>
              <w:spacing w:line="134" w:lineRule="exact" w:before="18"/>
              <w:ind w:left="593"/>
              <w:rPr>
                <w:sz w:val="12"/>
              </w:rPr>
            </w:pPr>
            <w:r>
              <w:rPr>
                <w:sz w:val="12"/>
              </w:rPr>
              <w:t>UK</w:t>
            </w:r>
          </w:p>
        </w:tc>
        <w:tc>
          <w:tcPr>
            <w:tcW w:w="1641" w:type="dxa"/>
          </w:tcPr>
          <w:p>
            <w:pPr>
              <w:pStyle w:val="TableParagraph"/>
              <w:spacing w:line="134" w:lineRule="exact" w:before="18"/>
              <w:ind w:left="476"/>
              <w:rPr>
                <w:sz w:val="12"/>
              </w:rPr>
            </w:pPr>
            <w:r>
              <w:rPr>
                <w:w w:val="110"/>
                <w:sz w:val="12"/>
              </w:rPr>
              <w:t>Observational</w:t>
            </w:r>
          </w:p>
        </w:tc>
        <w:tc>
          <w:tcPr>
            <w:tcW w:w="1720" w:type="dxa"/>
          </w:tcPr>
          <w:p>
            <w:pPr>
              <w:pStyle w:val="TableParagraph"/>
              <w:spacing w:line="134" w:lineRule="exact" w:before="18"/>
              <w:ind w:left="326"/>
              <w:rPr>
                <w:sz w:val="12"/>
              </w:rPr>
            </w:pPr>
            <w:r>
              <w:rPr>
                <w:w w:val="115"/>
                <w:sz w:val="12"/>
              </w:rPr>
              <w:t>Mixed hip and knee</w:t>
            </w:r>
          </w:p>
        </w:tc>
        <w:tc>
          <w:tcPr>
            <w:tcW w:w="1433" w:type="dxa"/>
          </w:tcPr>
          <w:p>
            <w:pPr>
              <w:pStyle w:val="TableParagraph"/>
              <w:spacing w:line="134" w:lineRule="exact" w:before="18"/>
              <w:ind w:left="262"/>
              <w:rPr>
                <w:sz w:val="12"/>
              </w:rPr>
            </w:pPr>
            <w:r>
              <w:rPr>
                <w:w w:val="125"/>
                <w:sz w:val="12"/>
              </w:rPr>
              <w:t>182</w:t>
            </w:r>
          </w:p>
        </w:tc>
        <w:tc>
          <w:tcPr>
            <w:tcW w:w="1621" w:type="dxa"/>
          </w:tcPr>
          <w:p>
            <w:pPr>
              <w:pStyle w:val="TableParagraph"/>
              <w:spacing w:line="134" w:lineRule="exact" w:before="18"/>
              <w:ind w:left="155"/>
              <w:rPr>
                <w:sz w:val="12"/>
              </w:rPr>
            </w:pPr>
            <w:r>
              <w:rPr>
                <w:w w:val="115"/>
                <w:sz w:val="12"/>
              </w:rPr>
              <w:t>Single-arm staples</w:t>
            </w:r>
          </w:p>
        </w:tc>
        <w:tc>
          <w:tcPr>
            <w:tcW w:w="2977" w:type="dxa"/>
          </w:tcPr>
          <w:p>
            <w:pPr>
              <w:pStyle w:val="TableParagraph"/>
              <w:spacing w:line="134" w:lineRule="exact" w:before="18"/>
              <w:ind w:left="26"/>
              <w:rPr>
                <w:sz w:val="12"/>
              </w:rPr>
            </w:pPr>
            <w:r>
              <w:rPr>
                <w:w w:val="115"/>
                <w:sz w:val="12"/>
              </w:rPr>
              <w:t>Super</w:t>
            </w:r>
            <w:r>
              <w:rPr>
                <w:rFonts w:ascii="Times New Roman" w:hAnsi="Times New Roman"/>
                <w:w w:val="115"/>
                <w:sz w:val="12"/>
              </w:rPr>
              <w:t>ﬁ</w:t>
            </w:r>
            <w:r>
              <w:rPr>
                <w:w w:val="115"/>
                <w:sz w:val="12"/>
              </w:rPr>
              <w:t>cial infection, those with positive</w:t>
            </w:r>
          </w:p>
        </w:tc>
      </w:tr>
      <w:tr>
        <w:trPr>
          <w:trHeight w:val="342" w:hRule="atLeast"/>
        </w:trPr>
        <w:tc>
          <w:tcPr>
            <w:tcW w:w="1544" w:type="dxa"/>
          </w:tcPr>
          <w:p>
            <w:pPr>
              <w:pStyle w:val="TableParagraph"/>
              <w:spacing w:before="17"/>
              <w:ind w:left="278"/>
              <w:rPr>
                <w:sz w:val="12"/>
              </w:rPr>
            </w:pPr>
            <w:r>
              <w:rPr>
                <w:w w:val="120"/>
                <w:sz w:val="12"/>
              </w:rPr>
              <w:t>[</w:t>
            </w:r>
            <w:hyperlink w:history="true" w:anchor="_bookmark27">
              <w:r>
                <w:rPr>
                  <w:color w:val="007FAC"/>
                  <w:w w:val="120"/>
                  <w:sz w:val="12"/>
                </w:rPr>
                <w:t>16</w:t>
              </w:r>
            </w:hyperlink>
            <w:r>
              <w:rPr>
                <w:w w:val="120"/>
                <w:sz w:val="12"/>
              </w:rPr>
              <w:t>]</w:t>
            </w:r>
          </w:p>
        </w:tc>
        <w:tc>
          <w:tcPr>
            <w:tcW w:w="965" w:type="dxa"/>
          </w:tcPr>
          <w:p>
            <w:pPr>
              <w:pStyle w:val="TableParagraph"/>
              <w:rPr>
                <w:rFonts w:ascii="Times New Roman"/>
                <w:sz w:val="12"/>
              </w:rPr>
            </w:pPr>
          </w:p>
        </w:tc>
        <w:tc>
          <w:tcPr>
            <w:tcW w:w="1609" w:type="dxa"/>
          </w:tcPr>
          <w:p>
            <w:pPr>
              <w:pStyle w:val="TableParagraph"/>
              <w:rPr>
                <w:rFonts w:ascii="Times New Roman"/>
                <w:sz w:val="12"/>
              </w:rPr>
            </w:pPr>
          </w:p>
        </w:tc>
        <w:tc>
          <w:tcPr>
            <w:tcW w:w="1641" w:type="dxa"/>
          </w:tcPr>
          <w:p>
            <w:pPr>
              <w:pStyle w:val="TableParagraph"/>
              <w:rPr>
                <w:rFonts w:ascii="Times New Roman"/>
                <w:sz w:val="12"/>
              </w:rPr>
            </w:pPr>
          </w:p>
        </w:tc>
        <w:tc>
          <w:tcPr>
            <w:tcW w:w="1720" w:type="dxa"/>
          </w:tcPr>
          <w:p>
            <w:pPr>
              <w:pStyle w:val="TableParagraph"/>
              <w:rPr>
                <w:rFonts w:ascii="Times New Roman"/>
                <w:sz w:val="12"/>
              </w:rPr>
            </w:pPr>
          </w:p>
        </w:tc>
        <w:tc>
          <w:tcPr>
            <w:tcW w:w="1433" w:type="dxa"/>
          </w:tcPr>
          <w:p>
            <w:pPr>
              <w:pStyle w:val="TableParagraph"/>
              <w:rPr>
                <w:rFonts w:ascii="Times New Roman"/>
                <w:sz w:val="12"/>
              </w:rPr>
            </w:pPr>
          </w:p>
        </w:tc>
        <w:tc>
          <w:tcPr>
            <w:tcW w:w="1621" w:type="dxa"/>
          </w:tcPr>
          <w:p>
            <w:pPr>
              <w:pStyle w:val="TableParagraph"/>
              <w:rPr>
                <w:rFonts w:ascii="Times New Roman"/>
                <w:sz w:val="12"/>
              </w:rPr>
            </w:pPr>
          </w:p>
        </w:tc>
        <w:tc>
          <w:tcPr>
            <w:tcW w:w="2977" w:type="dxa"/>
          </w:tcPr>
          <w:p>
            <w:pPr>
              <w:pStyle w:val="TableParagraph"/>
              <w:spacing w:before="17"/>
              <w:ind w:left="26"/>
              <w:rPr>
                <w:sz w:val="12"/>
              </w:rPr>
            </w:pPr>
            <w:r>
              <w:rPr>
                <w:w w:val="115"/>
                <w:sz w:val="12"/>
              </w:rPr>
              <w:t>wound swabs were regarded as wound</w:t>
            </w:r>
          </w:p>
          <w:p>
            <w:pPr>
              <w:pStyle w:val="TableParagraph"/>
              <w:spacing w:line="133" w:lineRule="exact" w:before="23"/>
              <w:ind w:left="26"/>
              <w:rPr>
                <w:sz w:val="12"/>
              </w:rPr>
            </w:pPr>
            <w:r>
              <w:rPr>
                <w:w w:val="115"/>
                <w:sz w:val="12"/>
              </w:rPr>
              <w:t>infections, was treated with antibiotics. Deep</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3" w:lineRule="exact" w:before="18"/>
              <w:ind w:left="26"/>
              <w:rPr>
                <w:sz w:val="12"/>
              </w:rPr>
            </w:pPr>
            <w:r>
              <w:rPr>
                <w:w w:val="115"/>
                <w:sz w:val="12"/>
              </w:rPr>
              <w:t>infection not de</w:t>
            </w:r>
            <w:r>
              <w:rPr>
                <w:rFonts w:ascii="Times New Roman" w:hAnsi="Times New Roman"/>
                <w:w w:val="115"/>
                <w:sz w:val="12"/>
              </w:rPr>
              <w:t>ﬁ</w:t>
            </w:r>
            <w:r>
              <w:rPr>
                <w:w w:val="115"/>
                <w:sz w:val="12"/>
              </w:rPr>
              <w:t>ned or mentioned as outcome.</w:t>
            </w:r>
          </w:p>
        </w:tc>
      </w:tr>
      <w:tr>
        <w:trPr>
          <w:trHeight w:val="172" w:hRule="atLeast"/>
        </w:trPr>
        <w:tc>
          <w:tcPr>
            <w:tcW w:w="1544" w:type="dxa"/>
          </w:tcPr>
          <w:p>
            <w:pPr>
              <w:pStyle w:val="TableParagraph"/>
              <w:spacing w:line="134" w:lineRule="exact" w:before="18"/>
              <w:ind w:left="120"/>
              <w:rPr>
                <w:sz w:val="12"/>
              </w:rPr>
            </w:pPr>
            <w:r>
              <w:rPr>
                <w:w w:val="115"/>
                <w:sz w:val="12"/>
              </w:rPr>
              <w:t>Khurana et al. [</w:t>
            </w:r>
            <w:hyperlink w:history="true" w:anchor="_bookmark26">
              <w:r>
                <w:rPr>
                  <w:color w:val="007FAC"/>
                  <w:w w:val="115"/>
                  <w:sz w:val="12"/>
                </w:rPr>
                <w:t>15</w:t>
              </w:r>
            </w:hyperlink>
            <w:r>
              <w:rPr>
                <w:w w:val="115"/>
                <w:sz w:val="12"/>
              </w:rPr>
              <w:t>]</w:t>
            </w:r>
          </w:p>
        </w:tc>
        <w:tc>
          <w:tcPr>
            <w:tcW w:w="965" w:type="dxa"/>
          </w:tcPr>
          <w:p>
            <w:pPr>
              <w:pStyle w:val="TableParagraph"/>
              <w:spacing w:line="134" w:lineRule="exact" w:before="18"/>
              <w:ind w:left="67"/>
              <w:rPr>
                <w:sz w:val="12"/>
              </w:rPr>
            </w:pPr>
            <w:r>
              <w:rPr>
                <w:w w:val="125"/>
                <w:sz w:val="12"/>
              </w:rPr>
              <w:t>2008</w:t>
            </w:r>
          </w:p>
        </w:tc>
        <w:tc>
          <w:tcPr>
            <w:tcW w:w="1609" w:type="dxa"/>
          </w:tcPr>
          <w:p>
            <w:pPr>
              <w:pStyle w:val="TableParagraph"/>
              <w:spacing w:line="134" w:lineRule="exact" w:before="18"/>
              <w:ind w:left="593"/>
              <w:rPr>
                <w:sz w:val="12"/>
              </w:rPr>
            </w:pPr>
            <w:r>
              <w:rPr>
                <w:sz w:val="12"/>
              </w:rPr>
              <w:t>UK</w:t>
            </w:r>
          </w:p>
        </w:tc>
        <w:tc>
          <w:tcPr>
            <w:tcW w:w="1641" w:type="dxa"/>
          </w:tcPr>
          <w:p>
            <w:pPr>
              <w:pStyle w:val="TableParagraph"/>
              <w:spacing w:line="134" w:lineRule="exact" w:before="18"/>
              <w:ind w:left="476"/>
              <w:rPr>
                <w:sz w:val="12"/>
              </w:rPr>
            </w:pPr>
            <w:r>
              <w:rPr>
                <w:w w:val="110"/>
                <w:sz w:val="12"/>
              </w:rPr>
              <w:t>Observational</w:t>
            </w:r>
          </w:p>
        </w:tc>
        <w:tc>
          <w:tcPr>
            <w:tcW w:w="1720" w:type="dxa"/>
          </w:tcPr>
          <w:p>
            <w:pPr>
              <w:pStyle w:val="TableParagraph"/>
              <w:spacing w:line="134" w:lineRule="exact" w:before="18"/>
              <w:ind w:left="326"/>
              <w:rPr>
                <w:sz w:val="12"/>
              </w:rPr>
            </w:pPr>
            <w:r>
              <w:rPr>
                <w:w w:val="105"/>
                <w:sz w:val="12"/>
              </w:rPr>
              <w:t>Hip</w:t>
            </w:r>
          </w:p>
        </w:tc>
        <w:tc>
          <w:tcPr>
            <w:tcW w:w="1433" w:type="dxa"/>
          </w:tcPr>
          <w:p>
            <w:pPr>
              <w:pStyle w:val="TableParagraph"/>
              <w:spacing w:line="134" w:lineRule="exact" w:before="18"/>
              <w:ind w:left="338"/>
              <w:rPr>
                <w:sz w:val="12"/>
              </w:rPr>
            </w:pPr>
            <w:r>
              <w:rPr>
                <w:w w:val="125"/>
                <w:sz w:val="12"/>
              </w:rPr>
              <w:t>93</w:t>
            </w:r>
          </w:p>
        </w:tc>
        <w:tc>
          <w:tcPr>
            <w:tcW w:w="1621" w:type="dxa"/>
          </w:tcPr>
          <w:p>
            <w:pPr>
              <w:pStyle w:val="TableParagraph"/>
              <w:spacing w:line="134" w:lineRule="exact" w:before="18"/>
              <w:ind w:left="155"/>
              <w:rPr>
                <w:sz w:val="12"/>
              </w:rPr>
            </w:pPr>
            <w:r>
              <w:rPr>
                <w:w w:val="110"/>
                <w:sz w:val="12"/>
              </w:rPr>
              <w:t>Single-arm TSA</w:t>
            </w:r>
          </w:p>
        </w:tc>
        <w:tc>
          <w:tcPr>
            <w:tcW w:w="2977" w:type="dxa"/>
          </w:tcPr>
          <w:p>
            <w:pPr>
              <w:pStyle w:val="TableParagraph"/>
              <w:spacing w:line="134" w:lineRule="exact" w:before="18"/>
              <w:ind w:left="26"/>
              <w:rPr>
                <w:sz w:val="12"/>
              </w:rPr>
            </w:pPr>
            <w:r>
              <w:rPr>
                <w:w w:val="115"/>
                <w:sz w:val="12"/>
              </w:rPr>
              <w:t>De</w:t>
            </w:r>
            <w:r>
              <w:rPr>
                <w:rFonts w:ascii="Times New Roman" w:hAnsi="Times New Roman"/>
                <w:w w:val="115"/>
                <w:sz w:val="12"/>
              </w:rPr>
              <w:t>ﬁ</w:t>
            </w:r>
            <w:r>
              <w:rPr>
                <w:w w:val="115"/>
                <w:sz w:val="12"/>
              </w:rPr>
              <w:t>nition not reported.</w:t>
            </w:r>
          </w:p>
        </w:tc>
      </w:tr>
      <w:tr>
        <w:trPr>
          <w:trHeight w:val="169" w:hRule="atLeast"/>
        </w:trPr>
        <w:tc>
          <w:tcPr>
            <w:tcW w:w="1544" w:type="dxa"/>
          </w:tcPr>
          <w:p>
            <w:pPr>
              <w:pStyle w:val="TableParagraph"/>
              <w:spacing w:line="133" w:lineRule="exact" w:before="17"/>
              <w:ind w:left="120"/>
              <w:rPr>
                <w:sz w:val="12"/>
              </w:rPr>
            </w:pPr>
            <w:r>
              <w:rPr>
                <w:w w:val="115"/>
                <w:sz w:val="12"/>
              </w:rPr>
              <w:t>Livesey et al. [</w:t>
            </w:r>
            <w:hyperlink w:history="true" w:anchor="_bookmark35">
              <w:r>
                <w:rPr>
                  <w:color w:val="007FAC"/>
                  <w:w w:val="115"/>
                  <w:sz w:val="12"/>
                </w:rPr>
                <w:t>24</w:t>
              </w:r>
            </w:hyperlink>
            <w:r>
              <w:rPr>
                <w:w w:val="115"/>
                <w:sz w:val="12"/>
              </w:rPr>
              <w:t>]</w:t>
            </w:r>
          </w:p>
        </w:tc>
        <w:tc>
          <w:tcPr>
            <w:tcW w:w="965" w:type="dxa"/>
          </w:tcPr>
          <w:p>
            <w:pPr>
              <w:pStyle w:val="TableParagraph"/>
              <w:spacing w:line="133" w:lineRule="exact" w:before="17"/>
              <w:ind w:left="67"/>
              <w:rPr>
                <w:sz w:val="12"/>
              </w:rPr>
            </w:pPr>
            <w:r>
              <w:rPr>
                <w:w w:val="125"/>
                <w:sz w:val="12"/>
              </w:rPr>
              <w:t>2009</w:t>
            </w:r>
          </w:p>
        </w:tc>
        <w:tc>
          <w:tcPr>
            <w:tcW w:w="1609" w:type="dxa"/>
          </w:tcPr>
          <w:p>
            <w:pPr>
              <w:pStyle w:val="TableParagraph"/>
              <w:spacing w:line="133" w:lineRule="exact" w:before="17"/>
              <w:ind w:left="593"/>
              <w:rPr>
                <w:sz w:val="12"/>
              </w:rPr>
            </w:pPr>
            <w:r>
              <w:rPr>
                <w:sz w:val="12"/>
              </w:rPr>
              <w:t>UK</w:t>
            </w:r>
          </w:p>
        </w:tc>
        <w:tc>
          <w:tcPr>
            <w:tcW w:w="1641" w:type="dxa"/>
          </w:tcPr>
          <w:p>
            <w:pPr>
              <w:pStyle w:val="TableParagraph"/>
              <w:spacing w:line="133" w:lineRule="exact" w:before="17"/>
              <w:ind w:left="476"/>
              <w:rPr>
                <w:sz w:val="12"/>
              </w:rPr>
            </w:pPr>
            <w:r>
              <w:rPr>
                <w:sz w:val="12"/>
              </w:rPr>
              <w:t>RCT</w:t>
            </w:r>
          </w:p>
        </w:tc>
        <w:tc>
          <w:tcPr>
            <w:tcW w:w="1720" w:type="dxa"/>
          </w:tcPr>
          <w:p>
            <w:pPr>
              <w:pStyle w:val="TableParagraph"/>
              <w:spacing w:line="133" w:lineRule="exact" w:before="17"/>
              <w:ind w:left="326"/>
              <w:rPr>
                <w:sz w:val="12"/>
              </w:rPr>
            </w:pPr>
            <w:r>
              <w:rPr>
                <w:w w:val="105"/>
                <w:sz w:val="12"/>
              </w:rPr>
              <w:t>Hip</w:t>
            </w:r>
          </w:p>
        </w:tc>
        <w:tc>
          <w:tcPr>
            <w:tcW w:w="1433" w:type="dxa"/>
          </w:tcPr>
          <w:p>
            <w:pPr>
              <w:pStyle w:val="TableParagraph"/>
              <w:spacing w:line="133" w:lineRule="exact" w:before="17"/>
              <w:ind w:left="338"/>
              <w:rPr>
                <w:sz w:val="12"/>
              </w:rPr>
            </w:pPr>
            <w:r>
              <w:rPr>
                <w:w w:val="125"/>
                <w:sz w:val="12"/>
              </w:rPr>
              <w:t>77</w:t>
            </w:r>
          </w:p>
        </w:tc>
        <w:tc>
          <w:tcPr>
            <w:tcW w:w="1621" w:type="dxa"/>
          </w:tcPr>
          <w:p>
            <w:pPr>
              <w:pStyle w:val="TableParagraph"/>
              <w:spacing w:line="133" w:lineRule="exact" w:before="17"/>
              <w:ind w:left="155"/>
              <w:rPr>
                <w:sz w:val="12"/>
              </w:rPr>
            </w:pPr>
            <w:r>
              <w:rPr>
                <w:w w:val="110"/>
                <w:sz w:val="12"/>
              </w:rPr>
              <w:t>TSA vs staples</w:t>
            </w:r>
          </w:p>
        </w:tc>
        <w:tc>
          <w:tcPr>
            <w:tcW w:w="2977" w:type="dxa"/>
          </w:tcPr>
          <w:p>
            <w:pPr>
              <w:pStyle w:val="TableParagraph"/>
              <w:spacing w:line="133" w:lineRule="exact" w:before="17"/>
              <w:ind w:left="26"/>
              <w:rPr>
                <w:sz w:val="12"/>
              </w:rPr>
            </w:pPr>
            <w:r>
              <w:rPr>
                <w:w w:val="115"/>
                <w:sz w:val="12"/>
              </w:rPr>
              <w:t>Self-reported infection which required</w:t>
            </w:r>
          </w:p>
        </w:tc>
      </w:tr>
      <w:tr>
        <w:trPr>
          <w:trHeight w:val="172"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8"/>
              <w:ind w:left="26"/>
              <w:rPr>
                <w:sz w:val="12"/>
              </w:rPr>
            </w:pPr>
            <w:r>
              <w:rPr>
                <w:w w:val="115"/>
                <w:sz w:val="12"/>
              </w:rPr>
              <w:t>antibiotics. Further de</w:t>
            </w:r>
            <w:r>
              <w:rPr>
                <w:rFonts w:ascii="Times New Roman" w:hAnsi="Times New Roman"/>
                <w:w w:val="115"/>
                <w:sz w:val="12"/>
              </w:rPr>
              <w:t>ﬁ</w:t>
            </w:r>
            <w:r>
              <w:rPr>
                <w:w w:val="115"/>
                <w:sz w:val="12"/>
              </w:rPr>
              <w:t>nition for super</w:t>
            </w:r>
            <w:r>
              <w:rPr>
                <w:rFonts w:ascii="Times New Roman" w:hAnsi="Times New Roman"/>
                <w:w w:val="115"/>
                <w:sz w:val="12"/>
              </w:rPr>
              <w:t>ﬁ</w:t>
            </w:r>
            <w:r>
              <w:rPr>
                <w:w w:val="115"/>
                <w:sz w:val="12"/>
              </w:rPr>
              <w:t>cial</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3" w:lineRule="exact" w:before="17"/>
              <w:ind w:left="26"/>
              <w:rPr>
                <w:sz w:val="12"/>
              </w:rPr>
            </w:pPr>
            <w:r>
              <w:rPr>
                <w:w w:val="115"/>
                <w:sz w:val="12"/>
              </w:rPr>
              <w:t>and deep infection not reported.</w:t>
            </w:r>
          </w:p>
        </w:tc>
      </w:tr>
      <w:tr>
        <w:trPr>
          <w:trHeight w:val="172" w:hRule="atLeast"/>
        </w:trPr>
        <w:tc>
          <w:tcPr>
            <w:tcW w:w="1544" w:type="dxa"/>
          </w:tcPr>
          <w:p>
            <w:pPr>
              <w:pStyle w:val="TableParagraph"/>
              <w:spacing w:line="134" w:lineRule="exact" w:before="18"/>
              <w:ind w:left="120"/>
              <w:rPr>
                <w:sz w:val="12"/>
              </w:rPr>
            </w:pPr>
            <w:r>
              <w:rPr>
                <w:w w:val="110"/>
                <w:sz w:val="12"/>
              </w:rPr>
              <w:t>Eickmann and Quane</w:t>
            </w:r>
          </w:p>
        </w:tc>
        <w:tc>
          <w:tcPr>
            <w:tcW w:w="965" w:type="dxa"/>
          </w:tcPr>
          <w:p>
            <w:pPr>
              <w:pStyle w:val="TableParagraph"/>
              <w:spacing w:line="134" w:lineRule="exact" w:before="18"/>
              <w:ind w:left="67"/>
              <w:rPr>
                <w:sz w:val="12"/>
              </w:rPr>
            </w:pPr>
            <w:r>
              <w:rPr>
                <w:w w:val="125"/>
                <w:sz w:val="12"/>
              </w:rPr>
              <w:t>2010</w:t>
            </w:r>
          </w:p>
        </w:tc>
        <w:tc>
          <w:tcPr>
            <w:tcW w:w="1609" w:type="dxa"/>
          </w:tcPr>
          <w:p>
            <w:pPr>
              <w:pStyle w:val="TableParagraph"/>
              <w:spacing w:line="134" w:lineRule="exact" w:before="18"/>
              <w:ind w:left="593"/>
              <w:rPr>
                <w:sz w:val="12"/>
              </w:rPr>
            </w:pPr>
            <w:r>
              <w:rPr>
                <w:sz w:val="12"/>
              </w:rPr>
              <w:t>USA</w:t>
            </w:r>
          </w:p>
        </w:tc>
        <w:tc>
          <w:tcPr>
            <w:tcW w:w="1641" w:type="dxa"/>
          </w:tcPr>
          <w:p>
            <w:pPr>
              <w:pStyle w:val="TableParagraph"/>
              <w:spacing w:line="134" w:lineRule="exact" w:before="18"/>
              <w:ind w:left="476"/>
              <w:rPr>
                <w:sz w:val="12"/>
              </w:rPr>
            </w:pPr>
            <w:r>
              <w:rPr>
                <w:w w:val="110"/>
                <w:sz w:val="12"/>
              </w:rPr>
              <w:t>Observational</w:t>
            </w:r>
          </w:p>
        </w:tc>
        <w:tc>
          <w:tcPr>
            <w:tcW w:w="1720" w:type="dxa"/>
          </w:tcPr>
          <w:p>
            <w:pPr>
              <w:pStyle w:val="TableParagraph"/>
              <w:spacing w:line="134" w:lineRule="exact" w:before="18"/>
              <w:ind w:left="326"/>
              <w:rPr>
                <w:sz w:val="12"/>
              </w:rPr>
            </w:pPr>
            <w:r>
              <w:rPr>
                <w:w w:val="110"/>
                <w:sz w:val="12"/>
              </w:rPr>
              <w:t>Knee</w:t>
            </w:r>
          </w:p>
        </w:tc>
        <w:tc>
          <w:tcPr>
            <w:tcW w:w="1433" w:type="dxa"/>
          </w:tcPr>
          <w:p>
            <w:pPr>
              <w:pStyle w:val="TableParagraph"/>
              <w:spacing w:line="134" w:lineRule="exact" w:before="18"/>
              <w:ind w:left="262"/>
              <w:rPr>
                <w:sz w:val="12"/>
              </w:rPr>
            </w:pPr>
            <w:r>
              <w:rPr>
                <w:w w:val="125"/>
                <w:sz w:val="12"/>
              </w:rPr>
              <w:t>165</w:t>
            </w:r>
          </w:p>
        </w:tc>
        <w:tc>
          <w:tcPr>
            <w:tcW w:w="1621" w:type="dxa"/>
          </w:tcPr>
          <w:p>
            <w:pPr>
              <w:pStyle w:val="TableParagraph"/>
              <w:spacing w:line="134" w:lineRule="exact" w:before="18"/>
              <w:ind w:left="155"/>
              <w:rPr>
                <w:sz w:val="12"/>
              </w:rPr>
            </w:pPr>
            <w:r>
              <w:rPr>
                <w:w w:val="110"/>
                <w:sz w:val="12"/>
              </w:rPr>
              <w:t>Traditional sutures and</w:t>
            </w:r>
          </w:p>
        </w:tc>
        <w:tc>
          <w:tcPr>
            <w:tcW w:w="2977" w:type="dxa"/>
          </w:tcPr>
          <w:p>
            <w:pPr>
              <w:pStyle w:val="TableParagraph"/>
              <w:spacing w:line="134" w:lineRule="exact" w:before="18"/>
              <w:ind w:left="26"/>
              <w:rPr>
                <w:sz w:val="12"/>
              </w:rPr>
            </w:pPr>
            <w:r>
              <w:rPr>
                <w:w w:val="115"/>
                <w:sz w:val="12"/>
              </w:rPr>
              <w:t>De</w:t>
            </w:r>
            <w:r>
              <w:rPr>
                <w:rFonts w:ascii="Times New Roman" w:hAnsi="Times New Roman"/>
                <w:w w:val="115"/>
                <w:sz w:val="12"/>
              </w:rPr>
              <w:t>ﬁ</w:t>
            </w:r>
            <w:r>
              <w:rPr>
                <w:w w:val="115"/>
                <w:sz w:val="12"/>
              </w:rPr>
              <w:t>nition not reported.</w:t>
            </w:r>
          </w:p>
        </w:tc>
      </w:tr>
      <w:tr>
        <w:trPr>
          <w:trHeight w:val="171" w:hRule="atLeast"/>
        </w:trPr>
        <w:tc>
          <w:tcPr>
            <w:tcW w:w="1544" w:type="dxa"/>
          </w:tcPr>
          <w:p>
            <w:pPr>
              <w:pStyle w:val="TableParagraph"/>
              <w:spacing w:line="135" w:lineRule="exact" w:before="17"/>
              <w:ind w:left="278"/>
              <w:rPr>
                <w:sz w:val="12"/>
              </w:rPr>
            </w:pPr>
            <w:r>
              <w:rPr>
                <w:w w:val="120"/>
                <w:sz w:val="12"/>
              </w:rPr>
              <w:t>[</w:t>
            </w:r>
            <w:hyperlink w:history="true" w:anchor="_bookmark56">
              <w:r>
                <w:rPr>
                  <w:color w:val="007FAC"/>
                  <w:w w:val="120"/>
                  <w:sz w:val="12"/>
                </w:rPr>
                <w:t>45</w:t>
              </w:r>
            </w:hyperlink>
            <w:r>
              <w:rPr>
                <w:w w:val="120"/>
                <w:sz w:val="12"/>
              </w:rPr>
              <w:t>]</w:t>
            </w: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5" w:lineRule="exact" w:before="17"/>
              <w:ind w:left="155"/>
              <w:rPr>
                <w:sz w:val="12"/>
              </w:rPr>
            </w:pPr>
            <w:r>
              <w:rPr>
                <w:w w:val="110"/>
                <w:sz w:val="12"/>
              </w:rPr>
              <w:t>TSA vs barbed sutures</w:t>
            </w:r>
          </w:p>
        </w:tc>
        <w:tc>
          <w:tcPr>
            <w:tcW w:w="2977" w:type="dxa"/>
          </w:tcPr>
          <w:p>
            <w:pPr>
              <w:pStyle w:val="TableParagraph"/>
              <w:rPr>
                <w:rFonts w:ascii="Times New Roman"/>
                <w:sz w:val="10"/>
              </w:rPr>
            </w:pPr>
          </w:p>
        </w:tc>
      </w:tr>
      <w:tr>
        <w:trPr>
          <w:trHeight w:val="170"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3" w:lineRule="exact" w:before="17"/>
              <w:ind w:left="155"/>
              <w:rPr>
                <w:sz w:val="12"/>
              </w:rPr>
            </w:pPr>
            <w:r>
              <w:rPr>
                <w:w w:val="110"/>
                <w:sz w:val="12"/>
              </w:rPr>
              <w:t>and TSA</w:t>
            </w:r>
          </w:p>
        </w:tc>
        <w:tc>
          <w:tcPr>
            <w:tcW w:w="2977" w:type="dxa"/>
          </w:tcPr>
          <w:p>
            <w:pPr>
              <w:pStyle w:val="TableParagraph"/>
              <w:rPr>
                <w:rFonts w:ascii="Times New Roman"/>
                <w:sz w:val="10"/>
              </w:rPr>
            </w:pPr>
          </w:p>
        </w:tc>
      </w:tr>
      <w:tr>
        <w:trPr>
          <w:trHeight w:val="172" w:hRule="atLeast"/>
        </w:trPr>
        <w:tc>
          <w:tcPr>
            <w:tcW w:w="1544" w:type="dxa"/>
          </w:tcPr>
          <w:p>
            <w:pPr>
              <w:pStyle w:val="TableParagraph"/>
              <w:spacing w:line="134" w:lineRule="exact" w:before="18"/>
              <w:ind w:left="120"/>
              <w:rPr>
                <w:sz w:val="12"/>
              </w:rPr>
            </w:pPr>
            <w:r>
              <w:rPr>
                <w:w w:val="115"/>
                <w:sz w:val="12"/>
              </w:rPr>
              <w:t>Fisher et al. [</w:t>
            </w:r>
            <w:hyperlink w:history="true" w:anchor="_bookmark37">
              <w:r>
                <w:rPr>
                  <w:color w:val="007FAC"/>
                  <w:w w:val="115"/>
                  <w:sz w:val="12"/>
                </w:rPr>
                <w:t>26</w:t>
              </w:r>
            </w:hyperlink>
            <w:r>
              <w:rPr>
                <w:w w:val="115"/>
                <w:sz w:val="12"/>
              </w:rPr>
              <w:t>]</w:t>
            </w:r>
          </w:p>
        </w:tc>
        <w:tc>
          <w:tcPr>
            <w:tcW w:w="965" w:type="dxa"/>
          </w:tcPr>
          <w:p>
            <w:pPr>
              <w:pStyle w:val="TableParagraph"/>
              <w:spacing w:line="134" w:lineRule="exact" w:before="18"/>
              <w:ind w:left="67"/>
              <w:rPr>
                <w:sz w:val="12"/>
              </w:rPr>
            </w:pPr>
            <w:r>
              <w:rPr>
                <w:w w:val="125"/>
                <w:sz w:val="12"/>
              </w:rPr>
              <w:t>2010</w:t>
            </w:r>
          </w:p>
        </w:tc>
        <w:tc>
          <w:tcPr>
            <w:tcW w:w="1609" w:type="dxa"/>
          </w:tcPr>
          <w:p>
            <w:pPr>
              <w:pStyle w:val="TableParagraph"/>
              <w:spacing w:line="134" w:lineRule="exact" w:before="18"/>
              <w:ind w:left="593"/>
              <w:rPr>
                <w:sz w:val="12"/>
              </w:rPr>
            </w:pPr>
            <w:r>
              <w:rPr>
                <w:sz w:val="12"/>
              </w:rPr>
              <w:t>USA</w:t>
            </w:r>
          </w:p>
        </w:tc>
        <w:tc>
          <w:tcPr>
            <w:tcW w:w="1641" w:type="dxa"/>
          </w:tcPr>
          <w:p>
            <w:pPr>
              <w:pStyle w:val="TableParagraph"/>
              <w:spacing w:line="134" w:lineRule="exact" w:before="18"/>
              <w:ind w:left="476"/>
              <w:rPr>
                <w:sz w:val="12"/>
              </w:rPr>
            </w:pPr>
            <w:r>
              <w:rPr>
                <w:sz w:val="12"/>
              </w:rPr>
              <w:t>RCT</w:t>
            </w:r>
          </w:p>
        </w:tc>
        <w:tc>
          <w:tcPr>
            <w:tcW w:w="1720" w:type="dxa"/>
          </w:tcPr>
          <w:p>
            <w:pPr>
              <w:pStyle w:val="TableParagraph"/>
              <w:spacing w:line="134" w:lineRule="exact" w:before="18"/>
              <w:ind w:left="326"/>
              <w:rPr>
                <w:sz w:val="12"/>
              </w:rPr>
            </w:pPr>
            <w:r>
              <w:rPr>
                <w:w w:val="105"/>
                <w:sz w:val="12"/>
              </w:rPr>
              <w:t>Hip</w:t>
            </w:r>
          </w:p>
        </w:tc>
        <w:tc>
          <w:tcPr>
            <w:tcW w:w="1433" w:type="dxa"/>
          </w:tcPr>
          <w:p>
            <w:pPr>
              <w:pStyle w:val="TableParagraph"/>
              <w:spacing w:line="134" w:lineRule="exact" w:before="18"/>
              <w:ind w:left="338"/>
              <w:rPr>
                <w:sz w:val="12"/>
              </w:rPr>
            </w:pPr>
            <w:r>
              <w:rPr>
                <w:w w:val="125"/>
                <w:sz w:val="12"/>
              </w:rPr>
              <w:t>60</w:t>
            </w:r>
          </w:p>
        </w:tc>
        <w:tc>
          <w:tcPr>
            <w:tcW w:w="1621" w:type="dxa"/>
          </w:tcPr>
          <w:p>
            <w:pPr>
              <w:pStyle w:val="TableParagraph"/>
              <w:spacing w:line="134" w:lineRule="exact" w:before="18"/>
              <w:ind w:left="155"/>
              <w:rPr>
                <w:sz w:val="12"/>
              </w:rPr>
            </w:pPr>
            <w:r>
              <w:rPr>
                <w:w w:val="110"/>
                <w:sz w:val="12"/>
              </w:rPr>
              <w:t>Absorbable staples vs</w:t>
            </w:r>
          </w:p>
        </w:tc>
        <w:tc>
          <w:tcPr>
            <w:tcW w:w="2977" w:type="dxa"/>
          </w:tcPr>
          <w:p>
            <w:pPr>
              <w:pStyle w:val="TableParagraph"/>
              <w:spacing w:line="134" w:lineRule="exact" w:before="18"/>
              <w:ind w:left="26"/>
              <w:rPr>
                <w:sz w:val="12"/>
              </w:rPr>
            </w:pPr>
            <w:r>
              <w:rPr>
                <w:w w:val="115"/>
                <w:sz w:val="12"/>
              </w:rPr>
              <w:t>De</w:t>
            </w:r>
            <w:r>
              <w:rPr>
                <w:rFonts w:ascii="Times New Roman" w:hAnsi="Times New Roman"/>
                <w:w w:val="115"/>
                <w:sz w:val="12"/>
              </w:rPr>
              <w:t>ﬁ</w:t>
            </w:r>
            <w:r>
              <w:rPr>
                <w:w w:val="115"/>
                <w:sz w:val="12"/>
              </w:rPr>
              <w:t>nition not reported.</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3" w:lineRule="exact" w:before="17"/>
              <w:ind w:left="155"/>
              <w:rPr>
                <w:sz w:val="12"/>
              </w:rPr>
            </w:pPr>
            <w:r>
              <w:rPr>
                <w:w w:val="115"/>
                <w:sz w:val="12"/>
              </w:rPr>
              <w:t>metal staples</w:t>
            </w:r>
          </w:p>
        </w:tc>
        <w:tc>
          <w:tcPr>
            <w:tcW w:w="2977" w:type="dxa"/>
          </w:tcPr>
          <w:p>
            <w:pPr>
              <w:pStyle w:val="TableParagraph"/>
              <w:rPr>
                <w:rFonts w:ascii="Times New Roman"/>
                <w:sz w:val="10"/>
              </w:rPr>
            </w:pPr>
          </w:p>
        </w:tc>
      </w:tr>
      <w:tr>
        <w:trPr>
          <w:trHeight w:val="171" w:hRule="atLeast"/>
        </w:trPr>
        <w:tc>
          <w:tcPr>
            <w:tcW w:w="1544" w:type="dxa"/>
          </w:tcPr>
          <w:p>
            <w:pPr>
              <w:pStyle w:val="TableParagraph"/>
              <w:spacing w:line="133" w:lineRule="exact" w:before="18"/>
              <w:ind w:left="120"/>
              <w:rPr>
                <w:sz w:val="12"/>
              </w:rPr>
            </w:pPr>
            <w:r>
              <w:rPr>
                <w:w w:val="115"/>
                <w:sz w:val="12"/>
              </w:rPr>
              <w:t>Miller and Swank [</w:t>
            </w:r>
            <w:hyperlink w:history="true" w:anchor="_bookmark58">
              <w:r>
                <w:rPr>
                  <w:color w:val="007FAC"/>
                  <w:w w:val="115"/>
                  <w:sz w:val="12"/>
                </w:rPr>
                <w:t>47</w:t>
              </w:r>
            </w:hyperlink>
            <w:r>
              <w:rPr>
                <w:w w:val="115"/>
                <w:sz w:val="12"/>
              </w:rPr>
              <w:t>]</w:t>
            </w:r>
          </w:p>
        </w:tc>
        <w:tc>
          <w:tcPr>
            <w:tcW w:w="965" w:type="dxa"/>
          </w:tcPr>
          <w:p>
            <w:pPr>
              <w:pStyle w:val="TableParagraph"/>
              <w:spacing w:line="133" w:lineRule="exact" w:before="18"/>
              <w:ind w:left="67"/>
              <w:rPr>
                <w:sz w:val="12"/>
              </w:rPr>
            </w:pPr>
            <w:r>
              <w:rPr>
                <w:w w:val="125"/>
                <w:sz w:val="12"/>
              </w:rPr>
              <w:t>2010</w:t>
            </w:r>
          </w:p>
        </w:tc>
        <w:tc>
          <w:tcPr>
            <w:tcW w:w="1609" w:type="dxa"/>
          </w:tcPr>
          <w:p>
            <w:pPr>
              <w:pStyle w:val="TableParagraph"/>
              <w:spacing w:line="133" w:lineRule="exact" w:before="18"/>
              <w:ind w:left="593"/>
              <w:rPr>
                <w:sz w:val="12"/>
              </w:rPr>
            </w:pPr>
            <w:r>
              <w:rPr>
                <w:sz w:val="12"/>
              </w:rPr>
              <w:t>USA</w:t>
            </w:r>
          </w:p>
        </w:tc>
        <w:tc>
          <w:tcPr>
            <w:tcW w:w="1641" w:type="dxa"/>
          </w:tcPr>
          <w:p>
            <w:pPr>
              <w:pStyle w:val="TableParagraph"/>
              <w:spacing w:line="133" w:lineRule="exact" w:before="18"/>
              <w:ind w:left="476"/>
              <w:rPr>
                <w:sz w:val="12"/>
              </w:rPr>
            </w:pPr>
            <w:r>
              <w:rPr>
                <w:w w:val="110"/>
                <w:sz w:val="12"/>
              </w:rPr>
              <w:t>Observational</w:t>
            </w:r>
          </w:p>
        </w:tc>
        <w:tc>
          <w:tcPr>
            <w:tcW w:w="1720" w:type="dxa"/>
          </w:tcPr>
          <w:p>
            <w:pPr>
              <w:pStyle w:val="TableParagraph"/>
              <w:spacing w:line="133" w:lineRule="exact" w:before="18"/>
              <w:ind w:left="326"/>
              <w:rPr>
                <w:sz w:val="12"/>
              </w:rPr>
            </w:pPr>
            <w:r>
              <w:rPr>
                <w:w w:val="115"/>
                <w:sz w:val="12"/>
              </w:rPr>
              <w:t>Hip, knee, and mixed</w:t>
            </w:r>
          </w:p>
        </w:tc>
        <w:tc>
          <w:tcPr>
            <w:tcW w:w="1433" w:type="dxa"/>
          </w:tcPr>
          <w:p>
            <w:pPr>
              <w:pStyle w:val="TableParagraph"/>
              <w:spacing w:line="133" w:lineRule="exact" w:before="18"/>
              <w:ind w:left="262"/>
              <w:rPr>
                <w:sz w:val="12"/>
              </w:rPr>
            </w:pPr>
            <w:r>
              <w:rPr>
                <w:w w:val="125"/>
                <w:sz w:val="12"/>
              </w:rPr>
              <w:t>459</w:t>
            </w:r>
          </w:p>
        </w:tc>
        <w:tc>
          <w:tcPr>
            <w:tcW w:w="1621" w:type="dxa"/>
          </w:tcPr>
          <w:p>
            <w:pPr>
              <w:pStyle w:val="TableParagraph"/>
              <w:spacing w:line="133" w:lineRule="exact" w:before="18"/>
              <w:ind w:left="155"/>
              <w:rPr>
                <w:sz w:val="12"/>
              </w:rPr>
            </w:pPr>
            <w:r>
              <w:rPr>
                <w:w w:val="110"/>
                <w:sz w:val="12"/>
              </w:rPr>
              <w:t>TSA vs staples</w:t>
            </w:r>
          </w:p>
        </w:tc>
        <w:tc>
          <w:tcPr>
            <w:tcW w:w="2977" w:type="dxa"/>
          </w:tcPr>
          <w:p>
            <w:pPr>
              <w:pStyle w:val="TableParagraph"/>
              <w:spacing w:line="133" w:lineRule="exact" w:before="18"/>
              <w:ind w:left="26"/>
              <w:rPr>
                <w:sz w:val="12"/>
              </w:rPr>
            </w:pPr>
            <w:r>
              <w:rPr>
                <w:w w:val="115"/>
                <w:sz w:val="12"/>
              </w:rPr>
              <w:t>Super</w:t>
            </w:r>
            <w:r>
              <w:rPr>
                <w:rFonts w:ascii="Times New Roman" w:hAnsi="Times New Roman"/>
                <w:w w:val="115"/>
                <w:sz w:val="12"/>
              </w:rPr>
              <w:t>ﬁ</w:t>
            </w:r>
            <w:r>
              <w:rPr>
                <w:w w:val="115"/>
                <w:sz w:val="12"/>
              </w:rPr>
              <w:t>cial infection de</w:t>
            </w:r>
            <w:r>
              <w:rPr>
                <w:rFonts w:ascii="Times New Roman" w:hAnsi="Times New Roman"/>
                <w:w w:val="115"/>
                <w:sz w:val="12"/>
              </w:rPr>
              <w:t>ﬁ</w:t>
            </w:r>
            <w:r>
              <w:rPr>
                <w:w w:val="115"/>
                <w:sz w:val="12"/>
              </w:rPr>
              <w:t>ned as requiring</w:t>
            </w:r>
          </w:p>
        </w:tc>
      </w:tr>
      <w:tr>
        <w:trPr>
          <w:trHeight w:val="172"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8"/>
              <w:ind w:left="26"/>
              <w:rPr>
                <w:sz w:val="12"/>
              </w:rPr>
            </w:pPr>
            <w:r>
              <w:rPr>
                <w:w w:val="115"/>
                <w:sz w:val="12"/>
              </w:rPr>
              <w:t>antibiotics. Deep infection de</w:t>
            </w:r>
            <w:r>
              <w:rPr>
                <w:rFonts w:ascii="Times New Roman" w:hAnsi="Times New Roman"/>
                <w:w w:val="115"/>
                <w:sz w:val="12"/>
              </w:rPr>
              <w:t>ﬁ</w:t>
            </w:r>
            <w:r>
              <w:rPr>
                <w:w w:val="115"/>
                <w:sz w:val="12"/>
              </w:rPr>
              <w:t>ned as requiring</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5"/>
                <w:sz w:val="12"/>
              </w:rPr>
              <w:t>debridement.</w:t>
            </w:r>
          </w:p>
        </w:tc>
      </w:tr>
      <w:tr>
        <w:trPr>
          <w:trHeight w:val="171" w:hRule="atLeast"/>
        </w:trPr>
        <w:tc>
          <w:tcPr>
            <w:tcW w:w="1544" w:type="dxa"/>
          </w:tcPr>
          <w:p>
            <w:pPr>
              <w:pStyle w:val="TableParagraph"/>
              <w:spacing w:line="134" w:lineRule="exact" w:before="17"/>
              <w:ind w:left="120"/>
              <w:rPr>
                <w:sz w:val="12"/>
              </w:rPr>
            </w:pPr>
            <w:r>
              <w:rPr>
                <w:w w:val="115"/>
                <w:sz w:val="12"/>
              </w:rPr>
              <w:t>Eggers et al. [</w:t>
            </w:r>
            <w:hyperlink w:history="true" w:anchor="_bookmark33">
              <w:r>
                <w:rPr>
                  <w:color w:val="007FAC"/>
                  <w:w w:val="115"/>
                  <w:sz w:val="12"/>
                </w:rPr>
                <w:t>22</w:t>
              </w:r>
            </w:hyperlink>
            <w:r>
              <w:rPr>
                <w:w w:val="115"/>
                <w:sz w:val="12"/>
              </w:rPr>
              <w:t>]</w:t>
            </w:r>
          </w:p>
        </w:tc>
        <w:tc>
          <w:tcPr>
            <w:tcW w:w="965" w:type="dxa"/>
          </w:tcPr>
          <w:p>
            <w:pPr>
              <w:pStyle w:val="TableParagraph"/>
              <w:spacing w:line="134" w:lineRule="exact" w:before="17"/>
              <w:ind w:left="67"/>
              <w:rPr>
                <w:sz w:val="12"/>
              </w:rPr>
            </w:pPr>
            <w:r>
              <w:rPr>
                <w:w w:val="125"/>
                <w:sz w:val="12"/>
              </w:rPr>
              <w:t>2011</w:t>
            </w:r>
          </w:p>
        </w:tc>
        <w:tc>
          <w:tcPr>
            <w:tcW w:w="1609" w:type="dxa"/>
          </w:tcPr>
          <w:p>
            <w:pPr>
              <w:pStyle w:val="TableParagraph"/>
              <w:spacing w:line="134" w:lineRule="exact" w:before="17"/>
              <w:ind w:left="593"/>
              <w:rPr>
                <w:sz w:val="12"/>
              </w:rPr>
            </w:pPr>
            <w:r>
              <w:rPr>
                <w:sz w:val="12"/>
              </w:rPr>
              <w:t>USA</w:t>
            </w:r>
          </w:p>
        </w:tc>
        <w:tc>
          <w:tcPr>
            <w:tcW w:w="1641" w:type="dxa"/>
          </w:tcPr>
          <w:p>
            <w:pPr>
              <w:pStyle w:val="TableParagraph"/>
              <w:spacing w:line="134" w:lineRule="exact" w:before="17"/>
              <w:ind w:left="476"/>
              <w:rPr>
                <w:sz w:val="12"/>
              </w:rPr>
            </w:pPr>
            <w:r>
              <w:rPr>
                <w:sz w:val="12"/>
              </w:rPr>
              <w:t>RCT</w:t>
            </w:r>
          </w:p>
        </w:tc>
        <w:tc>
          <w:tcPr>
            <w:tcW w:w="1720" w:type="dxa"/>
          </w:tcPr>
          <w:p>
            <w:pPr>
              <w:pStyle w:val="TableParagraph"/>
              <w:spacing w:line="134" w:lineRule="exact" w:before="17"/>
              <w:ind w:left="326"/>
              <w:rPr>
                <w:sz w:val="12"/>
              </w:rPr>
            </w:pPr>
            <w:r>
              <w:rPr>
                <w:w w:val="110"/>
                <w:sz w:val="12"/>
              </w:rPr>
              <w:t>Knee</w:t>
            </w:r>
          </w:p>
        </w:tc>
        <w:tc>
          <w:tcPr>
            <w:tcW w:w="1433" w:type="dxa"/>
          </w:tcPr>
          <w:p>
            <w:pPr>
              <w:pStyle w:val="TableParagraph"/>
              <w:spacing w:line="134" w:lineRule="exact" w:before="17"/>
              <w:ind w:left="338"/>
              <w:rPr>
                <w:sz w:val="12"/>
              </w:rPr>
            </w:pPr>
            <w:r>
              <w:rPr>
                <w:w w:val="125"/>
                <w:sz w:val="12"/>
              </w:rPr>
              <w:t>75</w:t>
            </w:r>
          </w:p>
        </w:tc>
        <w:tc>
          <w:tcPr>
            <w:tcW w:w="1621" w:type="dxa"/>
          </w:tcPr>
          <w:p>
            <w:pPr>
              <w:pStyle w:val="TableParagraph"/>
              <w:spacing w:line="134" w:lineRule="exact" w:before="17"/>
              <w:ind w:left="155"/>
              <w:rPr>
                <w:sz w:val="12"/>
              </w:rPr>
            </w:pPr>
            <w:r>
              <w:rPr>
                <w:w w:val="110"/>
                <w:sz w:val="12"/>
              </w:rPr>
              <w:t>Staples vs TSA vs</w:t>
            </w:r>
          </w:p>
        </w:tc>
        <w:tc>
          <w:tcPr>
            <w:tcW w:w="2977" w:type="dxa"/>
          </w:tcPr>
          <w:p>
            <w:pPr>
              <w:pStyle w:val="TableParagraph"/>
              <w:spacing w:line="134" w:lineRule="exact" w:before="17"/>
              <w:ind w:left="26"/>
              <w:rPr>
                <w:sz w:val="12"/>
              </w:rPr>
            </w:pPr>
            <w:r>
              <w:rPr>
                <w:w w:val="115"/>
                <w:sz w:val="12"/>
              </w:rPr>
              <w:t>Infections categorized into categories 1-3.</w:t>
            </w:r>
          </w:p>
        </w:tc>
      </w:tr>
      <w:tr>
        <w:trPr>
          <w:trHeight w:val="170"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5"/>
                <w:sz w:val="12"/>
              </w:rPr>
              <w:t>sutures</w:t>
            </w:r>
          </w:p>
        </w:tc>
        <w:tc>
          <w:tcPr>
            <w:tcW w:w="2977" w:type="dxa"/>
          </w:tcPr>
          <w:p>
            <w:pPr>
              <w:pStyle w:val="TableParagraph"/>
              <w:spacing w:line="134" w:lineRule="exact" w:before="17"/>
              <w:ind w:left="26"/>
              <w:rPr>
                <w:sz w:val="12"/>
              </w:rPr>
            </w:pPr>
            <w:r>
              <w:rPr>
                <w:w w:val="115"/>
                <w:sz w:val="12"/>
              </w:rPr>
              <w:t>Infections never exceeded category 1 or</w:t>
            </w:r>
          </w:p>
        </w:tc>
      </w:tr>
      <w:tr>
        <w:trPr>
          <w:trHeight w:val="173"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8"/>
              <w:ind w:left="26"/>
              <w:rPr>
                <w:sz w:val="12"/>
              </w:rPr>
            </w:pPr>
            <w:r>
              <w:rPr>
                <w:w w:val="115"/>
                <w:sz w:val="12"/>
              </w:rPr>
              <w:t>super</w:t>
            </w:r>
            <w:r>
              <w:rPr>
                <w:rFonts w:ascii="Times New Roman" w:hAnsi="Times New Roman"/>
                <w:w w:val="115"/>
                <w:sz w:val="12"/>
              </w:rPr>
              <w:t>ﬁ</w:t>
            </w:r>
            <w:r>
              <w:rPr>
                <w:w w:val="115"/>
                <w:sz w:val="12"/>
              </w:rPr>
              <w:t>cial infection. Total infections extracted</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3" w:lineRule="exact" w:before="17"/>
              <w:ind w:left="26"/>
              <w:rPr>
                <w:sz w:val="12"/>
              </w:rPr>
            </w:pPr>
            <w:r>
              <w:rPr>
                <w:w w:val="115"/>
                <w:sz w:val="12"/>
              </w:rPr>
              <w:t>due to report of chi-square.</w:t>
            </w:r>
          </w:p>
        </w:tc>
      </w:tr>
      <w:tr>
        <w:trPr>
          <w:trHeight w:val="172" w:hRule="atLeast"/>
        </w:trPr>
        <w:tc>
          <w:tcPr>
            <w:tcW w:w="1544" w:type="dxa"/>
          </w:tcPr>
          <w:p>
            <w:pPr>
              <w:pStyle w:val="TableParagraph"/>
              <w:spacing w:line="134" w:lineRule="exact" w:before="18"/>
              <w:ind w:left="120"/>
              <w:rPr>
                <w:sz w:val="12"/>
              </w:rPr>
            </w:pPr>
            <w:r>
              <w:rPr>
                <w:w w:val="115"/>
                <w:sz w:val="12"/>
              </w:rPr>
              <w:t>Newman et al. [</w:t>
            </w:r>
            <w:hyperlink w:history="true" w:anchor="_bookmark63">
              <w:r>
                <w:rPr>
                  <w:color w:val="007FAC"/>
                  <w:w w:val="115"/>
                  <w:sz w:val="12"/>
                </w:rPr>
                <w:t>53</w:t>
              </w:r>
            </w:hyperlink>
            <w:r>
              <w:rPr>
                <w:w w:val="115"/>
                <w:sz w:val="12"/>
              </w:rPr>
              <w:t>]</w:t>
            </w:r>
          </w:p>
        </w:tc>
        <w:tc>
          <w:tcPr>
            <w:tcW w:w="965" w:type="dxa"/>
          </w:tcPr>
          <w:p>
            <w:pPr>
              <w:pStyle w:val="TableParagraph"/>
              <w:spacing w:line="134" w:lineRule="exact" w:before="18"/>
              <w:ind w:left="67"/>
              <w:rPr>
                <w:sz w:val="12"/>
              </w:rPr>
            </w:pPr>
            <w:r>
              <w:rPr>
                <w:w w:val="125"/>
                <w:sz w:val="12"/>
              </w:rPr>
              <w:t>2011</w:t>
            </w:r>
          </w:p>
        </w:tc>
        <w:tc>
          <w:tcPr>
            <w:tcW w:w="1609" w:type="dxa"/>
          </w:tcPr>
          <w:p>
            <w:pPr>
              <w:pStyle w:val="TableParagraph"/>
              <w:spacing w:line="134" w:lineRule="exact" w:before="18"/>
              <w:ind w:left="593"/>
              <w:rPr>
                <w:sz w:val="12"/>
              </w:rPr>
            </w:pPr>
            <w:r>
              <w:rPr>
                <w:sz w:val="12"/>
              </w:rPr>
              <w:t>USA</w:t>
            </w:r>
          </w:p>
        </w:tc>
        <w:tc>
          <w:tcPr>
            <w:tcW w:w="1641" w:type="dxa"/>
          </w:tcPr>
          <w:p>
            <w:pPr>
              <w:pStyle w:val="TableParagraph"/>
              <w:spacing w:line="134" w:lineRule="exact" w:before="18"/>
              <w:ind w:left="476"/>
              <w:rPr>
                <w:sz w:val="12"/>
              </w:rPr>
            </w:pPr>
            <w:r>
              <w:rPr>
                <w:w w:val="110"/>
                <w:sz w:val="12"/>
              </w:rPr>
              <w:t>Observational</w:t>
            </w:r>
          </w:p>
        </w:tc>
        <w:tc>
          <w:tcPr>
            <w:tcW w:w="1720" w:type="dxa"/>
          </w:tcPr>
          <w:p>
            <w:pPr>
              <w:pStyle w:val="TableParagraph"/>
              <w:spacing w:line="134" w:lineRule="exact" w:before="18"/>
              <w:ind w:left="326"/>
              <w:rPr>
                <w:sz w:val="12"/>
              </w:rPr>
            </w:pPr>
            <w:r>
              <w:rPr>
                <w:w w:val="110"/>
                <w:sz w:val="12"/>
              </w:rPr>
              <w:t>Knee</w:t>
            </w:r>
          </w:p>
        </w:tc>
        <w:tc>
          <w:tcPr>
            <w:tcW w:w="1433" w:type="dxa"/>
          </w:tcPr>
          <w:p>
            <w:pPr>
              <w:pStyle w:val="TableParagraph"/>
              <w:spacing w:line="134" w:lineRule="exact" w:before="18"/>
              <w:ind w:left="262"/>
              <w:rPr>
                <w:sz w:val="12"/>
              </w:rPr>
            </w:pPr>
            <w:r>
              <w:rPr>
                <w:w w:val="125"/>
                <w:sz w:val="12"/>
              </w:rPr>
              <w:t>181</w:t>
            </w:r>
          </w:p>
        </w:tc>
        <w:tc>
          <w:tcPr>
            <w:tcW w:w="1621" w:type="dxa"/>
          </w:tcPr>
          <w:p>
            <w:pPr>
              <w:pStyle w:val="TableParagraph"/>
              <w:spacing w:line="134" w:lineRule="exact" w:before="18"/>
              <w:ind w:left="155"/>
              <w:rPr>
                <w:sz w:val="12"/>
              </w:rPr>
            </w:pPr>
            <w:r>
              <w:rPr>
                <w:w w:val="110"/>
                <w:sz w:val="12"/>
              </w:rPr>
              <w:t>Sutures vs staples</w:t>
            </w:r>
          </w:p>
        </w:tc>
        <w:tc>
          <w:tcPr>
            <w:tcW w:w="2977" w:type="dxa"/>
          </w:tcPr>
          <w:p>
            <w:pPr>
              <w:pStyle w:val="TableParagraph"/>
              <w:spacing w:line="134" w:lineRule="exact" w:before="18"/>
              <w:ind w:left="26"/>
              <w:rPr>
                <w:sz w:val="12"/>
              </w:rPr>
            </w:pPr>
            <w:r>
              <w:rPr>
                <w:w w:val="110"/>
                <w:sz w:val="12"/>
              </w:rPr>
              <w:t>CDC criteria: super</w:t>
            </w:r>
            <w:r>
              <w:rPr>
                <w:rFonts w:ascii="Times New Roman" w:hAnsi="Times New Roman"/>
                <w:w w:val="110"/>
                <w:sz w:val="12"/>
              </w:rPr>
              <w:t>ﬁ</w:t>
            </w:r>
            <w:r>
              <w:rPr>
                <w:w w:val="110"/>
                <w:sz w:val="12"/>
              </w:rPr>
              <w:t>cial/incisional, de</w:t>
            </w:r>
            <w:r>
              <w:rPr>
                <w:rFonts w:ascii="Times New Roman" w:hAnsi="Times New Roman"/>
                <w:w w:val="110"/>
                <w:sz w:val="12"/>
              </w:rPr>
              <w:t>ﬁ</w:t>
            </w:r>
            <w:r>
              <w:rPr>
                <w:w w:val="110"/>
                <w:sz w:val="12"/>
              </w:rPr>
              <w:t>ned as</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3" w:lineRule="exact" w:before="17"/>
              <w:ind w:left="26"/>
              <w:rPr>
                <w:sz w:val="12"/>
              </w:rPr>
            </w:pPr>
            <w:r>
              <w:rPr>
                <w:w w:val="110"/>
                <w:sz w:val="12"/>
              </w:rPr>
              <w:t>involving only skin and subcutaneous tissue of</w:t>
            </w:r>
          </w:p>
        </w:tc>
      </w:tr>
      <w:tr>
        <w:trPr>
          <w:trHeight w:val="172"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8"/>
              <w:ind w:left="26"/>
              <w:rPr>
                <w:sz w:val="12"/>
              </w:rPr>
            </w:pPr>
            <w:r>
              <w:rPr>
                <w:w w:val="115"/>
                <w:sz w:val="12"/>
              </w:rPr>
              <w:t>the incision; deep incisional de</w:t>
            </w:r>
            <w:r>
              <w:rPr>
                <w:rFonts w:ascii="Times New Roman" w:hAnsi="Times New Roman"/>
                <w:w w:val="115"/>
                <w:sz w:val="12"/>
              </w:rPr>
              <w:t>ﬁ</w:t>
            </w:r>
            <w:r>
              <w:rPr>
                <w:w w:val="115"/>
                <w:sz w:val="12"/>
              </w:rPr>
              <w:t>ned as</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5"/>
                <w:sz w:val="12"/>
              </w:rPr>
              <w:t>involving peri-incisional deep soft tissues (eg,</w:t>
            </w:r>
          </w:p>
        </w:tc>
      </w:tr>
      <w:tr>
        <w:trPr>
          <w:trHeight w:val="170"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0"/>
                <w:sz w:val="12"/>
              </w:rPr>
              <w:t>fascial and muscle layers); and organ/space</w:t>
            </w:r>
          </w:p>
        </w:tc>
      </w:tr>
      <w:tr>
        <w:trPr>
          <w:trHeight w:val="173"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8"/>
              <w:ind w:left="26"/>
              <w:rPr>
                <w:sz w:val="12"/>
              </w:rPr>
            </w:pPr>
            <w:r>
              <w:rPr>
                <w:w w:val="110"/>
                <w:sz w:val="12"/>
              </w:rPr>
              <w:t>de</w:t>
            </w:r>
            <w:r>
              <w:rPr>
                <w:rFonts w:ascii="Times New Roman" w:hAnsi="Times New Roman"/>
                <w:w w:val="110"/>
                <w:sz w:val="12"/>
              </w:rPr>
              <w:t>ﬁ</w:t>
            </w:r>
            <w:r>
              <w:rPr>
                <w:w w:val="110"/>
                <w:sz w:val="12"/>
              </w:rPr>
              <w:t>ned as involving any part of the body,</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5"/>
                <w:sz w:val="12"/>
              </w:rPr>
              <w:t>excluding the skin incision, fascia, or muscle</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5"/>
                <w:sz w:val="12"/>
              </w:rPr>
              <w:t>layers, that was opened or manipulated during</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3" w:lineRule="exact" w:before="17"/>
              <w:ind w:left="26"/>
              <w:rPr>
                <w:sz w:val="12"/>
              </w:rPr>
            </w:pPr>
            <w:r>
              <w:rPr>
                <w:w w:val="115"/>
                <w:sz w:val="12"/>
              </w:rPr>
              <w:t>the operative procedure.</w:t>
            </w:r>
          </w:p>
        </w:tc>
      </w:tr>
      <w:tr>
        <w:trPr>
          <w:trHeight w:val="171" w:hRule="atLeast"/>
        </w:trPr>
        <w:tc>
          <w:tcPr>
            <w:tcW w:w="1544" w:type="dxa"/>
          </w:tcPr>
          <w:p>
            <w:pPr>
              <w:pStyle w:val="TableParagraph"/>
              <w:spacing w:line="133" w:lineRule="exact" w:before="18"/>
              <w:ind w:left="120"/>
              <w:rPr>
                <w:sz w:val="12"/>
              </w:rPr>
            </w:pPr>
            <w:r>
              <w:rPr>
                <w:w w:val="115"/>
                <w:sz w:val="12"/>
              </w:rPr>
              <w:t>Gililland et al. [</w:t>
            </w:r>
            <w:hyperlink w:history="true" w:anchor="_bookmark53">
              <w:r>
                <w:rPr>
                  <w:color w:val="007FAC"/>
                  <w:w w:val="115"/>
                  <w:sz w:val="12"/>
                </w:rPr>
                <w:t>42</w:t>
              </w:r>
            </w:hyperlink>
            <w:r>
              <w:rPr>
                <w:w w:val="115"/>
                <w:sz w:val="12"/>
              </w:rPr>
              <w:t>]</w:t>
            </w:r>
          </w:p>
        </w:tc>
        <w:tc>
          <w:tcPr>
            <w:tcW w:w="965" w:type="dxa"/>
          </w:tcPr>
          <w:p>
            <w:pPr>
              <w:pStyle w:val="TableParagraph"/>
              <w:spacing w:line="133" w:lineRule="exact" w:before="18"/>
              <w:ind w:left="67"/>
              <w:rPr>
                <w:sz w:val="12"/>
              </w:rPr>
            </w:pPr>
            <w:r>
              <w:rPr>
                <w:w w:val="125"/>
                <w:sz w:val="12"/>
              </w:rPr>
              <w:t>2012</w:t>
            </w:r>
          </w:p>
        </w:tc>
        <w:tc>
          <w:tcPr>
            <w:tcW w:w="1609" w:type="dxa"/>
          </w:tcPr>
          <w:p>
            <w:pPr>
              <w:pStyle w:val="TableParagraph"/>
              <w:spacing w:line="133" w:lineRule="exact" w:before="18"/>
              <w:ind w:left="593"/>
              <w:rPr>
                <w:sz w:val="12"/>
              </w:rPr>
            </w:pPr>
            <w:r>
              <w:rPr>
                <w:sz w:val="12"/>
              </w:rPr>
              <w:t>USA</w:t>
            </w:r>
          </w:p>
        </w:tc>
        <w:tc>
          <w:tcPr>
            <w:tcW w:w="1641" w:type="dxa"/>
          </w:tcPr>
          <w:p>
            <w:pPr>
              <w:pStyle w:val="TableParagraph"/>
              <w:spacing w:line="133" w:lineRule="exact" w:before="18"/>
              <w:ind w:left="476"/>
              <w:rPr>
                <w:sz w:val="12"/>
              </w:rPr>
            </w:pPr>
            <w:r>
              <w:rPr>
                <w:w w:val="110"/>
                <w:sz w:val="12"/>
              </w:rPr>
              <w:t>Observational</w:t>
            </w:r>
          </w:p>
        </w:tc>
        <w:tc>
          <w:tcPr>
            <w:tcW w:w="1720" w:type="dxa"/>
          </w:tcPr>
          <w:p>
            <w:pPr>
              <w:pStyle w:val="TableParagraph"/>
              <w:spacing w:line="133" w:lineRule="exact" w:before="18"/>
              <w:ind w:left="326"/>
              <w:rPr>
                <w:sz w:val="12"/>
              </w:rPr>
            </w:pPr>
            <w:r>
              <w:rPr>
                <w:w w:val="110"/>
                <w:sz w:val="12"/>
              </w:rPr>
              <w:t>Knee</w:t>
            </w:r>
          </w:p>
        </w:tc>
        <w:tc>
          <w:tcPr>
            <w:tcW w:w="1433" w:type="dxa"/>
          </w:tcPr>
          <w:p>
            <w:pPr>
              <w:pStyle w:val="TableParagraph"/>
              <w:spacing w:line="133" w:lineRule="exact" w:before="18"/>
              <w:ind w:left="262"/>
              <w:rPr>
                <w:sz w:val="12"/>
              </w:rPr>
            </w:pPr>
            <w:r>
              <w:rPr>
                <w:w w:val="125"/>
                <w:sz w:val="12"/>
              </w:rPr>
              <w:t>183</w:t>
            </w:r>
          </w:p>
        </w:tc>
        <w:tc>
          <w:tcPr>
            <w:tcW w:w="1621" w:type="dxa"/>
          </w:tcPr>
          <w:p>
            <w:pPr>
              <w:pStyle w:val="TableParagraph"/>
              <w:spacing w:line="133" w:lineRule="exact" w:before="18"/>
              <w:ind w:left="155"/>
              <w:rPr>
                <w:sz w:val="12"/>
              </w:rPr>
            </w:pPr>
            <w:r>
              <w:rPr>
                <w:w w:val="110"/>
                <w:sz w:val="12"/>
              </w:rPr>
              <w:t>Barbed sutures and</w:t>
            </w:r>
          </w:p>
        </w:tc>
        <w:tc>
          <w:tcPr>
            <w:tcW w:w="2977" w:type="dxa"/>
          </w:tcPr>
          <w:p>
            <w:pPr>
              <w:pStyle w:val="TableParagraph"/>
              <w:spacing w:line="133" w:lineRule="exact" w:before="18"/>
              <w:ind w:left="26"/>
              <w:rPr>
                <w:sz w:val="12"/>
              </w:rPr>
            </w:pPr>
            <w:r>
              <w:rPr>
                <w:w w:val="115"/>
                <w:sz w:val="12"/>
              </w:rPr>
              <w:t>Super</w:t>
            </w:r>
            <w:r>
              <w:rPr>
                <w:rFonts w:ascii="Times New Roman" w:hAnsi="Times New Roman"/>
                <w:w w:val="115"/>
                <w:sz w:val="12"/>
              </w:rPr>
              <w:t>ﬁ</w:t>
            </w:r>
            <w:r>
              <w:rPr>
                <w:w w:val="115"/>
                <w:sz w:val="12"/>
              </w:rPr>
              <w:t>cial infection treated with irrigation and</w:t>
            </w:r>
          </w:p>
        </w:tc>
      </w:tr>
      <w:tr>
        <w:trPr>
          <w:trHeight w:val="172"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8"/>
              <w:ind w:left="155"/>
              <w:rPr>
                <w:sz w:val="12"/>
              </w:rPr>
            </w:pPr>
            <w:r>
              <w:rPr>
                <w:w w:val="110"/>
                <w:sz w:val="12"/>
              </w:rPr>
              <w:t>staples vs traditional</w:t>
            </w:r>
          </w:p>
        </w:tc>
        <w:tc>
          <w:tcPr>
            <w:tcW w:w="2977" w:type="dxa"/>
          </w:tcPr>
          <w:p>
            <w:pPr>
              <w:pStyle w:val="TableParagraph"/>
              <w:spacing w:line="134" w:lineRule="exact" w:before="18"/>
              <w:ind w:left="26"/>
              <w:rPr>
                <w:sz w:val="12"/>
              </w:rPr>
            </w:pPr>
            <w:r>
              <w:rPr>
                <w:w w:val="115"/>
                <w:sz w:val="12"/>
              </w:rPr>
              <w:t>debridement, no other de</w:t>
            </w:r>
            <w:r>
              <w:rPr>
                <w:rFonts w:ascii="Times New Roman" w:hAnsi="Times New Roman"/>
                <w:w w:val="115"/>
                <w:sz w:val="12"/>
              </w:rPr>
              <w:t>ﬁ</w:t>
            </w:r>
            <w:r>
              <w:rPr>
                <w:w w:val="115"/>
                <w:sz w:val="12"/>
              </w:rPr>
              <w:t>nitions reported.</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3" w:lineRule="exact" w:before="17"/>
              <w:ind w:left="155"/>
              <w:rPr>
                <w:sz w:val="12"/>
              </w:rPr>
            </w:pPr>
            <w:r>
              <w:rPr>
                <w:w w:val="115"/>
                <w:sz w:val="12"/>
              </w:rPr>
              <w:t>sutures and staples</w:t>
            </w:r>
          </w:p>
        </w:tc>
        <w:tc>
          <w:tcPr>
            <w:tcW w:w="2977" w:type="dxa"/>
          </w:tcPr>
          <w:p>
            <w:pPr>
              <w:pStyle w:val="TableParagraph"/>
              <w:rPr>
                <w:rFonts w:ascii="Times New Roman"/>
                <w:sz w:val="10"/>
              </w:rPr>
            </w:pPr>
          </w:p>
        </w:tc>
      </w:tr>
      <w:tr>
        <w:trPr>
          <w:trHeight w:val="173" w:hRule="atLeast"/>
        </w:trPr>
        <w:tc>
          <w:tcPr>
            <w:tcW w:w="1544" w:type="dxa"/>
          </w:tcPr>
          <w:p>
            <w:pPr>
              <w:pStyle w:val="TableParagraph"/>
              <w:spacing w:line="135" w:lineRule="exact" w:before="18"/>
              <w:ind w:left="120"/>
              <w:rPr>
                <w:sz w:val="12"/>
              </w:rPr>
            </w:pPr>
            <w:r>
              <w:rPr>
                <w:w w:val="120"/>
                <w:sz w:val="12"/>
              </w:rPr>
              <w:t>Patel et al. [</w:t>
            </w:r>
            <w:hyperlink w:history="true" w:anchor="_bookmark59">
              <w:r>
                <w:rPr>
                  <w:color w:val="007FAC"/>
                  <w:w w:val="120"/>
                  <w:sz w:val="12"/>
                </w:rPr>
                <w:t>48</w:t>
              </w:r>
            </w:hyperlink>
            <w:r>
              <w:rPr>
                <w:w w:val="120"/>
                <w:sz w:val="12"/>
              </w:rPr>
              <w:t>]</w:t>
            </w:r>
          </w:p>
        </w:tc>
        <w:tc>
          <w:tcPr>
            <w:tcW w:w="965" w:type="dxa"/>
          </w:tcPr>
          <w:p>
            <w:pPr>
              <w:pStyle w:val="TableParagraph"/>
              <w:spacing w:line="135" w:lineRule="exact" w:before="18"/>
              <w:ind w:left="67"/>
              <w:rPr>
                <w:sz w:val="12"/>
              </w:rPr>
            </w:pPr>
            <w:r>
              <w:rPr>
                <w:w w:val="125"/>
                <w:sz w:val="12"/>
              </w:rPr>
              <w:t>2012</w:t>
            </w:r>
          </w:p>
        </w:tc>
        <w:tc>
          <w:tcPr>
            <w:tcW w:w="1609" w:type="dxa"/>
          </w:tcPr>
          <w:p>
            <w:pPr>
              <w:pStyle w:val="TableParagraph"/>
              <w:spacing w:line="135" w:lineRule="exact" w:before="18"/>
              <w:ind w:left="593"/>
              <w:rPr>
                <w:sz w:val="12"/>
              </w:rPr>
            </w:pPr>
            <w:r>
              <w:rPr>
                <w:sz w:val="12"/>
              </w:rPr>
              <w:t>USA</w:t>
            </w:r>
          </w:p>
        </w:tc>
        <w:tc>
          <w:tcPr>
            <w:tcW w:w="1641" w:type="dxa"/>
          </w:tcPr>
          <w:p>
            <w:pPr>
              <w:pStyle w:val="TableParagraph"/>
              <w:spacing w:line="135" w:lineRule="exact" w:before="18"/>
              <w:ind w:left="476"/>
              <w:rPr>
                <w:sz w:val="12"/>
              </w:rPr>
            </w:pPr>
            <w:r>
              <w:rPr>
                <w:w w:val="110"/>
                <w:sz w:val="12"/>
              </w:rPr>
              <w:t>Observational</w:t>
            </w:r>
          </w:p>
        </w:tc>
        <w:tc>
          <w:tcPr>
            <w:tcW w:w="1720" w:type="dxa"/>
          </w:tcPr>
          <w:p>
            <w:pPr>
              <w:pStyle w:val="TableParagraph"/>
              <w:spacing w:line="135" w:lineRule="exact" w:before="18"/>
              <w:ind w:left="326"/>
              <w:rPr>
                <w:sz w:val="12"/>
              </w:rPr>
            </w:pPr>
            <w:r>
              <w:rPr>
                <w:w w:val="115"/>
                <w:sz w:val="12"/>
              </w:rPr>
              <w:t>Mixed hip and knee</w:t>
            </w:r>
          </w:p>
        </w:tc>
        <w:tc>
          <w:tcPr>
            <w:tcW w:w="1433" w:type="dxa"/>
          </w:tcPr>
          <w:p>
            <w:pPr>
              <w:pStyle w:val="TableParagraph"/>
              <w:spacing w:line="135" w:lineRule="exact" w:before="18"/>
              <w:ind w:left="262"/>
              <w:rPr>
                <w:sz w:val="12"/>
              </w:rPr>
            </w:pPr>
            <w:r>
              <w:rPr>
                <w:w w:val="125"/>
                <w:sz w:val="12"/>
              </w:rPr>
              <w:t>278</w:t>
            </w:r>
          </w:p>
        </w:tc>
        <w:tc>
          <w:tcPr>
            <w:tcW w:w="1621" w:type="dxa"/>
          </w:tcPr>
          <w:p>
            <w:pPr>
              <w:pStyle w:val="TableParagraph"/>
              <w:spacing w:line="135" w:lineRule="exact" w:before="18"/>
              <w:ind w:left="155"/>
              <w:rPr>
                <w:sz w:val="12"/>
              </w:rPr>
            </w:pPr>
            <w:r>
              <w:rPr>
                <w:w w:val="110"/>
                <w:sz w:val="12"/>
              </w:rPr>
              <w:t>Absorbable sutures and</w:t>
            </w:r>
          </w:p>
        </w:tc>
        <w:tc>
          <w:tcPr>
            <w:tcW w:w="2977" w:type="dxa"/>
          </w:tcPr>
          <w:p>
            <w:pPr>
              <w:pStyle w:val="TableParagraph"/>
              <w:spacing w:line="135" w:lineRule="exact" w:before="18"/>
              <w:ind w:left="26"/>
              <w:rPr>
                <w:sz w:val="12"/>
              </w:rPr>
            </w:pPr>
            <w:r>
              <w:rPr>
                <w:w w:val="115"/>
                <w:sz w:val="12"/>
              </w:rPr>
              <w:t>Super</w:t>
            </w:r>
            <w:r>
              <w:rPr>
                <w:rFonts w:ascii="Times New Roman" w:hAnsi="Times New Roman"/>
                <w:w w:val="115"/>
                <w:sz w:val="12"/>
              </w:rPr>
              <w:t>ﬁ</w:t>
            </w:r>
            <w:r>
              <w:rPr>
                <w:w w:val="115"/>
                <w:sz w:val="12"/>
              </w:rPr>
              <w:t>cial and wound infection not de</w:t>
            </w:r>
            <w:r>
              <w:rPr>
                <w:rFonts w:ascii="Times New Roman" w:hAnsi="Times New Roman"/>
                <w:w w:val="115"/>
                <w:sz w:val="12"/>
              </w:rPr>
              <w:t>ﬁ</w:t>
            </w:r>
            <w:r>
              <w:rPr>
                <w:w w:val="115"/>
                <w:sz w:val="12"/>
              </w:rPr>
              <w:t>ned;</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0"/>
                <w:sz w:val="12"/>
              </w:rPr>
              <w:t>TSA vs nonabsorbable</w:t>
            </w:r>
          </w:p>
        </w:tc>
        <w:tc>
          <w:tcPr>
            <w:tcW w:w="2977" w:type="dxa"/>
          </w:tcPr>
          <w:p>
            <w:pPr>
              <w:pStyle w:val="TableParagraph"/>
              <w:spacing w:line="134" w:lineRule="exact" w:before="17"/>
              <w:ind w:left="26"/>
              <w:rPr>
                <w:sz w:val="12"/>
              </w:rPr>
            </w:pPr>
            <w:r>
              <w:rPr>
                <w:w w:val="115"/>
                <w:sz w:val="12"/>
              </w:rPr>
              <w:t>wound infection was recorded as deep</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0"/>
                <w:sz w:val="12"/>
              </w:rPr>
              <w:t>sutures and TSA vs</w:t>
            </w:r>
          </w:p>
        </w:tc>
        <w:tc>
          <w:tcPr>
            <w:tcW w:w="2977" w:type="dxa"/>
          </w:tcPr>
          <w:p>
            <w:pPr>
              <w:pStyle w:val="TableParagraph"/>
              <w:spacing w:line="134" w:lineRule="exact" w:before="17"/>
              <w:ind w:left="26"/>
              <w:rPr>
                <w:sz w:val="12"/>
              </w:rPr>
            </w:pPr>
            <w:r>
              <w:rPr>
                <w:w w:val="115"/>
                <w:sz w:val="12"/>
              </w:rPr>
              <w:t>infection. Both reported infections treated with</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3" w:lineRule="exact" w:before="17"/>
              <w:ind w:left="155"/>
              <w:rPr>
                <w:sz w:val="12"/>
              </w:rPr>
            </w:pPr>
            <w:r>
              <w:rPr>
                <w:w w:val="115"/>
                <w:sz w:val="12"/>
              </w:rPr>
              <w:t>staples</w:t>
            </w:r>
          </w:p>
        </w:tc>
        <w:tc>
          <w:tcPr>
            <w:tcW w:w="2977" w:type="dxa"/>
          </w:tcPr>
          <w:p>
            <w:pPr>
              <w:pStyle w:val="TableParagraph"/>
              <w:spacing w:line="133" w:lineRule="exact" w:before="17"/>
              <w:ind w:left="26"/>
              <w:rPr>
                <w:sz w:val="12"/>
              </w:rPr>
            </w:pPr>
            <w:r>
              <w:rPr>
                <w:w w:val="115"/>
                <w:sz w:val="12"/>
              </w:rPr>
              <w:t>irrigation and debridement.</w:t>
            </w:r>
          </w:p>
        </w:tc>
      </w:tr>
      <w:tr>
        <w:trPr>
          <w:trHeight w:val="172" w:hRule="atLeast"/>
        </w:trPr>
        <w:tc>
          <w:tcPr>
            <w:tcW w:w="1544" w:type="dxa"/>
          </w:tcPr>
          <w:p>
            <w:pPr>
              <w:pStyle w:val="TableParagraph"/>
              <w:spacing w:line="134" w:lineRule="exact" w:before="18"/>
              <w:ind w:left="120"/>
              <w:rPr>
                <w:sz w:val="12"/>
              </w:rPr>
            </w:pPr>
            <w:r>
              <w:rPr>
                <w:w w:val="115"/>
                <w:sz w:val="12"/>
              </w:rPr>
              <w:t>Ting et al. [</w:t>
            </w:r>
            <w:hyperlink w:history="true" w:anchor="_bookmark49">
              <w:r>
                <w:rPr>
                  <w:color w:val="007FAC"/>
                  <w:w w:val="115"/>
                  <w:sz w:val="12"/>
                </w:rPr>
                <w:t>38</w:t>
              </w:r>
            </w:hyperlink>
            <w:r>
              <w:rPr>
                <w:w w:val="115"/>
                <w:sz w:val="12"/>
              </w:rPr>
              <w:t>]</w:t>
            </w:r>
          </w:p>
        </w:tc>
        <w:tc>
          <w:tcPr>
            <w:tcW w:w="965" w:type="dxa"/>
          </w:tcPr>
          <w:p>
            <w:pPr>
              <w:pStyle w:val="TableParagraph"/>
              <w:spacing w:line="134" w:lineRule="exact" w:before="18"/>
              <w:ind w:left="67"/>
              <w:rPr>
                <w:sz w:val="12"/>
              </w:rPr>
            </w:pPr>
            <w:r>
              <w:rPr>
                <w:w w:val="125"/>
                <w:sz w:val="12"/>
              </w:rPr>
              <w:t>2012</w:t>
            </w:r>
          </w:p>
        </w:tc>
        <w:tc>
          <w:tcPr>
            <w:tcW w:w="1609" w:type="dxa"/>
          </w:tcPr>
          <w:p>
            <w:pPr>
              <w:pStyle w:val="TableParagraph"/>
              <w:spacing w:line="134" w:lineRule="exact" w:before="18"/>
              <w:ind w:left="593"/>
              <w:rPr>
                <w:sz w:val="12"/>
              </w:rPr>
            </w:pPr>
            <w:r>
              <w:rPr>
                <w:sz w:val="12"/>
              </w:rPr>
              <w:t>USA</w:t>
            </w:r>
          </w:p>
        </w:tc>
        <w:tc>
          <w:tcPr>
            <w:tcW w:w="1641" w:type="dxa"/>
          </w:tcPr>
          <w:p>
            <w:pPr>
              <w:pStyle w:val="TableParagraph"/>
              <w:spacing w:line="134" w:lineRule="exact" w:before="18"/>
              <w:ind w:left="476"/>
              <w:rPr>
                <w:sz w:val="12"/>
              </w:rPr>
            </w:pPr>
            <w:r>
              <w:rPr>
                <w:sz w:val="12"/>
              </w:rPr>
              <w:t>RCT</w:t>
            </w:r>
          </w:p>
        </w:tc>
        <w:tc>
          <w:tcPr>
            <w:tcW w:w="1720" w:type="dxa"/>
          </w:tcPr>
          <w:p>
            <w:pPr>
              <w:pStyle w:val="TableParagraph"/>
              <w:spacing w:line="134" w:lineRule="exact" w:before="18"/>
              <w:ind w:left="326"/>
              <w:rPr>
                <w:sz w:val="12"/>
              </w:rPr>
            </w:pPr>
            <w:r>
              <w:rPr>
                <w:w w:val="115"/>
                <w:sz w:val="12"/>
              </w:rPr>
              <w:t>Mixed hip and knee</w:t>
            </w:r>
          </w:p>
        </w:tc>
        <w:tc>
          <w:tcPr>
            <w:tcW w:w="1433" w:type="dxa"/>
          </w:tcPr>
          <w:p>
            <w:pPr>
              <w:pStyle w:val="TableParagraph"/>
              <w:spacing w:line="134" w:lineRule="exact" w:before="18"/>
              <w:ind w:left="338"/>
              <w:rPr>
                <w:sz w:val="12"/>
              </w:rPr>
            </w:pPr>
            <w:r>
              <w:rPr>
                <w:w w:val="125"/>
                <w:sz w:val="12"/>
              </w:rPr>
              <w:t>60</w:t>
            </w:r>
          </w:p>
        </w:tc>
        <w:tc>
          <w:tcPr>
            <w:tcW w:w="1621" w:type="dxa"/>
          </w:tcPr>
          <w:p>
            <w:pPr>
              <w:pStyle w:val="TableParagraph"/>
              <w:spacing w:line="134" w:lineRule="exact" w:before="18"/>
              <w:ind w:left="155"/>
              <w:rPr>
                <w:sz w:val="12"/>
              </w:rPr>
            </w:pPr>
            <w:r>
              <w:rPr>
                <w:w w:val="110"/>
                <w:sz w:val="12"/>
              </w:rPr>
              <w:t>Barbed sutures and TSA</w:t>
            </w:r>
          </w:p>
        </w:tc>
        <w:tc>
          <w:tcPr>
            <w:tcW w:w="2977" w:type="dxa"/>
          </w:tcPr>
          <w:p>
            <w:pPr>
              <w:pStyle w:val="TableParagraph"/>
              <w:spacing w:line="134" w:lineRule="exact" w:before="18"/>
              <w:ind w:left="26"/>
              <w:rPr>
                <w:sz w:val="12"/>
              </w:rPr>
            </w:pPr>
            <w:r>
              <w:rPr>
                <w:w w:val="115"/>
                <w:sz w:val="12"/>
              </w:rPr>
              <w:t>Super</w:t>
            </w:r>
            <w:r>
              <w:rPr>
                <w:rFonts w:ascii="Times New Roman" w:hAnsi="Times New Roman"/>
                <w:w w:val="115"/>
                <w:sz w:val="12"/>
              </w:rPr>
              <w:t>ﬁ</w:t>
            </w:r>
            <w:r>
              <w:rPr>
                <w:w w:val="115"/>
                <w:sz w:val="12"/>
              </w:rPr>
              <w:t>cial infection was de</w:t>
            </w:r>
            <w:r>
              <w:rPr>
                <w:rFonts w:ascii="Times New Roman" w:hAnsi="Times New Roman"/>
                <w:w w:val="115"/>
                <w:sz w:val="12"/>
              </w:rPr>
              <w:t>ﬁ</w:t>
            </w:r>
            <w:r>
              <w:rPr>
                <w:w w:val="115"/>
                <w:sz w:val="12"/>
              </w:rPr>
              <w:t>ned by need for</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0"/>
                <w:sz w:val="12"/>
              </w:rPr>
              <w:t>vs traditional sutures</w:t>
            </w:r>
          </w:p>
        </w:tc>
        <w:tc>
          <w:tcPr>
            <w:tcW w:w="2977" w:type="dxa"/>
          </w:tcPr>
          <w:p>
            <w:pPr>
              <w:pStyle w:val="TableParagraph"/>
              <w:spacing w:line="134" w:lineRule="exact" w:before="17"/>
              <w:ind w:left="26"/>
              <w:rPr>
                <w:sz w:val="12"/>
              </w:rPr>
            </w:pPr>
            <w:r>
              <w:rPr>
                <w:w w:val="115"/>
                <w:sz w:val="12"/>
              </w:rPr>
              <w:t>reoperation and/or a more than 10-d course of</w:t>
            </w:r>
          </w:p>
        </w:tc>
      </w:tr>
      <w:tr>
        <w:trPr>
          <w:trHeight w:val="169"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3" w:lineRule="exact" w:before="17"/>
              <w:ind w:left="155"/>
              <w:rPr>
                <w:sz w:val="12"/>
              </w:rPr>
            </w:pPr>
            <w:r>
              <w:rPr>
                <w:w w:val="110"/>
                <w:sz w:val="12"/>
              </w:rPr>
              <w:t>and TSA</w:t>
            </w:r>
          </w:p>
        </w:tc>
        <w:tc>
          <w:tcPr>
            <w:tcW w:w="2977" w:type="dxa"/>
          </w:tcPr>
          <w:p>
            <w:pPr>
              <w:pStyle w:val="TableParagraph"/>
              <w:spacing w:line="133" w:lineRule="exact" w:before="17"/>
              <w:ind w:left="26"/>
              <w:rPr>
                <w:sz w:val="12"/>
              </w:rPr>
            </w:pPr>
            <w:r>
              <w:rPr>
                <w:w w:val="115"/>
                <w:sz w:val="12"/>
              </w:rPr>
              <w:t>oral or intravenous antibiotics. Deep infection</w:t>
            </w:r>
          </w:p>
        </w:tc>
      </w:tr>
      <w:tr>
        <w:trPr>
          <w:trHeight w:val="344" w:hRule="atLeast"/>
        </w:trPr>
        <w:tc>
          <w:tcPr>
            <w:tcW w:w="1544" w:type="dxa"/>
          </w:tcPr>
          <w:p>
            <w:pPr>
              <w:pStyle w:val="TableParagraph"/>
              <w:rPr>
                <w:rFonts w:ascii="Times New Roman"/>
                <w:sz w:val="12"/>
              </w:rPr>
            </w:pPr>
          </w:p>
        </w:tc>
        <w:tc>
          <w:tcPr>
            <w:tcW w:w="965" w:type="dxa"/>
          </w:tcPr>
          <w:p>
            <w:pPr>
              <w:pStyle w:val="TableParagraph"/>
              <w:rPr>
                <w:rFonts w:ascii="Times New Roman"/>
                <w:sz w:val="12"/>
              </w:rPr>
            </w:pPr>
          </w:p>
        </w:tc>
        <w:tc>
          <w:tcPr>
            <w:tcW w:w="1609" w:type="dxa"/>
          </w:tcPr>
          <w:p>
            <w:pPr>
              <w:pStyle w:val="TableParagraph"/>
              <w:rPr>
                <w:rFonts w:ascii="Times New Roman"/>
                <w:sz w:val="12"/>
              </w:rPr>
            </w:pPr>
          </w:p>
        </w:tc>
        <w:tc>
          <w:tcPr>
            <w:tcW w:w="1641" w:type="dxa"/>
          </w:tcPr>
          <w:p>
            <w:pPr>
              <w:pStyle w:val="TableParagraph"/>
              <w:rPr>
                <w:rFonts w:ascii="Times New Roman"/>
                <w:sz w:val="12"/>
              </w:rPr>
            </w:pPr>
          </w:p>
        </w:tc>
        <w:tc>
          <w:tcPr>
            <w:tcW w:w="1720" w:type="dxa"/>
          </w:tcPr>
          <w:p>
            <w:pPr>
              <w:pStyle w:val="TableParagraph"/>
              <w:rPr>
                <w:rFonts w:ascii="Times New Roman"/>
                <w:sz w:val="12"/>
              </w:rPr>
            </w:pPr>
          </w:p>
        </w:tc>
        <w:tc>
          <w:tcPr>
            <w:tcW w:w="1433" w:type="dxa"/>
          </w:tcPr>
          <w:p>
            <w:pPr>
              <w:pStyle w:val="TableParagraph"/>
              <w:rPr>
                <w:rFonts w:ascii="Times New Roman"/>
                <w:sz w:val="12"/>
              </w:rPr>
            </w:pPr>
          </w:p>
        </w:tc>
        <w:tc>
          <w:tcPr>
            <w:tcW w:w="1621" w:type="dxa"/>
          </w:tcPr>
          <w:p>
            <w:pPr>
              <w:pStyle w:val="TableParagraph"/>
              <w:rPr>
                <w:rFonts w:ascii="Times New Roman"/>
                <w:sz w:val="12"/>
              </w:rPr>
            </w:pPr>
          </w:p>
        </w:tc>
        <w:tc>
          <w:tcPr>
            <w:tcW w:w="2977" w:type="dxa"/>
          </w:tcPr>
          <w:p>
            <w:pPr>
              <w:pStyle w:val="TableParagraph"/>
              <w:spacing w:before="18"/>
              <w:ind w:left="26"/>
              <w:rPr>
                <w:sz w:val="12"/>
              </w:rPr>
            </w:pPr>
            <w:r>
              <w:rPr>
                <w:w w:val="115"/>
                <w:sz w:val="12"/>
              </w:rPr>
              <w:t>was de</w:t>
            </w:r>
            <w:r>
              <w:rPr>
                <w:rFonts w:ascii="Times New Roman" w:hAnsi="Times New Roman"/>
                <w:w w:val="115"/>
                <w:sz w:val="12"/>
              </w:rPr>
              <w:t>ﬁ</w:t>
            </w:r>
            <w:r>
              <w:rPr>
                <w:w w:val="115"/>
                <w:sz w:val="12"/>
              </w:rPr>
              <w:t>ned by positive cultures obtained at</w:t>
            </w:r>
          </w:p>
          <w:p>
            <w:pPr>
              <w:pStyle w:val="TableParagraph"/>
              <w:spacing w:line="135" w:lineRule="exact" w:before="22"/>
              <w:ind w:left="26"/>
              <w:rPr>
                <w:sz w:val="12"/>
              </w:rPr>
            </w:pPr>
            <w:r>
              <w:rPr>
                <w:w w:val="115"/>
                <w:sz w:val="12"/>
              </w:rPr>
              <w:t>the time of reoperation.</w:t>
            </w:r>
            <w:hyperlink w:history="true" w:anchor="_bookmark9">
              <w:r>
                <w:rPr>
                  <w:color w:val="007FAC"/>
                  <w:w w:val="115"/>
                  <w:sz w:val="12"/>
                  <w:vertAlign w:val="superscript"/>
                </w:rPr>
                <w:t>a</w:t>
              </w:r>
            </w:hyperlink>
          </w:p>
        </w:tc>
      </w:tr>
      <w:tr>
        <w:trPr>
          <w:trHeight w:val="171" w:hRule="atLeast"/>
        </w:trPr>
        <w:tc>
          <w:tcPr>
            <w:tcW w:w="1544" w:type="dxa"/>
          </w:tcPr>
          <w:p>
            <w:pPr>
              <w:pStyle w:val="TableParagraph"/>
              <w:spacing w:line="134" w:lineRule="exact" w:before="17"/>
              <w:ind w:left="120"/>
              <w:rPr>
                <w:sz w:val="12"/>
              </w:rPr>
            </w:pPr>
            <w:r>
              <w:rPr>
                <w:w w:val="115"/>
                <w:sz w:val="12"/>
              </w:rPr>
              <w:t>Gililland et al. [</w:t>
            </w:r>
            <w:hyperlink w:history="true" w:anchor="_bookmark44">
              <w:r>
                <w:rPr>
                  <w:color w:val="007FAC"/>
                  <w:w w:val="115"/>
                  <w:sz w:val="12"/>
                </w:rPr>
                <w:t>33</w:t>
              </w:r>
            </w:hyperlink>
            <w:r>
              <w:rPr>
                <w:w w:val="115"/>
                <w:sz w:val="12"/>
              </w:rPr>
              <w:t>]</w:t>
            </w:r>
          </w:p>
        </w:tc>
        <w:tc>
          <w:tcPr>
            <w:tcW w:w="965" w:type="dxa"/>
          </w:tcPr>
          <w:p>
            <w:pPr>
              <w:pStyle w:val="TableParagraph"/>
              <w:spacing w:line="134" w:lineRule="exact" w:before="17"/>
              <w:ind w:left="67"/>
              <w:rPr>
                <w:sz w:val="12"/>
              </w:rPr>
            </w:pPr>
            <w:r>
              <w:rPr>
                <w:w w:val="125"/>
                <w:sz w:val="12"/>
              </w:rPr>
              <w:t>2014</w:t>
            </w:r>
          </w:p>
        </w:tc>
        <w:tc>
          <w:tcPr>
            <w:tcW w:w="1609" w:type="dxa"/>
          </w:tcPr>
          <w:p>
            <w:pPr>
              <w:pStyle w:val="TableParagraph"/>
              <w:spacing w:line="134" w:lineRule="exact" w:before="17"/>
              <w:ind w:left="593"/>
              <w:rPr>
                <w:sz w:val="12"/>
              </w:rPr>
            </w:pPr>
            <w:r>
              <w:rPr>
                <w:sz w:val="12"/>
              </w:rPr>
              <w:t>USA</w:t>
            </w:r>
          </w:p>
        </w:tc>
        <w:tc>
          <w:tcPr>
            <w:tcW w:w="1641" w:type="dxa"/>
          </w:tcPr>
          <w:p>
            <w:pPr>
              <w:pStyle w:val="TableParagraph"/>
              <w:spacing w:line="134" w:lineRule="exact" w:before="17"/>
              <w:ind w:left="476"/>
              <w:rPr>
                <w:sz w:val="12"/>
              </w:rPr>
            </w:pPr>
            <w:r>
              <w:rPr>
                <w:sz w:val="12"/>
              </w:rPr>
              <w:t>RCT</w:t>
            </w:r>
          </w:p>
        </w:tc>
        <w:tc>
          <w:tcPr>
            <w:tcW w:w="1720" w:type="dxa"/>
          </w:tcPr>
          <w:p>
            <w:pPr>
              <w:pStyle w:val="TableParagraph"/>
              <w:spacing w:line="134" w:lineRule="exact" w:before="17"/>
              <w:ind w:left="326"/>
              <w:rPr>
                <w:sz w:val="12"/>
              </w:rPr>
            </w:pPr>
            <w:r>
              <w:rPr>
                <w:w w:val="110"/>
                <w:sz w:val="12"/>
              </w:rPr>
              <w:t>Knee</w:t>
            </w:r>
          </w:p>
        </w:tc>
        <w:tc>
          <w:tcPr>
            <w:tcW w:w="1433" w:type="dxa"/>
          </w:tcPr>
          <w:p>
            <w:pPr>
              <w:pStyle w:val="TableParagraph"/>
              <w:spacing w:line="134" w:lineRule="exact" w:before="17"/>
              <w:ind w:left="262"/>
              <w:rPr>
                <w:sz w:val="12"/>
              </w:rPr>
            </w:pPr>
            <w:r>
              <w:rPr>
                <w:w w:val="125"/>
                <w:sz w:val="12"/>
              </w:rPr>
              <w:t>394</w:t>
            </w:r>
          </w:p>
        </w:tc>
        <w:tc>
          <w:tcPr>
            <w:tcW w:w="1621" w:type="dxa"/>
          </w:tcPr>
          <w:p>
            <w:pPr>
              <w:pStyle w:val="TableParagraph"/>
              <w:spacing w:line="134" w:lineRule="exact" w:before="17"/>
              <w:ind w:left="155"/>
              <w:rPr>
                <w:sz w:val="12"/>
              </w:rPr>
            </w:pPr>
            <w:r>
              <w:rPr>
                <w:w w:val="110"/>
                <w:sz w:val="12"/>
              </w:rPr>
              <w:t>Barbed sutures vs</w:t>
            </w:r>
          </w:p>
        </w:tc>
        <w:tc>
          <w:tcPr>
            <w:tcW w:w="2977" w:type="dxa"/>
          </w:tcPr>
          <w:p>
            <w:pPr>
              <w:pStyle w:val="TableParagraph"/>
              <w:spacing w:line="134" w:lineRule="exact" w:before="17"/>
              <w:ind w:left="26"/>
              <w:rPr>
                <w:sz w:val="12"/>
              </w:rPr>
            </w:pPr>
            <w:r>
              <w:rPr>
                <w:w w:val="110"/>
                <w:sz w:val="12"/>
              </w:rPr>
              <w:t>Hollander Wound infection Grade: The</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5"/>
                <w:sz w:val="12"/>
              </w:rPr>
              <w:t>traditional sutures.</w:t>
            </w:r>
          </w:p>
        </w:tc>
        <w:tc>
          <w:tcPr>
            <w:tcW w:w="2977" w:type="dxa"/>
          </w:tcPr>
          <w:p>
            <w:pPr>
              <w:pStyle w:val="TableParagraph"/>
              <w:spacing w:line="134" w:lineRule="exact" w:before="17"/>
              <w:ind w:left="26"/>
              <w:rPr>
                <w:sz w:val="12"/>
              </w:rPr>
            </w:pPr>
            <w:r>
              <w:rPr>
                <w:w w:val="115"/>
                <w:sz w:val="12"/>
              </w:rPr>
              <w:t>infection grade ranged from no infection, to</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0"/>
                <w:sz w:val="12"/>
              </w:rPr>
              <w:t>Various skin closure</w:t>
            </w:r>
          </w:p>
        </w:tc>
        <w:tc>
          <w:tcPr>
            <w:tcW w:w="2977" w:type="dxa"/>
          </w:tcPr>
          <w:p>
            <w:pPr>
              <w:pStyle w:val="TableParagraph"/>
              <w:spacing w:line="134" w:lineRule="exact" w:before="17"/>
              <w:ind w:left="26"/>
              <w:rPr>
                <w:sz w:val="12"/>
              </w:rPr>
            </w:pPr>
            <w:r>
              <w:rPr>
                <w:w w:val="115"/>
                <w:sz w:val="12"/>
              </w:rPr>
              <w:t>simple stitch abscess, to surrounding cellulitis,</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spacing w:line="134" w:lineRule="exact" w:before="17"/>
              <w:ind w:left="155"/>
              <w:rPr>
                <w:sz w:val="12"/>
              </w:rPr>
            </w:pPr>
            <w:r>
              <w:rPr>
                <w:w w:val="115"/>
                <w:sz w:val="12"/>
              </w:rPr>
              <w:t>methods used</w:t>
            </w:r>
          </w:p>
        </w:tc>
        <w:tc>
          <w:tcPr>
            <w:tcW w:w="2977" w:type="dxa"/>
          </w:tcPr>
          <w:p>
            <w:pPr>
              <w:pStyle w:val="TableParagraph"/>
              <w:spacing w:line="134" w:lineRule="exact" w:before="17"/>
              <w:ind w:left="26"/>
              <w:rPr>
                <w:sz w:val="12"/>
              </w:rPr>
            </w:pPr>
            <w:r>
              <w:rPr>
                <w:w w:val="115"/>
                <w:sz w:val="12"/>
              </w:rPr>
              <w:t>to accompanying lymphangitis, to systemic</w:t>
            </w:r>
          </w:p>
        </w:tc>
      </w:tr>
      <w:tr>
        <w:trPr>
          <w:trHeight w:val="171" w:hRule="atLeast"/>
        </w:trPr>
        <w:tc>
          <w:tcPr>
            <w:tcW w:w="1544" w:type="dxa"/>
          </w:tcPr>
          <w:p>
            <w:pPr>
              <w:pStyle w:val="TableParagraph"/>
              <w:rPr>
                <w:rFonts w:ascii="Times New Roman"/>
                <w:sz w:val="10"/>
              </w:rPr>
            </w:pPr>
          </w:p>
        </w:tc>
        <w:tc>
          <w:tcPr>
            <w:tcW w:w="965" w:type="dxa"/>
          </w:tcPr>
          <w:p>
            <w:pPr>
              <w:pStyle w:val="TableParagraph"/>
              <w:rPr>
                <w:rFonts w:ascii="Times New Roman"/>
                <w:sz w:val="10"/>
              </w:rPr>
            </w:pPr>
          </w:p>
        </w:tc>
        <w:tc>
          <w:tcPr>
            <w:tcW w:w="1609" w:type="dxa"/>
          </w:tcPr>
          <w:p>
            <w:pPr>
              <w:pStyle w:val="TableParagraph"/>
              <w:rPr>
                <w:rFonts w:ascii="Times New Roman"/>
                <w:sz w:val="10"/>
              </w:rPr>
            </w:pPr>
          </w:p>
        </w:tc>
        <w:tc>
          <w:tcPr>
            <w:tcW w:w="1641" w:type="dxa"/>
          </w:tcPr>
          <w:p>
            <w:pPr>
              <w:pStyle w:val="TableParagraph"/>
              <w:rPr>
                <w:rFonts w:ascii="Times New Roman"/>
                <w:sz w:val="10"/>
              </w:rPr>
            </w:pPr>
          </w:p>
        </w:tc>
        <w:tc>
          <w:tcPr>
            <w:tcW w:w="1720" w:type="dxa"/>
          </w:tcPr>
          <w:p>
            <w:pPr>
              <w:pStyle w:val="TableParagraph"/>
              <w:rPr>
                <w:rFonts w:ascii="Times New Roman"/>
                <w:sz w:val="10"/>
              </w:rPr>
            </w:pPr>
          </w:p>
        </w:tc>
        <w:tc>
          <w:tcPr>
            <w:tcW w:w="1433" w:type="dxa"/>
          </w:tcPr>
          <w:p>
            <w:pPr>
              <w:pStyle w:val="TableParagraph"/>
              <w:rPr>
                <w:rFonts w:ascii="Times New Roman"/>
                <w:sz w:val="10"/>
              </w:rPr>
            </w:pPr>
          </w:p>
        </w:tc>
        <w:tc>
          <w:tcPr>
            <w:tcW w:w="1621" w:type="dxa"/>
          </w:tcPr>
          <w:p>
            <w:pPr>
              <w:pStyle w:val="TableParagraph"/>
              <w:rPr>
                <w:rFonts w:ascii="Times New Roman"/>
                <w:sz w:val="10"/>
              </w:rPr>
            </w:pPr>
          </w:p>
        </w:tc>
        <w:tc>
          <w:tcPr>
            <w:tcW w:w="2977" w:type="dxa"/>
          </w:tcPr>
          <w:p>
            <w:pPr>
              <w:pStyle w:val="TableParagraph"/>
              <w:spacing w:line="134" w:lineRule="exact" w:before="17"/>
              <w:ind w:left="26"/>
              <w:rPr>
                <w:sz w:val="12"/>
              </w:rPr>
            </w:pPr>
            <w:r>
              <w:rPr>
                <w:w w:val="115"/>
                <w:sz w:val="12"/>
              </w:rPr>
              <w:t>symptoms. Note to Table 4 from the study</w:t>
            </w:r>
          </w:p>
        </w:tc>
      </w:tr>
      <w:tr>
        <w:trPr>
          <w:trHeight w:val="197" w:hRule="atLeast"/>
        </w:trPr>
        <w:tc>
          <w:tcPr>
            <w:tcW w:w="1544" w:type="dxa"/>
          </w:tcPr>
          <w:p>
            <w:pPr>
              <w:pStyle w:val="TableParagraph"/>
              <w:rPr>
                <w:rFonts w:ascii="Times New Roman"/>
                <w:sz w:val="12"/>
              </w:rPr>
            </w:pPr>
          </w:p>
        </w:tc>
        <w:tc>
          <w:tcPr>
            <w:tcW w:w="965" w:type="dxa"/>
          </w:tcPr>
          <w:p>
            <w:pPr>
              <w:pStyle w:val="TableParagraph"/>
              <w:rPr>
                <w:rFonts w:ascii="Times New Roman"/>
                <w:sz w:val="12"/>
              </w:rPr>
            </w:pPr>
          </w:p>
        </w:tc>
        <w:tc>
          <w:tcPr>
            <w:tcW w:w="1609" w:type="dxa"/>
          </w:tcPr>
          <w:p>
            <w:pPr>
              <w:pStyle w:val="TableParagraph"/>
              <w:rPr>
                <w:rFonts w:ascii="Times New Roman"/>
                <w:sz w:val="12"/>
              </w:rPr>
            </w:pPr>
          </w:p>
        </w:tc>
        <w:tc>
          <w:tcPr>
            <w:tcW w:w="1641" w:type="dxa"/>
          </w:tcPr>
          <w:p>
            <w:pPr>
              <w:pStyle w:val="TableParagraph"/>
              <w:rPr>
                <w:rFonts w:ascii="Times New Roman"/>
                <w:sz w:val="12"/>
              </w:rPr>
            </w:pPr>
          </w:p>
        </w:tc>
        <w:tc>
          <w:tcPr>
            <w:tcW w:w="1720" w:type="dxa"/>
          </w:tcPr>
          <w:p>
            <w:pPr>
              <w:pStyle w:val="TableParagraph"/>
              <w:rPr>
                <w:rFonts w:ascii="Times New Roman"/>
                <w:sz w:val="12"/>
              </w:rPr>
            </w:pPr>
          </w:p>
        </w:tc>
        <w:tc>
          <w:tcPr>
            <w:tcW w:w="1433" w:type="dxa"/>
          </w:tcPr>
          <w:p>
            <w:pPr>
              <w:pStyle w:val="TableParagraph"/>
              <w:rPr>
                <w:rFonts w:ascii="Times New Roman"/>
                <w:sz w:val="12"/>
              </w:rPr>
            </w:pPr>
          </w:p>
        </w:tc>
        <w:tc>
          <w:tcPr>
            <w:tcW w:w="1621" w:type="dxa"/>
          </w:tcPr>
          <w:p>
            <w:pPr>
              <w:pStyle w:val="TableParagraph"/>
              <w:rPr>
                <w:rFonts w:ascii="Times New Roman"/>
                <w:sz w:val="12"/>
              </w:rPr>
            </w:pPr>
          </w:p>
        </w:tc>
        <w:tc>
          <w:tcPr>
            <w:tcW w:w="2977" w:type="dxa"/>
          </w:tcPr>
          <w:p>
            <w:pPr>
              <w:pStyle w:val="TableParagraph"/>
              <w:spacing w:line="147" w:lineRule="exact" w:before="17"/>
              <w:ind w:left="26"/>
              <w:rPr>
                <w:sz w:val="12"/>
              </w:rPr>
            </w:pPr>
            <w:r>
              <w:rPr>
                <w:w w:val="115"/>
                <w:sz w:val="12"/>
              </w:rPr>
              <w:t>describes grade 4 systemic symptoms as deep</w:t>
            </w:r>
          </w:p>
        </w:tc>
      </w:tr>
    </w:tbl>
    <w:p>
      <w:pPr>
        <w:spacing w:after="0" w:line="147" w:lineRule="exact"/>
        <w:rPr>
          <w:sz w:val="12"/>
        </w:rPr>
        <w:sectPr>
          <w:headerReference w:type="default" r:id="rId28"/>
          <w:footerReference w:type="default" r:id="rId29"/>
          <w:pgSz w:w="15880" w:h="11910" w:orient="landscape"/>
          <w:pgMar w:header="0" w:footer="0" w:top="0" w:bottom="0" w:left="520" w:right="1220"/>
        </w:sectPr>
      </w:pPr>
    </w:p>
    <w:p>
      <w:pPr>
        <w:pStyle w:val="BodyText"/>
        <w:rPr>
          <w:sz w:val="20"/>
        </w:rPr>
      </w:pPr>
      <w:r>
        <w:rPr/>
        <w:pict>
          <v:group style="position:absolute;margin-left:767.622009pt;margin-top:42.52pt;width:15.6pt;height:520pt;mso-position-horizontal-relative:page;mso-position-vertical-relative:page;z-index:251693056" coordorigin="15352,850" coordsize="312,10400">
            <v:rect style="position:absolute;left:15352;top:850;width:312;height:10400" filled="true" fillcolor="#c1c3c5" stroked="false">
              <v:fill type="solid"/>
            </v:rect>
            <v:shape style="position:absolute;left:15408;top:4502;width:211;height:2589" coordorigin="15409,4502" coordsize="211,2589" path="m15475,6967l15475,6927,15454,6930,15433,6942,15416,6968,15409,7012,15410,7032,15419,7058,15438,7081,15443,7083,15443,7009,15446,6987,15455,6974,15465,6968,15475,6967xm15619,7007l15613,6967,15597,6944,15577,6932,15558,6930,15531,6935,15514,6949,15505,6970,15499,6993,15494,7015,15490,7029,15485,7041,15479,7048,15469,7051,15456,7047,15448,7037,15444,7024,15443,7009,15443,7083,15474,7091,15497,7087,15512,7075,15522,7058,15528,7039,15540,6990,15542,6982,15545,6969,15561,6969,15572,6972,15579,6980,15583,6991,15585,7004,15585,7075,15596,7069,15613,7045,15619,7007xm15585,7075l15585,7004,15581,7025,15573,7037,15563,7043,15554,7045,15554,7085,15575,7081,15585,7075xm15475,6781l15475,6741,15454,6744,15433,6756,15416,6782,15409,6826,15410,6846,15419,6872,15438,6895,15443,6897,15443,6823,15446,6801,15455,6789,15465,6783,15475,6781xm15619,6821l15613,6781,15597,6758,15577,6747,15558,6744,15531,6749,15514,6763,15505,6784,15499,6807,15494,6829,15490,6843,15485,6855,15479,6862,15469,6865,15456,6861,15448,6852,15444,6838,15443,6823,15443,6897,15474,6905,15497,6901,15512,6889,15522,6873,15528,6853,15540,6804,15542,6796,15545,6783,15561,6783,15572,6786,15579,6794,15583,6806,15585,6818,15585,6890,15596,6883,15613,6859,15619,6821xm15585,6890l15585,6818,15581,6839,15573,6852,15563,6857,15554,6859,15554,6899,15575,6895,15585,6890xm15614,6713l15614,6565,15414,6565,15414,6717,15449,6717,15449,6606,15501,6606,15501,6704,15536,6704,15536,6606,15578,6606,15578,6713,15614,6713xm15614,6466l15614,6365,15414,6365,15414,6406,15492,6406,15492,6518,15495,6517,15504,6509,15510,6498,15517,6512,15526,6520,15526,6406,15579,6406,15579,6524,15592,6518,15607,6499,15614,6466xm15492,6518l15492,6449,15490,6467,15483,6477,15472,6481,15454,6482,15440,6482,15430,6483,15421,6484,15414,6486,15414,6533,15419,6533,15422,6527,15429,6525,15440,6524,15459,6524,15481,6522,15492,6518xm15579,6524l15579,6483,15564,6487,15553,6487,15540,6485,15532,6479,15527,6469,15526,6455,15526,6520,15528,6521,15541,6527,15557,6529,15573,6527,15579,6524xm15614,6271l15614,6179,15414,6179,15414,6221,15486,6221,15486,6269,15493,6302,15511,6321,15520,6325,15520,6221,15579,6221,15579,6327,15597,6316,15609,6297,15614,6271xm15579,6327l15579,6254,15578,6271,15573,6282,15564,6289,15552,6291,15543,6291,15533,6287,15524,6278,15520,6260,15520,6325,15532,6330,15550,6333,15576,6329,15579,6327xm15614,5928l15614,5884,15414,5884,15414,5923,15556,5923,15556,5961,15614,5928xm15556,5961l15556,5924,15414,6005,15414,6047,15474,6047,15474,6008,15556,5961xm15614,6047l15614,6008,15474,6008,15474,6047,15614,6047xm15614,5849l15614,5807,15414,5807,15414,5849,15614,5849xm15614,5678l15614,5531,15414,5531,15414,5683,15449,5683,15449,5572,15501,5572,15501,5670,15536,5670,15536,5572,15578,5572,15578,5678,15614,5678xm15614,5405l15614,5363,15414,5363,15414,5504,15450,5504,15450,5405,15614,5405xm15619,5246l15613,5209,15593,5180,15560,5161,15513,5154,15468,5160,15435,5179,15415,5208,15409,5245,15414,5279,15429,5304,15445,5316,15445,5246,15450,5223,15465,5208,15487,5199,15513,5196,15548,5201,15569,5213,15580,5230,15583,5246,15583,5319,15595,5310,15612,5284,15619,5246xm15482,5332l15482,5290,15466,5284,15454,5275,15447,5262,15445,5246,15445,5316,15452,5322,15482,5332xm15583,5319l15583,5246,15579,5267,15570,5280,15559,5287,15548,5290,15548,5332,15572,5326,15583,5319xm15614,5126l15614,5084,15414,5084,15414,5126,15614,5126xm15578,5004l15578,4962,15414,4962,15414,5004,15578,5004xm15614,5064l15614,4901,15578,4901,15578,5064,15614,5064xm15614,4820l15614,4718,15414,4718,15414,4759,15492,4759,15492,4872,15495,4871,15504,4863,15510,4852,15517,4865,15526,4873,15526,4759,15579,4759,15579,4877,15592,4871,15607,4852,15614,4820xm15492,4872l15492,4803,15490,4821,15483,4831,15472,4834,15454,4835,15440,4836,15430,4836,15421,4838,15414,4840,15414,4886,15419,4886,15422,4881,15429,4878,15440,4877,15459,4877,15481,4875,15492,4872xm15579,4877l15579,4836,15564,4841,15553,4841,15540,4839,15532,4833,15527,4823,15526,4808,15526,4873,15528,4875,15541,4881,15557,4883,15573,4880,15579,4877xm15614,4622l15614,4574,15414,4502,15414,4547,15455,4560,15455,4678,15489,4666,15489,4572,15569,4597,15569,4638,15614,4622xm15455,4678l15455,4634,15414,4647,15414,4693,15455,4678xm15569,4638l15569,4598,15489,4623,15489,4666,15569,4638xe" filled="true" fillcolor="#ffffff" stroked="false">
              <v:path arrowok="t"/>
              <v:fill type="solid"/>
            </v:shape>
            <w10:wrap type="none"/>
          </v:group>
        </w:pict>
      </w:r>
      <w:r>
        <w:rPr/>
        <w:pict>
          <v:shape style="position:absolute;margin-left:738.346069pt;margin-top:218.571594pt;width:9.65pt;height:167.95pt;mso-position-horizontal-relative:page;mso-position-vertical-relative:page;z-index:251694080"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pict>
          <v:shape style="position:absolute;margin-left:738.212219pt;margin-top:557.936768pt;width:9.85pt;height:5.65pt;mso-position-horizontal-relative:page;mso-position-vertical-relative:page;z-index:251695104" type="#_x0000_t202" filled="false" stroked="false">
            <v:textbox inset="0,0,0,0" style="layout-flow:vertical">
              <w:txbxContent>
                <w:p>
                  <w:pPr>
                    <w:spacing w:before="29"/>
                    <w:ind w:left="20" w:right="0" w:firstLine="0"/>
                    <w:jc w:val="left"/>
                    <w:rPr>
                      <w:sz w:val="12"/>
                    </w:rPr>
                  </w:pPr>
                  <w:r>
                    <w:rPr>
                      <w:w w:val="121"/>
                      <w:sz w:val="12"/>
                    </w:rPr>
                    <w:t>5</w:t>
                  </w:r>
                </w:p>
              </w:txbxContent>
            </v:textbox>
            <w10:wrap type="none"/>
          </v:shape>
        </w:pict>
      </w:r>
      <w:r>
        <w:rPr/>
        <w:pict>
          <v:shape style="position:absolute;margin-left:2.48584pt;margin-top:118.893997pt;width:16.8pt;height:357.5pt;mso-position-horizontal-relative:page;mso-position-vertical-relative:page;z-index:251696128"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p>
      <w:pPr>
        <w:pStyle w:val="BodyText"/>
        <w:rPr>
          <w:sz w:val="20"/>
        </w:rPr>
      </w:pPr>
    </w:p>
    <w:p>
      <w:pPr>
        <w:pStyle w:val="BodyText"/>
        <w:spacing w:before="4"/>
        <w:rPr>
          <w:sz w:val="13"/>
        </w:rPr>
      </w:pPr>
    </w:p>
    <w:tbl>
      <w:tblPr>
        <w:tblW w:w="0" w:type="auto"/>
        <w:jc w:val="left"/>
        <w:tblInd w:w="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64"/>
        <w:gridCol w:w="958"/>
        <w:gridCol w:w="1711"/>
        <w:gridCol w:w="1739"/>
        <w:gridCol w:w="1526"/>
        <w:gridCol w:w="1035"/>
        <w:gridCol w:w="1997"/>
        <w:gridCol w:w="2907"/>
      </w:tblGrid>
      <w:tr>
        <w:trPr>
          <w:trHeight w:val="195" w:hRule="atLeast"/>
        </w:trPr>
        <w:tc>
          <w:tcPr>
            <w:tcW w:w="10430" w:type="dxa"/>
            <w:gridSpan w:val="7"/>
            <w:vMerge w:val="restart"/>
          </w:tcPr>
          <w:p>
            <w:pPr>
              <w:pStyle w:val="TableParagraph"/>
              <w:rPr>
                <w:rFonts w:ascii="Times New Roman"/>
                <w:sz w:val="12"/>
              </w:rPr>
            </w:pPr>
          </w:p>
        </w:tc>
        <w:tc>
          <w:tcPr>
            <w:tcW w:w="2907" w:type="dxa"/>
          </w:tcPr>
          <w:p>
            <w:pPr>
              <w:pStyle w:val="TableParagraph"/>
              <w:spacing w:line="133" w:lineRule="exact" w:before="43"/>
              <w:ind w:left="42"/>
              <w:rPr>
                <w:sz w:val="12"/>
              </w:rPr>
            </w:pPr>
            <w:r>
              <w:rPr>
                <w:w w:val="115"/>
                <w:sz w:val="12"/>
              </w:rPr>
              <w:t>infection. Reported for 2 and 6 weeks. Four</w:t>
            </w:r>
          </w:p>
        </w:tc>
      </w:tr>
      <w:tr>
        <w:trPr>
          <w:trHeight w:val="172" w:hRule="atLeast"/>
        </w:trPr>
        <w:tc>
          <w:tcPr>
            <w:tcW w:w="10430" w:type="dxa"/>
            <w:gridSpan w:val="7"/>
            <w:vMerge/>
            <w:tcBorders>
              <w:top w:val="nil"/>
            </w:tcBorders>
          </w:tcPr>
          <w:p>
            <w:pPr>
              <w:rPr>
                <w:sz w:val="2"/>
                <w:szCs w:val="2"/>
              </w:rPr>
            </w:pPr>
          </w:p>
        </w:tc>
        <w:tc>
          <w:tcPr>
            <w:tcW w:w="2907" w:type="dxa"/>
          </w:tcPr>
          <w:p>
            <w:pPr>
              <w:pStyle w:val="TableParagraph"/>
              <w:spacing w:line="134" w:lineRule="exact" w:before="18"/>
              <w:ind w:left="42"/>
              <w:rPr>
                <w:sz w:val="12"/>
              </w:rPr>
            </w:pPr>
            <w:r>
              <w:rPr>
                <w:w w:val="115"/>
                <w:sz w:val="12"/>
              </w:rPr>
              <w:t>super</w:t>
            </w:r>
            <w:r>
              <w:rPr>
                <w:rFonts w:ascii="Times New Roman" w:hAnsi="Times New Roman"/>
                <w:w w:val="115"/>
                <w:sz w:val="12"/>
              </w:rPr>
              <w:t>ﬁ</w:t>
            </w:r>
            <w:r>
              <w:rPr>
                <w:w w:val="115"/>
                <w:sz w:val="12"/>
              </w:rPr>
              <w:t>cial (2 grade 1, 2 grade 2) and 1 deep</w:t>
            </w:r>
          </w:p>
        </w:tc>
      </w:tr>
      <w:tr>
        <w:trPr>
          <w:trHeight w:val="170" w:hRule="atLeast"/>
        </w:trPr>
        <w:tc>
          <w:tcPr>
            <w:tcW w:w="10430" w:type="dxa"/>
            <w:gridSpan w:val="7"/>
            <w:vMerge/>
            <w:tcBorders>
              <w:top w:val="nil"/>
            </w:tcBorders>
          </w:tcPr>
          <w:p>
            <w:pPr>
              <w:rPr>
                <w:sz w:val="2"/>
                <w:szCs w:val="2"/>
              </w:rPr>
            </w:pPr>
          </w:p>
        </w:tc>
        <w:tc>
          <w:tcPr>
            <w:tcW w:w="2907" w:type="dxa"/>
          </w:tcPr>
          <w:p>
            <w:pPr>
              <w:pStyle w:val="TableParagraph"/>
              <w:spacing w:line="134" w:lineRule="exact" w:before="17"/>
              <w:ind w:left="42"/>
              <w:rPr>
                <w:sz w:val="12"/>
              </w:rPr>
            </w:pPr>
            <w:r>
              <w:rPr>
                <w:w w:val="115"/>
                <w:sz w:val="12"/>
              </w:rPr>
              <w:t>infections at 6 wk.</w:t>
            </w:r>
          </w:p>
        </w:tc>
      </w:tr>
      <w:tr>
        <w:trPr>
          <w:trHeight w:val="173" w:hRule="atLeast"/>
        </w:trPr>
        <w:tc>
          <w:tcPr>
            <w:tcW w:w="1464" w:type="dxa"/>
          </w:tcPr>
          <w:p>
            <w:pPr>
              <w:pStyle w:val="TableParagraph"/>
              <w:spacing w:line="134" w:lineRule="exact" w:before="18"/>
              <w:ind w:left="33"/>
              <w:rPr>
                <w:sz w:val="12"/>
              </w:rPr>
            </w:pPr>
            <w:r>
              <w:rPr>
                <w:w w:val="115"/>
                <w:sz w:val="12"/>
              </w:rPr>
              <w:t>Smith et al. [</w:t>
            </w:r>
            <w:hyperlink w:history="true" w:anchor="_bookmark50">
              <w:r>
                <w:rPr>
                  <w:color w:val="007FAC"/>
                  <w:w w:val="115"/>
                  <w:sz w:val="12"/>
                </w:rPr>
                <w:t>39</w:t>
              </w:r>
            </w:hyperlink>
            <w:r>
              <w:rPr>
                <w:w w:val="115"/>
                <w:sz w:val="12"/>
              </w:rPr>
              <w:t>]</w:t>
            </w:r>
          </w:p>
        </w:tc>
        <w:tc>
          <w:tcPr>
            <w:tcW w:w="958" w:type="dxa"/>
          </w:tcPr>
          <w:p>
            <w:pPr>
              <w:pStyle w:val="TableParagraph"/>
              <w:spacing w:line="134" w:lineRule="exact" w:before="18"/>
              <w:ind w:left="60"/>
              <w:rPr>
                <w:sz w:val="12"/>
              </w:rPr>
            </w:pPr>
            <w:r>
              <w:rPr>
                <w:w w:val="125"/>
                <w:sz w:val="12"/>
              </w:rPr>
              <w:t>2014</w:t>
            </w:r>
          </w:p>
        </w:tc>
        <w:tc>
          <w:tcPr>
            <w:tcW w:w="1711" w:type="dxa"/>
          </w:tcPr>
          <w:p>
            <w:pPr>
              <w:pStyle w:val="TableParagraph"/>
              <w:spacing w:line="134" w:lineRule="exact" w:before="18"/>
              <w:ind w:left="593"/>
              <w:rPr>
                <w:sz w:val="12"/>
              </w:rPr>
            </w:pPr>
            <w:r>
              <w:rPr>
                <w:sz w:val="12"/>
              </w:rPr>
              <w:t>USA</w:t>
            </w:r>
          </w:p>
        </w:tc>
        <w:tc>
          <w:tcPr>
            <w:tcW w:w="1739" w:type="dxa"/>
          </w:tcPr>
          <w:p>
            <w:pPr>
              <w:pStyle w:val="TableParagraph"/>
              <w:spacing w:line="134" w:lineRule="exact" w:before="18"/>
              <w:ind w:left="374"/>
              <w:rPr>
                <w:sz w:val="12"/>
              </w:rPr>
            </w:pPr>
            <w:r>
              <w:rPr>
                <w:w w:val="115"/>
                <w:sz w:val="12"/>
              </w:rPr>
              <w:t>mixed</w:t>
            </w:r>
          </w:p>
        </w:tc>
        <w:tc>
          <w:tcPr>
            <w:tcW w:w="1526" w:type="dxa"/>
          </w:tcPr>
          <w:p>
            <w:pPr>
              <w:pStyle w:val="TableParagraph"/>
              <w:spacing w:line="134" w:lineRule="exact" w:before="18"/>
              <w:ind w:left="126"/>
              <w:rPr>
                <w:sz w:val="12"/>
              </w:rPr>
            </w:pPr>
            <w:r>
              <w:rPr>
                <w:w w:val="115"/>
                <w:sz w:val="12"/>
              </w:rPr>
              <w:t>Mixed hip and knee</w:t>
            </w:r>
          </w:p>
        </w:tc>
        <w:tc>
          <w:tcPr>
            <w:tcW w:w="1035" w:type="dxa"/>
          </w:tcPr>
          <w:p>
            <w:pPr>
              <w:pStyle w:val="TableParagraph"/>
              <w:spacing w:line="134" w:lineRule="exact" w:before="18"/>
              <w:ind w:right="548"/>
              <w:jc w:val="right"/>
              <w:rPr>
                <w:sz w:val="12"/>
              </w:rPr>
            </w:pPr>
            <w:r>
              <w:rPr>
                <w:w w:val="125"/>
                <w:sz w:val="12"/>
              </w:rPr>
              <w:t>134</w:t>
            </w:r>
          </w:p>
        </w:tc>
        <w:tc>
          <w:tcPr>
            <w:tcW w:w="1997" w:type="dxa"/>
          </w:tcPr>
          <w:p>
            <w:pPr>
              <w:pStyle w:val="TableParagraph"/>
              <w:spacing w:line="134" w:lineRule="exact" w:before="18"/>
              <w:ind w:left="547"/>
              <w:rPr>
                <w:sz w:val="12"/>
              </w:rPr>
            </w:pPr>
            <w:r>
              <w:rPr>
                <w:w w:val="110"/>
                <w:sz w:val="12"/>
              </w:rPr>
              <w:t>Barbed sutures vs</w:t>
            </w:r>
          </w:p>
        </w:tc>
        <w:tc>
          <w:tcPr>
            <w:tcW w:w="2907" w:type="dxa"/>
          </w:tcPr>
          <w:p>
            <w:pPr>
              <w:pStyle w:val="TableParagraph"/>
              <w:spacing w:line="134" w:lineRule="exact" w:before="18"/>
              <w:ind w:left="42"/>
              <w:rPr>
                <w:sz w:val="12"/>
              </w:rPr>
            </w:pPr>
            <w:r>
              <w:rPr>
                <w:w w:val="115"/>
                <w:sz w:val="12"/>
              </w:rPr>
              <w:t>Super</w:t>
            </w:r>
            <w:r>
              <w:rPr>
                <w:rFonts w:ascii="Times New Roman" w:hAnsi="Times New Roman"/>
                <w:w w:val="115"/>
                <w:sz w:val="12"/>
              </w:rPr>
              <w:t>ﬁ</w:t>
            </w:r>
            <w:r>
              <w:rPr>
                <w:w w:val="115"/>
                <w:sz w:val="12"/>
              </w:rPr>
              <w:t>cial infections are de</w:t>
            </w:r>
            <w:r>
              <w:rPr>
                <w:rFonts w:ascii="Times New Roman" w:hAnsi="Times New Roman"/>
                <w:w w:val="115"/>
                <w:sz w:val="12"/>
              </w:rPr>
              <w:t>ﬁ</w:t>
            </w:r>
            <w:r>
              <w:rPr>
                <w:w w:val="115"/>
                <w:sz w:val="12"/>
              </w:rPr>
              <w:t>ned as super</w:t>
            </w:r>
            <w:r>
              <w:rPr>
                <w:rFonts w:ascii="Times New Roman" w:hAnsi="Times New Roman"/>
                <w:w w:val="115"/>
                <w:sz w:val="12"/>
              </w:rPr>
              <w:t>ﬁ</w:t>
            </w:r>
            <w:r>
              <w:rPr>
                <w:w w:val="115"/>
                <w:sz w:val="12"/>
              </w:rPr>
              <w:t>cial</w:t>
            </w:r>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3" w:lineRule="exact" w:before="17"/>
              <w:ind w:left="547"/>
              <w:rPr>
                <w:sz w:val="12"/>
              </w:rPr>
            </w:pPr>
            <w:r>
              <w:rPr>
                <w:w w:val="115"/>
                <w:sz w:val="12"/>
              </w:rPr>
              <w:t>traditional sutures</w:t>
            </w:r>
          </w:p>
        </w:tc>
        <w:tc>
          <w:tcPr>
            <w:tcW w:w="2907" w:type="dxa"/>
          </w:tcPr>
          <w:p>
            <w:pPr>
              <w:pStyle w:val="TableParagraph"/>
              <w:spacing w:line="133" w:lineRule="exact" w:before="17"/>
              <w:ind w:left="42"/>
              <w:rPr>
                <w:sz w:val="12"/>
              </w:rPr>
            </w:pPr>
            <w:r>
              <w:rPr>
                <w:w w:val="115"/>
                <w:sz w:val="12"/>
              </w:rPr>
              <w:t>cellulitis without infection deep to the fascia.</w:t>
            </w:r>
          </w:p>
        </w:tc>
      </w:tr>
      <w:tr>
        <w:trPr>
          <w:trHeight w:val="171" w:hRule="atLeast"/>
        </w:trPr>
        <w:tc>
          <w:tcPr>
            <w:tcW w:w="1464" w:type="dxa"/>
          </w:tcPr>
          <w:p>
            <w:pPr>
              <w:pStyle w:val="TableParagraph"/>
              <w:spacing w:line="133" w:lineRule="exact" w:before="18"/>
              <w:ind w:left="33"/>
              <w:rPr>
                <w:sz w:val="12"/>
              </w:rPr>
            </w:pPr>
            <w:r>
              <w:rPr>
                <w:w w:val="115"/>
                <w:sz w:val="12"/>
              </w:rPr>
              <w:t>Buttaro et al. [</w:t>
            </w:r>
            <w:hyperlink w:history="true" w:anchor="_bookmark32">
              <w:r>
                <w:rPr>
                  <w:color w:val="007FAC"/>
                  <w:w w:val="115"/>
                  <w:sz w:val="12"/>
                </w:rPr>
                <w:t>21</w:t>
              </w:r>
            </w:hyperlink>
            <w:r>
              <w:rPr>
                <w:w w:val="115"/>
                <w:sz w:val="12"/>
              </w:rPr>
              <w:t>]</w:t>
            </w:r>
          </w:p>
        </w:tc>
        <w:tc>
          <w:tcPr>
            <w:tcW w:w="958" w:type="dxa"/>
          </w:tcPr>
          <w:p>
            <w:pPr>
              <w:pStyle w:val="TableParagraph"/>
              <w:spacing w:line="133" w:lineRule="exact" w:before="18"/>
              <w:ind w:left="60"/>
              <w:rPr>
                <w:sz w:val="12"/>
              </w:rPr>
            </w:pPr>
            <w:r>
              <w:rPr>
                <w:w w:val="125"/>
                <w:sz w:val="12"/>
              </w:rPr>
              <w:t>2015</w:t>
            </w:r>
          </w:p>
        </w:tc>
        <w:tc>
          <w:tcPr>
            <w:tcW w:w="1711" w:type="dxa"/>
          </w:tcPr>
          <w:p>
            <w:pPr>
              <w:pStyle w:val="TableParagraph"/>
              <w:spacing w:line="133" w:lineRule="exact" w:before="18"/>
              <w:ind w:left="593"/>
              <w:rPr>
                <w:sz w:val="12"/>
              </w:rPr>
            </w:pPr>
            <w:r>
              <w:rPr>
                <w:w w:val="110"/>
                <w:sz w:val="12"/>
              </w:rPr>
              <w:t>Argentina</w:t>
            </w:r>
          </w:p>
        </w:tc>
        <w:tc>
          <w:tcPr>
            <w:tcW w:w="1739" w:type="dxa"/>
          </w:tcPr>
          <w:p>
            <w:pPr>
              <w:pStyle w:val="TableParagraph"/>
              <w:spacing w:line="133" w:lineRule="exact" w:before="18"/>
              <w:ind w:left="374"/>
              <w:rPr>
                <w:sz w:val="12"/>
              </w:rPr>
            </w:pPr>
            <w:r>
              <w:rPr>
                <w:sz w:val="12"/>
              </w:rPr>
              <w:t>RCT</w:t>
            </w:r>
          </w:p>
        </w:tc>
        <w:tc>
          <w:tcPr>
            <w:tcW w:w="1526" w:type="dxa"/>
          </w:tcPr>
          <w:p>
            <w:pPr>
              <w:pStyle w:val="TableParagraph"/>
              <w:spacing w:line="133" w:lineRule="exact" w:before="18"/>
              <w:ind w:left="126"/>
              <w:rPr>
                <w:sz w:val="12"/>
              </w:rPr>
            </w:pPr>
            <w:r>
              <w:rPr>
                <w:w w:val="105"/>
                <w:sz w:val="12"/>
              </w:rPr>
              <w:t>Hip</w:t>
            </w:r>
          </w:p>
        </w:tc>
        <w:tc>
          <w:tcPr>
            <w:tcW w:w="1035" w:type="dxa"/>
          </w:tcPr>
          <w:p>
            <w:pPr>
              <w:pStyle w:val="TableParagraph"/>
              <w:spacing w:line="133" w:lineRule="exact" w:before="18"/>
              <w:ind w:right="548"/>
              <w:jc w:val="right"/>
              <w:rPr>
                <w:sz w:val="12"/>
              </w:rPr>
            </w:pPr>
            <w:r>
              <w:rPr>
                <w:w w:val="125"/>
                <w:sz w:val="12"/>
              </w:rPr>
              <w:t>220</w:t>
            </w:r>
          </w:p>
        </w:tc>
        <w:tc>
          <w:tcPr>
            <w:tcW w:w="1997" w:type="dxa"/>
          </w:tcPr>
          <w:p>
            <w:pPr>
              <w:pStyle w:val="TableParagraph"/>
              <w:spacing w:line="133" w:lineRule="exact" w:before="18"/>
              <w:ind w:left="547"/>
              <w:rPr>
                <w:sz w:val="12"/>
              </w:rPr>
            </w:pPr>
            <w:r>
              <w:rPr>
                <w:w w:val="110"/>
                <w:sz w:val="12"/>
              </w:rPr>
              <w:t>Sutures vs staples</w:t>
            </w:r>
          </w:p>
        </w:tc>
        <w:tc>
          <w:tcPr>
            <w:tcW w:w="2907" w:type="dxa"/>
          </w:tcPr>
          <w:p>
            <w:pPr>
              <w:pStyle w:val="TableParagraph"/>
              <w:spacing w:line="133" w:lineRule="exact" w:before="18"/>
              <w:ind w:left="42"/>
              <w:rPr>
                <w:sz w:val="12"/>
              </w:rPr>
            </w:pPr>
            <w:r>
              <w:rPr>
                <w:w w:val="115"/>
                <w:sz w:val="12"/>
              </w:rPr>
              <w:t>Patients were monitored for super</w:t>
            </w:r>
            <w:r>
              <w:rPr>
                <w:rFonts w:ascii="Times New Roman" w:hAnsi="Times New Roman"/>
                <w:w w:val="115"/>
                <w:sz w:val="12"/>
              </w:rPr>
              <w:t>ﬁ</w:t>
            </w:r>
            <w:r>
              <w:rPr>
                <w:w w:val="115"/>
                <w:sz w:val="12"/>
              </w:rPr>
              <w:t>cial and</w:t>
            </w:r>
          </w:p>
        </w:tc>
      </w:tr>
      <w:tr>
        <w:trPr>
          <w:trHeight w:val="172"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8"/>
              <w:ind w:left="42"/>
              <w:rPr>
                <w:sz w:val="12"/>
              </w:rPr>
            </w:pPr>
            <w:r>
              <w:rPr>
                <w:w w:val="115"/>
                <w:sz w:val="12"/>
              </w:rPr>
              <w:t>deep infections, no further de</w:t>
            </w:r>
            <w:r>
              <w:rPr>
                <w:rFonts w:ascii="Times New Roman" w:hAnsi="Times New Roman"/>
                <w:w w:val="115"/>
                <w:sz w:val="12"/>
              </w:rPr>
              <w:t>ﬁ</w:t>
            </w:r>
            <w:r>
              <w:rPr>
                <w:w w:val="115"/>
                <w:sz w:val="12"/>
              </w:rPr>
              <w:t>nitions</w:t>
            </w:r>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3" w:lineRule="exact" w:before="17"/>
              <w:ind w:left="42"/>
              <w:rPr>
                <w:sz w:val="12"/>
              </w:rPr>
            </w:pPr>
            <w:r>
              <w:rPr>
                <w:w w:val="115"/>
                <w:sz w:val="12"/>
              </w:rPr>
              <w:t>reported.</w:t>
            </w:r>
          </w:p>
        </w:tc>
      </w:tr>
      <w:tr>
        <w:trPr>
          <w:trHeight w:val="172" w:hRule="atLeast"/>
        </w:trPr>
        <w:tc>
          <w:tcPr>
            <w:tcW w:w="1464" w:type="dxa"/>
          </w:tcPr>
          <w:p>
            <w:pPr>
              <w:pStyle w:val="TableParagraph"/>
              <w:spacing w:line="134" w:lineRule="exact" w:before="18"/>
              <w:ind w:left="33"/>
              <w:rPr>
                <w:sz w:val="12"/>
              </w:rPr>
            </w:pPr>
            <w:r>
              <w:rPr>
                <w:w w:val="115"/>
                <w:sz w:val="12"/>
              </w:rPr>
              <w:t>Maheshwari et al. [</w:t>
            </w:r>
            <w:hyperlink w:history="true" w:anchor="_bookmark54">
              <w:r>
                <w:rPr>
                  <w:color w:val="007FAC"/>
                  <w:w w:val="115"/>
                  <w:sz w:val="12"/>
                </w:rPr>
                <w:t>44</w:t>
              </w:r>
            </w:hyperlink>
            <w:r>
              <w:rPr>
                <w:w w:val="115"/>
                <w:sz w:val="12"/>
              </w:rPr>
              <w:t>]</w:t>
            </w:r>
          </w:p>
        </w:tc>
        <w:tc>
          <w:tcPr>
            <w:tcW w:w="958" w:type="dxa"/>
          </w:tcPr>
          <w:p>
            <w:pPr>
              <w:pStyle w:val="TableParagraph"/>
              <w:spacing w:line="134" w:lineRule="exact" w:before="18"/>
              <w:ind w:left="60"/>
              <w:rPr>
                <w:sz w:val="12"/>
              </w:rPr>
            </w:pPr>
            <w:r>
              <w:rPr>
                <w:w w:val="125"/>
                <w:sz w:val="12"/>
              </w:rPr>
              <w:t>2015</w:t>
            </w:r>
          </w:p>
        </w:tc>
        <w:tc>
          <w:tcPr>
            <w:tcW w:w="1711" w:type="dxa"/>
          </w:tcPr>
          <w:p>
            <w:pPr>
              <w:pStyle w:val="TableParagraph"/>
              <w:spacing w:line="134" w:lineRule="exact" w:before="18"/>
              <w:ind w:left="593"/>
              <w:rPr>
                <w:sz w:val="12"/>
              </w:rPr>
            </w:pPr>
            <w:r>
              <w:rPr>
                <w:sz w:val="12"/>
              </w:rPr>
              <w:t>USA</w:t>
            </w:r>
          </w:p>
        </w:tc>
        <w:tc>
          <w:tcPr>
            <w:tcW w:w="1739" w:type="dxa"/>
          </w:tcPr>
          <w:p>
            <w:pPr>
              <w:pStyle w:val="TableParagraph"/>
              <w:spacing w:line="134" w:lineRule="exact" w:before="18"/>
              <w:ind w:left="374"/>
              <w:rPr>
                <w:sz w:val="12"/>
              </w:rPr>
            </w:pPr>
            <w:r>
              <w:rPr>
                <w:w w:val="110"/>
                <w:sz w:val="12"/>
              </w:rPr>
              <w:t>Observational</w:t>
            </w:r>
          </w:p>
        </w:tc>
        <w:tc>
          <w:tcPr>
            <w:tcW w:w="1526" w:type="dxa"/>
          </w:tcPr>
          <w:p>
            <w:pPr>
              <w:pStyle w:val="TableParagraph"/>
              <w:spacing w:line="134" w:lineRule="exact" w:before="18"/>
              <w:ind w:left="126"/>
              <w:rPr>
                <w:sz w:val="12"/>
              </w:rPr>
            </w:pPr>
            <w:r>
              <w:rPr>
                <w:w w:val="110"/>
                <w:sz w:val="12"/>
              </w:rPr>
              <w:t>Knee</w:t>
            </w:r>
          </w:p>
        </w:tc>
        <w:tc>
          <w:tcPr>
            <w:tcW w:w="1035" w:type="dxa"/>
          </w:tcPr>
          <w:p>
            <w:pPr>
              <w:pStyle w:val="TableParagraph"/>
              <w:spacing w:line="134" w:lineRule="exact" w:before="18"/>
              <w:ind w:right="548"/>
              <w:jc w:val="right"/>
              <w:rPr>
                <w:sz w:val="12"/>
              </w:rPr>
            </w:pPr>
            <w:r>
              <w:rPr>
                <w:w w:val="125"/>
                <w:sz w:val="12"/>
              </w:rPr>
              <w:t>190</w:t>
            </w:r>
          </w:p>
        </w:tc>
        <w:tc>
          <w:tcPr>
            <w:tcW w:w="1997" w:type="dxa"/>
          </w:tcPr>
          <w:p>
            <w:pPr>
              <w:pStyle w:val="TableParagraph"/>
              <w:spacing w:line="134" w:lineRule="exact" w:before="18"/>
              <w:ind w:left="547"/>
              <w:rPr>
                <w:sz w:val="12"/>
              </w:rPr>
            </w:pPr>
            <w:r>
              <w:rPr>
                <w:w w:val="110"/>
                <w:sz w:val="12"/>
              </w:rPr>
              <w:t>Barbed sutures and</w:t>
            </w:r>
          </w:p>
        </w:tc>
        <w:tc>
          <w:tcPr>
            <w:tcW w:w="2907" w:type="dxa"/>
          </w:tcPr>
          <w:p>
            <w:pPr>
              <w:pStyle w:val="TableParagraph"/>
              <w:spacing w:line="134" w:lineRule="exact" w:before="18"/>
              <w:ind w:left="42"/>
              <w:rPr>
                <w:sz w:val="12"/>
              </w:rPr>
            </w:pPr>
            <w:r>
              <w:rPr>
                <w:w w:val="115"/>
                <w:sz w:val="12"/>
              </w:rPr>
              <w:t>De</w:t>
            </w:r>
            <w:r>
              <w:rPr>
                <w:rFonts w:ascii="Times New Roman" w:hAnsi="Times New Roman"/>
                <w:w w:val="115"/>
                <w:sz w:val="12"/>
              </w:rPr>
              <w:t>ﬁ</w:t>
            </w:r>
            <w:r>
              <w:rPr>
                <w:w w:val="115"/>
                <w:sz w:val="12"/>
              </w:rPr>
              <w:t>nition not reported.</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0"/>
                <w:sz w:val="12"/>
              </w:rPr>
              <w:t>staples vs traditional</w:t>
            </w:r>
          </w:p>
        </w:tc>
        <w:tc>
          <w:tcPr>
            <w:tcW w:w="2907" w:type="dxa"/>
          </w:tcPr>
          <w:p>
            <w:pPr>
              <w:pStyle w:val="TableParagraph"/>
              <w:rPr>
                <w:rFonts w:ascii="Times New Roman"/>
                <w:sz w:val="10"/>
              </w:rPr>
            </w:pPr>
          </w:p>
        </w:tc>
      </w:tr>
      <w:tr>
        <w:trPr>
          <w:trHeight w:val="170"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5"/>
                <w:sz w:val="12"/>
              </w:rPr>
              <w:t>sutures</w:t>
            </w:r>
          </w:p>
        </w:tc>
        <w:tc>
          <w:tcPr>
            <w:tcW w:w="2907" w:type="dxa"/>
          </w:tcPr>
          <w:p>
            <w:pPr>
              <w:pStyle w:val="TableParagraph"/>
              <w:rPr>
                <w:rFonts w:ascii="Times New Roman"/>
                <w:sz w:val="10"/>
              </w:rPr>
            </w:pPr>
          </w:p>
        </w:tc>
      </w:tr>
      <w:tr>
        <w:trPr>
          <w:trHeight w:val="171" w:hRule="atLeast"/>
        </w:trPr>
        <w:tc>
          <w:tcPr>
            <w:tcW w:w="1464" w:type="dxa"/>
          </w:tcPr>
          <w:p>
            <w:pPr>
              <w:pStyle w:val="TableParagraph"/>
              <w:spacing w:line="133" w:lineRule="exact" w:before="18"/>
              <w:ind w:left="33"/>
              <w:rPr>
                <w:sz w:val="12"/>
              </w:rPr>
            </w:pPr>
            <w:r>
              <w:rPr>
                <w:w w:val="120"/>
                <w:sz w:val="12"/>
              </w:rPr>
              <w:t>Sah [</w:t>
            </w:r>
            <w:hyperlink w:history="true" w:anchor="_bookmark45">
              <w:r>
                <w:rPr>
                  <w:color w:val="007FAC"/>
                  <w:w w:val="120"/>
                  <w:sz w:val="12"/>
                </w:rPr>
                <w:t>34</w:t>
              </w:r>
            </w:hyperlink>
            <w:r>
              <w:rPr>
                <w:w w:val="120"/>
                <w:sz w:val="12"/>
              </w:rPr>
              <w:t>]</w:t>
            </w:r>
          </w:p>
        </w:tc>
        <w:tc>
          <w:tcPr>
            <w:tcW w:w="958" w:type="dxa"/>
          </w:tcPr>
          <w:p>
            <w:pPr>
              <w:pStyle w:val="TableParagraph"/>
              <w:spacing w:line="133" w:lineRule="exact" w:before="18"/>
              <w:ind w:left="60"/>
              <w:rPr>
                <w:sz w:val="12"/>
              </w:rPr>
            </w:pPr>
            <w:r>
              <w:rPr>
                <w:w w:val="125"/>
                <w:sz w:val="12"/>
              </w:rPr>
              <w:t>2015</w:t>
            </w:r>
          </w:p>
        </w:tc>
        <w:tc>
          <w:tcPr>
            <w:tcW w:w="1711" w:type="dxa"/>
          </w:tcPr>
          <w:p>
            <w:pPr>
              <w:pStyle w:val="TableParagraph"/>
              <w:spacing w:line="133" w:lineRule="exact" w:before="18"/>
              <w:ind w:left="593"/>
              <w:rPr>
                <w:sz w:val="12"/>
              </w:rPr>
            </w:pPr>
            <w:r>
              <w:rPr>
                <w:sz w:val="12"/>
              </w:rPr>
              <w:t>USA</w:t>
            </w:r>
          </w:p>
        </w:tc>
        <w:tc>
          <w:tcPr>
            <w:tcW w:w="1739" w:type="dxa"/>
          </w:tcPr>
          <w:p>
            <w:pPr>
              <w:pStyle w:val="TableParagraph"/>
              <w:spacing w:line="133" w:lineRule="exact" w:before="18"/>
              <w:ind w:left="374"/>
              <w:rPr>
                <w:sz w:val="12"/>
              </w:rPr>
            </w:pPr>
            <w:r>
              <w:rPr>
                <w:w w:val="110"/>
                <w:sz w:val="12"/>
              </w:rPr>
              <w:t>RCT (randomized by</w:t>
            </w:r>
          </w:p>
        </w:tc>
        <w:tc>
          <w:tcPr>
            <w:tcW w:w="1526" w:type="dxa"/>
          </w:tcPr>
          <w:p>
            <w:pPr>
              <w:pStyle w:val="TableParagraph"/>
              <w:spacing w:line="133" w:lineRule="exact" w:before="18"/>
              <w:ind w:left="126"/>
              <w:rPr>
                <w:sz w:val="12"/>
              </w:rPr>
            </w:pPr>
            <w:r>
              <w:rPr>
                <w:w w:val="110"/>
                <w:sz w:val="12"/>
              </w:rPr>
              <w:t>Knee</w:t>
            </w:r>
          </w:p>
        </w:tc>
        <w:tc>
          <w:tcPr>
            <w:tcW w:w="1035" w:type="dxa"/>
          </w:tcPr>
          <w:p>
            <w:pPr>
              <w:pStyle w:val="TableParagraph"/>
              <w:spacing w:line="133" w:lineRule="exact" w:before="18"/>
              <w:ind w:right="548"/>
              <w:jc w:val="right"/>
              <w:rPr>
                <w:sz w:val="12"/>
              </w:rPr>
            </w:pPr>
            <w:r>
              <w:rPr>
                <w:w w:val="125"/>
                <w:sz w:val="12"/>
              </w:rPr>
              <w:t>100</w:t>
            </w:r>
          </w:p>
        </w:tc>
        <w:tc>
          <w:tcPr>
            <w:tcW w:w="1997" w:type="dxa"/>
          </w:tcPr>
          <w:p>
            <w:pPr>
              <w:pStyle w:val="TableParagraph"/>
              <w:spacing w:line="133" w:lineRule="exact" w:before="18"/>
              <w:ind w:left="547"/>
              <w:rPr>
                <w:sz w:val="12"/>
              </w:rPr>
            </w:pPr>
            <w:r>
              <w:rPr>
                <w:w w:val="110"/>
                <w:sz w:val="12"/>
              </w:rPr>
              <w:t>Barbed sutures vs</w:t>
            </w:r>
          </w:p>
        </w:tc>
        <w:tc>
          <w:tcPr>
            <w:tcW w:w="2907" w:type="dxa"/>
          </w:tcPr>
          <w:p>
            <w:pPr>
              <w:pStyle w:val="TableParagraph"/>
              <w:spacing w:line="133" w:lineRule="exact" w:before="18"/>
              <w:ind w:left="42"/>
              <w:rPr>
                <w:sz w:val="12"/>
              </w:rPr>
            </w:pPr>
            <w:r>
              <w:rPr>
                <w:w w:val="115"/>
                <w:sz w:val="12"/>
              </w:rPr>
              <w:t>Wounds monitored for super</w:t>
            </w:r>
            <w:r>
              <w:rPr>
                <w:rFonts w:ascii="Times New Roman" w:hAnsi="Times New Roman"/>
                <w:w w:val="115"/>
                <w:sz w:val="12"/>
              </w:rPr>
              <w:t>ﬁ</w:t>
            </w:r>
            <w:r>
              <w:rPr>
                <w:w w:val="115"/>
                <w:sz w:val="12"/>
              </w:rPr>
              <w:t>cial and deep</w:t>
            </w:r>
          </w:p>
        </w:tc>
      </w:tr>
      <w:tr>
        <w:trPr>
          <w:trHeight w:val="343" w:hRule="atLeast"/>
        </w:trPr>
        <w:tc>
          <w:tcPr>
            <w:tcW w:w="1464" w:type="dxa"/>
          </w:tcPr>
          <w:p>
            <w:pPr>
              <w:pStyle w:val="TableParagraph"/>
              <w:rPr>
                <w:rFonts w:ascii="Times New Roman"/>
                <w:sz w:val="12"/>
              </w:rPr>
            </w:pPr>
          </w:p>
        </w:tc>
        <w:tc>
          <w:tcPr>
            <w:tcW w:w="958" w:type="dxa"/>
          </w:tcPr>
          <w:p>
            <w:pPr>
              <w:pStyle w:val="TableParagraph"/>
              <w:rPr>
                <w:rFonts w:ascii="Times New Roman"/>
                <w:sz w:val="12"/>
              </w:rPr>
            </w:pPr>
          </w:p>
        </w:tc>
        <w:tc>
          <w:tcPr>
            <w:tcW w:w="1711" w:type="dxa"/>
          </w:tcPr>
          <w:p>
            <w:pPr>
              <w:pStyle w:val="TableParagraph"/>
              <w:rPr>
                <w:rFonts w:ascii="Times New Roman"/>
                <w:sz w:val="12"/>
              </w:rPr>
            </w:pPr>
          </w:p>
        </w:tc>
        <w:tc>
          <w:tcPr>
            <w:tcW w:w="1739" w:type="dxa"/>
          </w:tcPr>
          <w:p>
            <w:pPr>
              <w:pStyle w:val="TableParagraph"/>
              <w:spacing w:before="18"/>
              <w:ind w:left="374"/>
              <w:rPr>
                <w:sz w:val="12"/>
              </w:rPr>
            </w:pPr>
            <w:r>
              <w:rPr>
                <w:w w:val="115"/>
                <w:sz w:val="12"/>
              </w:rPr>
              <w:t>knee in bilateral</w:t>
            </w:r>
          </w:p>
          <w:p>
            <w:pPr>
              <w:pStyle w:val="TableParagraph"/>
              <w:spacing w:line="134" w:lineRule="exact" w:before="22"/>
              <w:ind w:left="374"/>
              <w:rPr>
                <w:sz w:val="12"/>
              </w:rPr>
            </w:pPr>
            <w:r>
              <w:rPr>
                <w:w w:val="115"/>
                <w:sz w:val="12"/>
              </w:rPr>
              <w:t>surgeries)</w:t>
            </w:r>
          </w:p>
        </w:tc>
        <w:tc>
          <w:tcPr>
            <w:tcW w:w="1526" w:type="dxa"/>
          </w:tcPr>
          <w:p>
            <w:pPr>
              <w:pStyle w:val="TableParagraph"/>
              <w:rPr>
                <w:rFonts w:ascii="Times New Roman"/>
                <w:sz w:val="12"/>
              </w:rPr>
            </w:pPr>
          </w:p>
        </w:tc>
        <w:tc>
          <w:tcPr>
            <w:tcW w:w="1035" w:type="dxa"/>
          </w:tcPr>
          <w:p>
            <w:pPr>
              <w:pStyle w:val="TableParagraph"/>
              <w:rPr>
                <w:rFonts w:ascii="Times New Roman"/>
                <w:sz w:val="12"/>
              </w:rPr>
            </w:pPr>
          </w:p>
        </w:tc>
        <w:tc>
          <w:tcPr>
            <w:tcW w:w="1997" w:type="dxa"/>
          </w:tcPr>
          <w:p>
            <w:pPr>
              <w:pStyle w:val="TableParagraph"/>
              <w:spacing w:before="18"/>
              <w:ind w:left="547"/>
              <w:rPr>
                <w:sz w:val="12"/>
              </w:rPr>
            </w:pPr>
            <w:r>
              <w:rPr>
                <w:w w:val="115"/>
                <w:sz w:val="12"/>
              </w:rPr>
              <w:t>traditional sutures</w:t>
            </w:r>
          </w:p>
        </w:tc>
        <w:tc>
          <w:tcPr>
            <w:tcW w:w="2907" w:type="dxa"/>
          </w:tcPr>
          <w:p>
            <w:pPr>
              <w:pStyle w:val="TableParagraph"/>
              <w:spacing w:before="18"/>
              <w:ind w:left="42"/>
              <w:rPr>
                <w:sz w:val="12"/>
              </w:rPr>
            </w:pPr>
            <w:r>
              <w:rPr>
                <w:w w:val="115"/>
                <w:sz w:val="12"/>
              </w:rPr>
              <w:t>infections, not further de</w:t>
            </w:r>
            <w:r>
              <w:rPr>
                <w:rFonts w:ascii="Times New Roman" w:hAnsi="Times New Roman"/>
                <w:w w:val="115"/>
                <w:sz w:val="12"/>
              </w:rPr>
              <w:t>ﬁ</w:t>
            </w:r>
            <w:r>
              <w:rPr>
                <w:w w:val="115"/>
                <w:sz w:val="12"/>
              </w:rPr>
              <w:t>ned no antibiotics or</w:t>
            </w:r>
          </w:p>
          <w:p>
            <w:pPr>
              <w:pStyle w:val="TableParagraph"/>
              <w:spacing w:line="134" w:lineRule="exact" w:before="22"/>
              <w:ind w:left="42"/>
              <w:rPr>
                <w:sz w:val="12"/>
              </w:rPr>
            </w:pPr>
            <w:r>
              <w:rPr>
                <w:w w:val="115"/>
                <w:sz w:val="12"/>
              </w:rPr>
              <w:t>surgical interventions after.</w:t>
            </w:r>
            <w:hyperlink w:history="true" w:anchor="_bookmark8">
              <w:r>
                <w:rPr>
                  <w:color w:val="007FAC"/>
                  <w:w w:val="115"/>
                  <w:sz w:val="12"/>
                  <w:vertAlign w:val="superscript"/>
                </w:rPr>
                <w:t>b</w:t>
              </w:r>
            </w:hyperlink>
          </w:p>
        </w:tc>
      </w:tr>
      <w:tr>
        <w:trPr>
          <w:trHeight w:val="342" w:hRule="atLeast"/>
        </w:trPr>
        <w:tc>
          <w:tcPr>
            <w:tcW w:w="1464" w:type="dxa"/>
          </w:tcPr>
          <w:p>
            <w:pPr>
              <w:pStyle w:val="TableParagraph"/>
              <w:spacing w:before="17"/>
              <w:ind w:left="33"/>
              <w:rPr>
                <w:sz w:val="12"/>
              </w:rPr>
            </w:pPr>
            <w:r>
              <w:rPr>
                <w:w w:val="115"/>
                <w:sz w:val="12"/>
              </w:rPr>
              <w:t>Chow [</w:t>
            </w:r>
            <w:hyperlink w:history="true" w:anchor="_bookmark28">
              <w:r>
                <w:rPr>
                  <w:color w:val="007FAC"/>
                  <w:w w:val="115"/>
                  <w:sz w:val="12"/>
                </w:rPr>
                <w:t>17</w:t>
              </w:r>
            </w:hyperlink>
            <w:r>
              <w:rPr>
                <w:w w:val="115"/>
                <w:sz w:val="12"/>
              </w:rPr>
              <w:t>]</w:t>
            </w:r>
          </w:p>
        </w:tc>
        <w:tc>
          <w:tcPr>
            <w:tcW w:w="958" w:type="dxa"/>
          </w:tcPr>
          <w:p>
            <w:pPr>
              <w:pStyle w:val="TableParagraph"/>
              <w:spacing w:before="17"/>
              <w:ind w:left="60"/>
              <w:rPr>
                <w:sz w:val="12"/>
              </w:rPr>
            </w:pPr>
            <w:r>
              <w:rPr>
                <w:w w:val="125"/>
                <w:sz w:val="12"/>
              </w:rPr>
              <w:t>2016</w:t>
            </w:r>
          </w:p>
        </w:tc>
        <w:tc>
          <w:tcPr>
            <w:tcW w:w="1711" w:type="dxa"/>
          </w:tcPr>
          <w:p>
            <w:pPr>
              <w:pStyle w:val="TableParagraph"/>
              <w:spacing w:before="17"/>
              <w:ind w:left="593"/>
              <w:rPr>
                <w:sz w:val="12"/>
              </w:rPr>
            </w:pPr>
            <w:r>
              <w:rPr>
                <w:sz w:val="12"/>
              </w:rPr>
              <w:t>USA</w:t>
            </w:r>
          </w:p>
        </w:tc>
        <w:tc>
          <w:tcPr>
            <w:tcW w:w="1739" w:type="dxa"/>
          </w:tcPr>
          <w:p>
            <w:pPr>
              <w:pStyle w:val="TableParagraph"/>
              <w:spacing w:before="17"/>
              <w:ind w:left="374"/>
              <w:rPr>
                <w:sz w:val="12"/>
              </w:rPr>
            </w:pPr>
            <w:r>
              <w:rPr>
                <w:w w:val="110"/>
                <w:sz w:val="12"/>
              </w:rPr>
              <w:t>Observational</w:t>
            </w:r>
          </w:p>
        </w:tc>
        <w:tc>
          <w:tcPr>
            <w:tcW w:w="1526" w:type="dxa"/>
          </w:tcPr>
          <w:p>
            <w:pPr>
              <w:pStyle w:val="TableParagraph"/>
              <w:spacing w:before="17"/>
              <w:ind w:left="126"/>
              <w:rPr>
                <w:sz w:val="12"/>
              </w:rPr>
            </w:pPr>
            <w:r>
              <w:rPr>
                <w:w w:val="110"/>
                <w:sz w:val="12"/>
              </w:rPr>
              <w:t>Knee</w:t>
            </w:r>
          </w:p>
        </w:tc>
        <w:tc>
          <w:tcPr>
            <w:tcW w:w="1035" w:type="dxa"/>
          </w:tcPr>
          <w:p>
            <w:pPr>
              <w:pStyle w:val="TableParagraph"/>
              <w:spacing w:before="17"/>
              <w:ind w:right="548"/>
              <w:jc w:val="right"/>
              <w:rPr>
                <w:sz w:val="12"/>
              </w:rPr>
            </w:pPr>
            <w:r>
              <w:rPr>
                <w:w w:val="125"/>
                <w:sz w:val="12"/>
              </w:rPr>
              <w:t>92</w:t>
            </w:r>
          </w:p>
        </w:tc>
        <w:tc>
          <w:tcPr>
            <w:tcW w:w="1997" w:type="dxa"/>
          </w:tcPr>
          <w:p>
            <w:pPr>
              <w:pStyle w:val="TableParagraph"/>
              <w:spacing w:before="17"/>
              <w:ind w:left="547"/>
              <w:rPr>
                <w:sz w:val="12"/>
              </w:rPr>
            </w:pPr>
            <w:r>
              <w:rPr>
                <w:w w:val="115"/>
                <w:sz w:val="12"/>
              </w:rPr>
              <w:t>Single-arm barbed</w:t>
            </w:r>
          </w:p>
          <w:p>
            <w:pPr>
              <w:pStyle w:val="TableParagraph"/>
              <w:spacing w:line="134" w:lineRule="exact" w:before="22"/>
              <w:ind w:left="547"/>
              <w:rPr>
                <w:sz w:val="12"/>
              </w:rPr>
            </w:pPr>
            <w:r>
              <w:rPr>
                <w:w w:val="115"/>
                <w:sz w:val="12"/>
              </w:rPr>
              <w:t>sutures and</w:t>
            </w:r>
          </w:p>
        </w:tc>
        <w:tc>
          <w:tcPr>
            <w:tcW w:w="2907" w:type="dxa"/>
          </w:tcPr>
          <w:p>
            <w:pPr>
              <w:pStyle w:val="TableParagraph"/>
              <w:spacing w:before="17"/>
              <w:ind w:left="42"/>
              <w:rPr>
                <w:sz w:val="12"/>
              </w:rPr>
            </w:pPr>
            <w:r>
              <w:rPr>
                <w:w w:val="115"/>
                <w:sz w:val="12"/>
              </w:rPr>
              <w:t>Periprosthetic joint infection (did not specify</w:t>
            </w:r>
          </w:p>
          <w:p>
            <w:pPr>
              <w:pStyle w:val="TableParagraph"/>
              <w:spacing w:line="134" w:lineRule="exact" w:before="22"/>
              <w:ind w:left="42"/>
              <w:rPr>
                <w:sz w:val="12"/>
              </w:rPr>
            </w:pPr>
            <w:r>
              <w:rPr>
                <w:w w:val="115"/>
                <w:sz w:val="12"/>
              </w:rPr>
              <w:t>super</w:t>
            </w:r>
            <w:r>
              <w:rPr>
                <w:rFonts w:ascii="Times New Roman" w:hAnsi="Times New Roman"/>
                <w:w w:val="115"/>
                <w:sz w:val="12"/>
              </w:rPr>
              <w:t>ﬁ</w:t>
            </w:r>
            <w:r>
              <w:rPr>
                <w:w w:val="115"/>
                <w:sz w:val="12"/>
              </w:rPr>
              <w:t>cial or deep).</w:t>
            </w:r>
            <w:hyperlink w:history="true" w:anchor="_bookmark7">
              <w:r>
                <w:rPr>
                  <w:color w:val="007FAC"/>
                  <w:w w:val="115"/>
                  <w:sz w:val="12"/>
                  <w:vertAlign w:val="superscript"/>
                </w:rPr>
                <w:t>c</w:t>
              </w:r>
            </w:hyperlink>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3" w:lineRule="exact" w:before="17"/>
              <w:ind w:left="547"/>
              <w:rPr>
                <w:sz w:val="12"/>
              </w:rPr>
            </w:pPr>
            <w:r>
              <w:rPr>
                <w:w w:val="115"/>
                <w:sz w:val="12"/>
              </w:rPr>
              <w:t>microcurrent dressings</w:t>
            </w:r>
          </w:p>
        </w:tc>
        <w:tc>
          <w:tcPr>
            <w:tcW w:w="2907" w:type="dxa"/>
          </w:tcPr>
          <w:p>
            <w:pPr>
              <w:pStyle w:val="TableParagraph"/>
              <w:rPr>
                <w:rFonts w:ascii="Times New Roman"/>
                <w:sz w:val="10"/>
              </w:rPr>
            </w:pPr>
          </w:p>
        </w:tc>
      </w:tr>
      <w:tr>
        <w:trPr>
          <w:trHeight w:val="172" w:hRule="atLeast"/>
        </w:trPr>
        <w:tc>
          <w:tcPr>
            <w:tcW w:w="1464" w:type="dxa"/>
          </w:tcPr>
          <w:p>
            <w:pPr>
              <w:pStyle w:val="TableParagraph"/>
              <w:spacing w:line="134" w:lineRule="exact" w:before="18"/>
              <w:ind w:left="33"/>
              <w:rPr>
                <w:sz w:val="12"/>
              </w:rPr>
            </w:pPr>
            <w:r>
              <w:rPr>
                <w:w w:val="115"/>
                <w:sz w:val="12"/>
              </w:rPr>
              <w:t>Wyles et al. [</w:t>
            </w:r>
            <w:hyperlink w:history="true" w:anchor="_bookmark34">
              <w:r>
                <w:rPr>
                  <w:color w:val="007FAC"/>
                  <w:w w:val="115"/>
                  <w:sz w:val="12"/>
                </w:rPr>
                <w:t>23</w:t>
              </w:r>
            </w:hyperlink>
            <w:r>
              <w:rPr>
                <w:w w:val="115"/>
                <w:sz w:val="12"/>
              </w:rPr>
              <w:t>]</w:t>
            </w:r>
          </w:p>
        </w:tc>
        <w:tc>
          <w:tcPr>
            <w:tcW w:w="958" w:type="dxa"/>
          </w:tcPr>
          <w:p>
            <w:pPr>
              <w:pStyle w:val="TableParagraph"/>
              <w:spacing w:line="134" w:lineRule="exact" w:before="18"/>
              <w:ind w:left="60"/>
              <w:rPr>
                <w:sz w:val="12"/>
              </w:rPr>
            </w:pPr>
            <w:r>
              <w:rPr>
                <w:w w:val="125"/>
                <w:sz w:val="12"/>
              </w:rPr>
              <w:t>2016</w:t>
            </w:r>
          </w:p>
        </w:tc>
        <w:tc>
          <w:tcPr>
            <w:tcW w:w="1711" w:type="dxa"/>
          </w:tcPr>
          <w:p>
            <w:pPr>
              <w:pStyle w:val="TableParagraph"/>
              <w:spacing w:line="134" w:lineRule="exact" w:before="18"/>
              <w:ind w:left="593"/>
              <w:rPr>
                <w:sz w:val="12"/>
              </w:rPr>
            </w:pPr>
            <w:r>
              <w:rPr>
                <w:sz w:val="12"/>
              </w:rPr>
              <w:t>USA</w:t>
            </w:r>
          </w:p>
        </w:tc>
        <w:tc>
          <w:tcPr>
            <w:tcW w:w="1739" w:type="dxa"/>
          </w:tcPr>
          <w:p>
            <w:pPr>
              <w:pStyle w:val="TableParagraph"/>
              <w:spacing w:line="134" w:lineRule="exact" w:before="18"/>
              <w:ind w:left="374"/>
              <w:rPr>
                <w:sz w:val="12"/>
              </w:rPr>
            </w:pPr>
            <w:r>
              <w:rPr>
                <w:sz w:val="12"/>
              </w:rPr>
              <w:t>RCT</w:t>
            </w:r>
          </w:p>
        </w:tc>
        <w:tc>
          <w:tcPr>
            <w:tcW w:w="1526" w:type="dxa"/>
          </w:tcPr>
          <w:p>
            <w:pPr>
              <w:pStyle w:val="TableParagraph"/>
              <w:spacing w:line="134" w:lineRule="exact" w:before="18"/>
              <w:ind w:left="126"/>
              <w:rPr>
                <w:sz w:val="12"/>
              </w:rPr>
            </w:pPr>
            <w:r>
              <w:rPr>
                <w:w w:val="110"/>
                <w:sz w:val="12"/>
              </w:rPr>
              <w:t>Knee</w:t>
            </w:r>
          </w:p>
        </w:tc>
        <w:tc>
          <w:tcPr>
            <w:tcW w:w="1035" w:type="dxa"/>
          </w:tcPr>
          <w:p>
            <w:pPr>
              <w:pStyle w:val="TableParagraph"/>
              <w:spacing w:line="134" w:lineRule="exact" w:before="18"/>
              <w:ind w:right="548"/>
              <w:jc w:val="right"/>
              <w:rPr>
                <w:sz w:val="12"/>
              </w:rPr>
            </w:pPr>
            <w:r>
              <w:rPr>
                <w:w w:val="125"/>
                <w:sz w:val="12"/>
              </w:rPr>
              <w:t>45</w:t>
            </w:r>
          </w:p>
        </w:tc>
        <w:tc>
          <w:tcPr>
            <w:tcW w:w="1997" w:type="dxa"/>
          </w:tcPr>
          <w:p>
            <w:pPr>
              <w:pStyle w:val="TableParagraph"/>
              <w:spacing w:line="134" w:lineRule="exact" w:before="18"/>
              <w:ind w:left="547"/>
              <w:rPr>
                <w:sz w:val="12"/>
              </w:rPr>
            </w:pPr>
            <w:r>
              <w:rPr>
                <w:w w:val="110"/>
                <w:sz w:val="12"/>
              </w:rPr>
              <w:t>Absorbable sutures vs</w:t>
            </w:r>
          </w:p>
        </w:tc>
        <w:tc>
          <w:tcPr>
            <w:tcW w:w="2907" w:type="dxa"/>
          </w:tcPr>
          <w:p>
            <w:pPr>
              <w:pStyle w:val="TableParagraph"/>
              <w:spacing w:line="134" w:lineRule="exact" w:before="18"/>
              <w:ind w:left="42"/>
              <w:rPr>
                <w:sz w:val="12"/>
              </w:rPr>
            </w:pPr>
            <w:r>
              <w:rPr>
                <w:w w:val="115"/>
                <w:sz w:val="12"/>
              </w:rPr>
              <w:t>De</w:t>
            </w:r>
            <w:r>
              <w:rPr>
                <w:rFonts w:ascii="Times New Roman" w:hAnsi="Times New Roman"/>
                <w:w w:val="115"/>
                <w:sz w:val="12"/>
              </w:rPr>
              <w:t>ﬁ</w:t>
            </w:r>
            <w:r>
              <w:rPr>
                <w:w w:val="115"/>
                <w:sz w:val="12"/>
              </w:rPr>
              <w:t>nition not reported.</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5" w:lineRule="exact" w:before="17"/>
              <w:ind w:left="547"/>
              <w:rPr>
                <w:sz w:val="12"/>
              </w:rPr>
            </w:pPr>
            <w:r>
              <w:rPr>
                <w:w w:val="115"/>
                <w:sz w:val="12"/>
              </w:rPr>
              <w:t>nonabsorbable sutures</w:t>
            </w:r>
          </w:p>
        </w:tc>
        <w:tc>
          <w:tcPr>
            <w:tcW w:w="2907" w:type="dxa"/>
          </w:tcPr>
          <w:p>
            <w:pPr>
              <w:pStyle w:val="TableParagraph"/>
              <w:rPr>
                <w:rFonts w:ascii="Times New Roman"/>
                <w:sz w:val="10"/>
              </w:rPr>
            </w:pPr>
          </w:p>
        </w:tc>
      </w:tr>
      <w:tr>
        <w:trPr>
          <w:trHeight w:val="170"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3" w:lineRule="exact" w:before="17"/>
              <w:ind w:left="547"/>
              <w:rPr>
                <w:sz w:val="12"/>
              </w:rPr>
            </w:pPr>
            <w:r>
              <w:rPr>
                <w:w w:val="110"/>
                <w:sz w:val="12"/>
              </w:rPr>
              <w:t>vs staples</w:t>
            </w:r>
          </w:p>
        </w:tc>
        <w:tc>
          <w:tcPr>
            <w:tcW w:w="2907" w:type="dxa"/>
          </w:tcPr>
          <w:p>
            <w:pPr>
              <w:pStyle w:val="TableParagraph"/>
              <w:rPr>
                <w:rFonts w:ascii="Times New Roman"/>
                <w:sz w:val="10"/>
              </w:rPr>
            </w:pPr>
          </w:p>
        </w:tc>
      </w:tr>
      <w:tr>
        <w:trPr>
          <w:trHeight w:val="171" w:hRule="atLeast"/>
        </w:trPr>
        <w:tc>
          <w:tcPr>
            <w:tcW w:w="1464" w:type="dxa"/>
          </w:tcPr>
          <w:p>
            <w:pPr>
              <w:pStyle w:val="TableParagraph"/>
              <w:spacing w:line="133" w:lineRule="exact" w:before="18"/>
              <w:ind w:left="33"/>
              <w:rPr>
                <w:sz w:val="12"/>
              </w:rPr>
            </w:pPr>
            <w:r>
              <w:rPr>
                <w:w w:val="115"/>
                <w:sz w:val="12"/>
              </w:rPr>
              <w:t>Austin et al. [</w:t>
            </w:r>
            <w:hyperlink w:history="true" w:anchor="_bookmark52">
              <w:r>
                <w:rPr>
                  <w:color w:val="007FAC"/>
                  <w:w w:val="115"/>
                  <w:sz w:val="12"/>
                </w:rPr>
                <w:t>41</w:t>
              </w:r>
            </w:hyperlink>
            <w:r>
              <w:rPr>
                <w:w w:val="115"/>
                <w:sz w:val="12"/>
              </w:rPr>
              <w:t>]</w:t>
            </w:r>
          </w:p>
        </w:tc>
        <w:tc>
          <w:tcPr>
            <w:tcW w:w="958" w:type="dxa"/>
          </w:tcPr>
          <w:p>
            <w:pPr>
              <w:pStyle w:val="TableParagraph"/>
              <w:spacing w:line="133" w:lineRule="exact" w:before="18"/>
              <w:ind w:left="60"/>
              <w:rPr>
                <w:sz w:val="12"/>
              </w:rPr>
            </w:pPr>
            <w:r>
              <w:rPr>
                <w:w w:val="125"/>
                <w:sz w:val="12"/>
              </w:rPr>
              <w:t>2017</w:t>
            </w:r>
          </w:p>
        </w:tc>
        <w:tc>
          <w:tcPr>
            <w:tcW w:w="1711" w:type="dxa"/>
          </w:tcPr>
          <w:p>
            <w:pPr>
              <w:pStyle w:val="TableParagraph"/>
              <w:spacing w:line="133" w:lineRule="exact" w:before="18"/>
              <w:ind w:left="593"/>
              <w:rPr>
                <w:sz w:val="12"/>
              </w:rPr>
            </w:pPr>
            <w:r>
              <w:rPr>
                <w:sz w:val="12"/>
              </w:rPr>
              <w:t>USA</w:t>
            </w:r>
          </w:p>
        </w:tc>
        <w:tc>
          <w:tcPr>
            <w:tcW w:w="1739" w:type="dxa"/>
          </w:tcPr>
          <w:p>
            <w:pPr>
              <w:pStyle w:val="TableParagraph"/>
              <w:spacing w:line="133" w:lineRule="exact" w:before="18"/>
              <w:ind w:left="374"/>
              <w:rPr>
                <w:sz w:val="12"/>
              </w:rPr>
            </w:pPr>
            <w:r>
              <w:rPr>
                <w:w w:val="110"/>
                <w:sz w:val="12"/>
              </w:rPr>
              <w:t>Observational</w:t>
            </w:r>
          </w:p>
        </w:tc>
        <w:tc>
          <w:tcPr>
            <w:tcW w:w="1526" w:type="dxa"/>
          </w:tcPr>
          <w:p>
            <w:pPr>
              <w:pStyle w:val="TableParagraph"/>
              <w:spacing w:line="133" w:lineRule="exact" w:before="18"/>
              <w:ind w:left="126"/>
              <w:rPr>
                <w:sz w:val="12"/>
              </w:rPr>
            </w:pPr>
            <w:r>
              <w:rPr>
                <w:w w:val="110"/>
                <w:sz w:val="12"/>
              </w:rPr>
              <w:t>Knee</w:t>
            </w:r>
          </w:p>
        </w:tc>
        <w:tc>
          <w:tcPr>
            <w:tcW w:w="1035" w:type="dxa"/>
          </w:tcPr>
          <w:p>
            <w:pPr>
              <w:pStyle w:val="TableParagraph"/>
              <w:spacing w:line="133" w:lineRule="exact" w:before="18"/>
              <w:ind w:right="548"/>
              <w:jc w:val="right"/>
              <w:rPr>
                <w:sz w:val="12"/>
              </w:rPr>
            </w:pPr>
            <w:r>
              <w:rPr>
                <w:w w:val="125"/>
                <w:sz w:val="12"/>
              </w:rPr>
              <w:t>2482</w:t>
            </w:r>
          </w:p>
        </w:tc>
        <w:tc>
          <w:tcPr>
            <w:tcW w:w="1997" w:type="dxa"/>
          </w:tcPr>
          <w:p>
            <w:pPr>
              <w:pStyle w:val="TableParagraph"/>
              <w:spacing w:line="133" w:lineRule="exact" w:before="18"/>
              <w:ind w:left="547"/>
              <w:rPr>
                <w:sz w:val="12"/>
              </w:rPr>
            </w:pPr>
            <w:r>
              <w:rPr>
                <w:w w:val="110"/>
                <w:sz w:val="12"/>
              </w:rPr>
              <w:t>Barbed sutures vs</w:t>
            </w:r>
          </w:p>
        </w:tc>
        <w:tc>
          <w:tcPr>
            <w:tcW w:w="2907" w:type="dxa"/>
          </w:tcPr>
          <w:p>
            <w:pPr>
              <w:pStyle w:val="TableParagraph"/>
              <w:spacing w:line="133" w:lineRule="exact" w:before="18"/>
              <w:ind w:left="42"/>
              <w:rPr>
                <w:sz w:val="12"/>
              </w:rPr>
            </w:pPr>
            <w:r>
              <w:rPr>
                <w:w w:val="115"/>
                <w:sz w:val="12"/>
              </w:rPr>
              <w:t>Super</w:t>
            </w:r>
            <w:r>
              <w:rPr>
                <w:rFonts w:ascii="Times New Roman" w:hAnsi="Times New Roman"/>
                <w:w w:val="115"/>
                <w:sz w:val="12"/>
              </w:rPr>
              <w:t>ﬁ</w:t>
            </w:r>
            <w:r>
              <w:rPr>
                <w:w w:val="115"/>
                <w:sz w:val="12"/>
              </w:rPr>
              <w:t>cial infections not studied. Deep</w:t>
            </w:r>
          </w:p>
        </w:tc>
      </w:tr>
      <w:tr>
        <w:trPr>
          <w:trHeight w:val="172"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8"/>
              <w:ind w:left="547"/>
              <w:rPr>
                <w:sz w:val="12"/>
              </w:rPr>
            </w:pPr>
            <w:r>
              <w:rPr>
                <w:w w:val="115"/>
                <w:sz w:val="12"/>
              </w:rPr>
              <w:t>traditional sutures.</w:t>
            </w:r>
          </w:p>
        </w:tc>
        <w:tc>
          <w:tcPr>
            <w:tcW w:w="2907" w:type="dxa"/>
          </w:tcPr>
          <w:p>
            <w:pPr>
              <w:pStyle w:val="TableParagraph"/>
              <w:spacing w:line="134" w:lineRule="exact" w:before="18"/>
              <w:ind w:left="42"/>
              <w:rPr>
                <w:sz w:val="12"/>
              </w:rPr>
            </w:pPr>
            <w:r>
              <w:rPr>
                <w:w w:val="115"/>
                <w:sz w:val="12"/>
              </w:rPr>
              <w:t>infection de</w:t>
            </w:r>
            <w:r>
              <w:rPr>
                <w:rFonts w:ascii="Times New Roman" w:hAnsi="Times New Roman"/>
                <w:w w:val="115"/>
                <w:sz w:val="12"/>
              </w:rPr>
              <w:t>ﬁ</w:t>
            </w:r>
            <w:r>
              <w:rPr>
                <w:w w:val="115"/>
                <w:sz w:val="12"/>
              </w:rPr>
              <w:t>ned according to the</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0"/>
                <w:sz w:val="12"/>
              </w:rPr>
              <w:t>Various skin closure</w:t>
            </w:r>
          </w:p>
        </w:tc>
        <w:tc>
          <w:tcPr>
            <w:tcW w:w="2907" w:type="dxa"/>
          </w:tcPr>
          <w:p>
            <w:pPr>
              <w:pStyle w:val="TableParagraph"/>
              <w:spacing w:line="134" w:lineRule="exact" w:before="17"/>
              <w:ind w:left="42"/>
              <w:rPr>
                <w:sz w:val="12"/>
              </w:rPr>
            </w:pPr>
            <w:r>
              <w:rPr>
                <w:w w:val="115"/>
                <w:sz w:val="12"/>
              </w:rPr>
              <w:t>MusculoSkeletal Infection Society guidelines.</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5"/>
                <w:sz w:val="12"/>
              </w:rPr>
              <w:t>methods used</w:t>
            </w:r>
          </w:p>
        </w:tc>
        <w:tc>
          <w:tcPr>
            <w:tcW w:w="2907" w:type="dxa"/>
          </w:tcPr>
          <w:p>
            <w:pPr>
              <w:pStyle w:val="TableParagraph"/>
              <w:rPr>
                <w:rFonts w:ascii="Times New Roman"/>
                <w:sz w:val="10"/>
              </w:rPr>
            </w:pPr>
          </w:p>
        </w:tc>
      </w:tr>
      <w:tr>
        <w:trPr>
          <w:trHeight w:val="171" w:hRule="atLeast"/>
        </w:trPr>
        <w:tc>
          <w:tcPr>
            <w:tcW w:w="1464" w:type="dxa"/>
          </w:tcPr>
          <w:p>
            <w:pPr>
              <w:pStyle w:val="TableParagraph"/>
              <w:spacing w:line="134" w:lineRule="exact" w:before="17"/>
              <w:ind w:left="33"/>
              <w:rPr>
                <w:sz w:val="12"/>
              </w:rPr>
            </w:pPr>
            <w:r>
              <w:rPr>
                <w:w w:val="115"/>
                <w:sz w:val="12"/>
              </w:rPr>
              <w:t>Chan et al. [</w:t>
            </w:r>
            <w:hyperlink w:history="true" w:anchor="_bookmark43">
              <w:r>
                <w:rPr>
                  <w:color w:val="007FAC"/>
                  <w:w w:val="115"/>
                  <w:sz w:val="12"/>
                </w:rPr>
                <w:t>32</w:t>
              </w:r>
            </w:hyperlink>
            <w:r>
              <w:rPr>
                <w:w w:val="115"/>
                <w:sz w:val="12"/>
              </w:rPr>
              <w:t>]</w:t>
            </w:r>
          </w:p>
        </w:tc>
        <w:tc>
          <w:tcPr>
            <w:tcW w:w="958" w:type="dxa"/>
          </w:tcPr>
          <w:p>
            <w:pPr>
              <w:pStyle w:val="TableParagraph"/>
              <w:spacing w:line="134" w:lineRule="exact" w:before="17"/>
              <w:ind w:left="60"/>
              <w:rPr>
                <w:sz w:val="12"/>
              </w:rPr>
            </w:pPr>
            <w:r>
              <w:rPr>
                <w:w w:val="125"/>
                <w:sz w:val="12"/>
              </w:rPr>
              <w:t>2017</w:t>
            </w:r>
          </w:p>
        </w:tc>
        <w:tc>
          <w:tcPr>
            <w:tcW w:w="1711" w:type="dxa"/>
          </w:tcPr>
          <w:p>
            <w:pPr>
              <w:pStyle w:val="TableParagraph"/>
              <w:spacing w:line="134" w:lineRule="exact" w:before="17"/>
              <w:ind w:left="593"/>
              <w:rPr>
                <w:sz w:val="12"/>
              </w:rPr>
            </w:pPr>
            <w:r>
              <w:rPr>
                <w:w w:val="110"/>
                <w:sz w:val="12"/>
              </w:rPr>
              <w:t>Hong Kong</w:t>
            </w:r>
          </w:p>
        </w:tc>
        <w:tc>
          <w:tcPr>
            <w:tcW w:w="1739" w:type="dxa"/>
          </w:tcPr>
          <w:p>
            <w:pPr>
              <w:pStyle w:val="TableParagraph"/>
              <w:spacing w:line="134" w:lineRule="exact" w:before="17"/>
              <w:ind w:left="374"/>
              <w:rPr>
                <w:sz w:val="12"/>
              </w:rPr>
            </w:pPr>
            <w:r>
              <w:rPr>
                <w:sz w:val="12"/>
              </w:rPr>
              <w:t>RCT</w:t>
            </w:r>
          </w:p>
        </w:tc>
        <w:tc>
          <w:tcPr>
            <w:tcW w:w="1526" w:type="dxa"/>
          </w:tcPr>
          <w:p>
            <w:pPr>
              <w:pStyle w:val="TableParagraph"/>
              <w:spacing w:line="134" w:lineRule="exact" w:before="17"/>
              <w:ind w:left="126"/>
              <w:rPr>
                <w:sz w:val="12"/>
              </w:rPr>
            </w:pPr>
            <w:r>
              <w:rPr>
                <w:w w:val="110"/>
                <w:sz w:val="12"/>
              </w:rPr>
              <w:t>Knee</w:t>
            </w:r>
          </w:p>
        </w:tc>
        <w:tc>
          <w:tcPr>
            <w:tcW w:w="1035" w:type="dxa"/>
          </w:tcPr>
          <w:p>
            <w:pPr>
              <w:pStyle w:val="TableParagraph"/>
              <w:spacing w:line="134" w:lineRule="exact" w:before="17"/>
              <w:ind w:right="548"/>
              <w:jc w:val="right"/>
              <w:rPr>
                <w:sz w:val="12"/>
              </w:rPr>
            </w:pPr>
            <w:r>
              <w:rPr>
                <w:w w:val="125"/>
                <w:sz w:val="12"/>
              </w:rPr>
              <w:t>109</w:t>
            </w:r>
          </w:p>
        </w:tc>
        <w:tc>
          <w:tcPr>
            <w:tcW w:w="1997" w:type="dxa"/>
          </w:tcPr>
          <w:p>
            <w:pPr>
              <w:pStyle w:val="TableParagraph"/>
              <w:spacing w:line="134" w:lineRule="exact" w:before="17"/>
              <w:ind w:left="547"/>
              <w:rPr>
                <w:sz w:val="12"/>
              </w:rPr>
            </w:pPr>
            <w:r>
              <w:rPr>
                <w:w w:val="110"/>
                <w:sz w:val="12"/>
              </w:rPr>
              <w:t>Barbed sutures and</w:t>
            </w:r>
          </w:p>
        </w:tc>
        <w:tc>
          <w:tcPr>
            <w:tcW w:w="2907" w:type="dxa"/>
          </w:tcPr>
          <w:p>
            <w:pPr>
              <w:pStyle w:val="TableParagraph"/>
              <w:spacing w:line="134" w:lineRule="exact" w:before="17"/>
              <w:ind w:left="42"/>
              <w:rPr>
                <w:sz w:val="12"/>
              </w:rPr>
            </w:pPr>
            <w:r>
              <w:rPr>
                <w:w w:val="110"/>
                <w:sz w:val="12"/>
              </w:rPr>
              <w:t>CDC criteria.</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0"/>
                <w:sz w:val="12"/>
              </w:rPr>
              <w:t>staples vs traditional</w:t>
            </w:r>
          </w:p>
        </w:tc>
        <w:tc>
          <w:tcPr>
            <w:tcW w:w="2907" w:type="dxa"/>
          </w:tcPr>
          <w:p>
            <w:pPr>
              <w:pStyle w:val="TableParagraph"/>
              <w:rPr>
                <w:rFonts w:ascii="Times New Roman"/>
                <w:sz w:val="10"/>
              </w:rPr>
            </w:pPr>
          </w:p>
        </w:tc>
      </w:tr>
      <w:tr>
        <w:trPr>
          <w:trHeight w:val="170"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5"/>
                <w:sz w:val="12"/>
              </w:rPr>
              <w:t>sutures and staples</w:t>
            </w:r>
          </w:p>
        </w:tc>
        <w:tc>
          <w:tcPr>
            <w:tcW w:w="2907" w:type="dxa"/>
          </w:tcPr>
          <w:p>
            <w:pPr>
              <w:pStyle w:val="TableParagraph"/>
              <w:rPr>
                <w:rFonts w:ascii="Times New Roman"/>
                <w:sz w:val="10"/>
              </w:rPr>
            </w:pPr>
          </w:p>
        </w:tc>
      </w:tr>
      <w:tr>
        <w:trPr>
          <w:trHeight w:val="173" w:hRule="atLeast"/>
        </w:trPr>
        <w:tc>
          <w:tcPr>
            <w:tcW w:w="1464" w:type="dxa"/>
          </w:tcPr>
          <w:p>
            <w:pPr>
              <w:pStyle w:val="TableParagraph"/>
              <w:spacing w:line="134" w:lineRule="exact" w:before="18"/>
              <w:ind w:left="33"/>
              <w:rPr>
                <w:sz w:val="12"/>
              </w:rPr>
            </w:pPr>
            <w:r>
              <w:rPr>
                <w:w w:val="115"/>
                <w:sz w:val="12"/>
              </w:rPr>
              <w:t>Glennie et al. [</w:t>
            </w:r>
            <w:hyperlink w:history="true" w:anchor="_bookmark30">
              <w:r>
                <w:rPr>
                  <w:color w:val="007FAC"/>
                  <w:w w:val="115"/>
                  <w:sz w:val="12"/>
                </w:rPr>
                <w:t>19</w:t>
              </w:r>
            </w:hyperlink>
            <w:r>
              <w:rPr>
                <w:w w:val="115"/>
                <w:sz w:val="12"/>
              </w:rPr>
              <w:t>]</w:t>
            </w:r>
          </w:p>
        </w:tc>
        <w:tc>
          <w:tcPr>
            <w:tcW w:w="958" w:type="dxa"/>
          </w:tcPr>
          <w:p>
            <w:pPr>
              <w:pStyle w:val="TableParagraph"/>
              <w:spacing w:line="134" w:lineRule="exact" w:before="18"/>
              <w:ind w:left="60"/>
              <w:rPr>
                <w:sz w:val="12"/>
              </w:rPr>
            </w:pPr>
            <w:r>
              <w:rPr>
                <w:w w:val="125"/>
                <w:sz w:val="12"/>
              </w:rPr>
              <w:t>2017</w:t>
            </w:r>
          </w:p>
        </w:tc>
        <w:tc>
          <w:tcPr>
            <w:tcW w:w="1711" w:type="dxa"/>
          </w:tcPr>
          <w:p>
            <w:pPr>
              <w:pStyle w:val="TableParagraph"/>
              <w:spacing w:line="134" w:lineRule="exact" w:before="18"/>
              <w:ind w:left="593"/>
              <w:rPr>
                <w:sz w:val="12"/>
              </w:rPr>
            </w:pPr>
            <w:r>
              <w:rPr>
                <w:w w:val="110"/>
                <w:sz w:val="12"/>
              </w:rPr>
              <w:t>Canada</w:t>
            </w:r>
          </w:p>
        </w:tc>
        <w:tc>
          <w:tcPr>
            <w:tcW w:w="1739" w:type="dxa"/>
          </w:tcPr>
          <w:p>
            <w:pPr>
              <w:pStyle w:val="TableParagraph"/>
              <w:spacing w:line="134" w:lineRule="exact" w:before="18"/>
              <w:ind w:left="374"/>
              <w:rPr>
                <w:sz w:val="12"/>
              </w:rPr>
            </w:pPr>
            <w:r>
              <w:rPr>
                <w:sz w:val="12"/>
              </w:rPr>
              <w:t>RCT</w:t>
            </w:r>
          </w:p>
        </w:tc>
        <w:tc>
          <w:tcPr>
            <w:tcW w:w="1526" w:type="dxa"/>
          </w:tcPr>
          <w:p>
            <w:pPr>
              <w:pStyle w:val="TableParagraph"/>
              <w:spacing w:line="134" w:lineRule="exact" w:before="18"/>
              <w:ind w:left="126"/>
              <w:rPr>
                <w:sz w:val="12"/>
              </w:rPr>
            </w:pPr>
            <w:r>
              <w:rPr>
                <w:w w:val="105"/>
                <w:sz w:val="12"/>
              </w:rPr>
              <w:t>Hip</w:t>
            </w:r>
          </w:p>
        </w:tc>
        <w:tc>
          <w:tcPr>
            <w:tcW w:w="1035" w:type="dxa"/>
          </w:tcPr>
          <w:p>
            <w:pPr>
              <w:pStyle w:val="TableParagraph"/>
              <w:spacing w:line="134" w:lineRule="exact" w:before="18"/>
              <w:ind w:right="548"/>
              <w:jc w:val="right"/>
              <w:rPr>
                <w:sz w:val="12"/>
              </w:rPr>
            </w:pPr>
            <w:r>
              <w:rPr>
                <w:w w:val="125"/>
                <w:sz w:val="12"/>
              </w:rPr>
              <w:t>140</w:t>
            </w:r>
          </w:p>
        </w:tc>
        <w:tc>
          <w:tcPr>
            <w:tcW w:w="1997" w:type="dxa"/>
          </w:tcPr>
          <w:p>
            <w:pPr>
              <w:pStyle w:val="TableParagraph"/>
              <w:spacing w:line="134" w:lineRule="exact" w:before="18"/>
              <w:ind w:left="547"/>
              <w:rPr>
                <w:sz w:val="12"/>
              </w:rPr>
            </w:pPr>
            <w:r>
              <w:rPr>
                <w:w w:val="110"/>
                <w:sz w:val="12"/>
              </w:rPr>
              <w:t>Sutures and TSA vs</w:t>
            </w:r>
          </w:p>
        </w:tc>
        <w:tc>
          <w:tcPr>
            <w:tcW w:w="2907" w:type="dxa"/>
          </w:tcPr>
          <w:p>
            <w:pPr>
              <w:pStyle w:val="TableParagraph"/>
              <w:spacing w:line="134" w:lineRule="exact" w:before="18"/>
              <w:ind w:left="42"/>
              <w:rPr>
                <w:sz w:val="12"/>
              </w:rPr>
            </w:pPr>
            <w:r>
              <w:rPr>
                <w:w w:val="115"/>
                <w:sz w:val="12"/>
              </w:rPr>
              <w:t>De</w:t>
            </w:r>
            <w:r>
              <w:rPr>
                <w:rFonts w:ascii="Times New Roman" w:hAnsi="Times New Roman"/>
                <w:w w:val="115"/>
                <w:sz w:val="12"/>
              </w:rPr>
              <w:t>ﬁ</w:t>
            </w:r>
            <w:r>
              <w:rPr>
                <w:w w:val="115"/>
                <w:sz w:val="12"/>
              </w:rPr>
              <w:t>nition not reported.</w:t>
            </w:r>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3" w:lineRule="exact" w:before="17"/>
              <w:ind w:left="547"/>
              <w:rPr>
                <w:sz w:val="12"/>
              </w:rPr>
            </w:pPr>
            <w:r>
              <w:rPr>
                <w:w w:val="115"/>
                <w:sz w:val="12"/>
              </w:rPr>
              <w:t>staples</w:t>
            </w:r>
          </w:p>
        </w:tc>
        <w:tc>
          <w:tcPr>
            <w:tcW w:w="2907" w:type="dxa"/>
          </w:tcPr>
          <w:p>
            <w:pPr>
              <w:pStyle w:val="TableParagraph"/>
              <w:rPr>
                <w:rFonts w:ascii="Times New Roman"/>
                <w:sz w:val="10"/>
              </w:rPr>
            </w:pPr>
          </w:p>
        </w:tc>
      </w:tr>
      <w:tr>
        <w:trPr>
          <w:trHeight w:val="172" w:hRule="atLeast"/>
        </w:trPr>
        <w:tc>
          <w:tcPr>
            <w:tcW w:w="1464" w:type="dxa"/>
          </w:tcPr>
          <w:p>
            <w:pPr>
              <w:pStyle w:val="TableParagraph"/>
              <w:spacing w:line="134" w:lineRule="exact" w:before="18"/>
              <w:ind w:left="33"/>
              <w:rPr>
                <w:sz w:val="12"/>
              </w:rPr>
            </w:pPr>
            <w:r>
              <w:rPr>
                <w:w w:val="115"/>
                <w:sz w:val="12"/>
              </w:rPr>
              <w:t>Ko et al. [</w:t>
            </w:r>
            <w:hyperlink w:history="true" w:anchor="_bookmark57">
              <w:r>
                <w:rPr>
                  <w:color w:val="007FAC"/>
                  <w:w w:val="115"/>
                  <w:sz w:val="12"/>
                </w:rPr>
                <w:t>46</w:t>
              </w:r>
            </w:hyperlink>
            <w:r>
              <w:rPr>
                <w:w w:val="115"/>
                <w:sz w:val="12"/>
              </w:rPr>
              <w:t>]</w:t>
            </w:r>
          </w:p>
        </w:tc>
        <w:tc>
          <w:tcPr>
            <w:tcW w:w="958" w:type="dxa"/>
          </w:tcPr>
          <w:p>
            <w:pPr>
              <w:pStyle w:val="TableParagraph"/>
              <w:spacing w:line="134" w:lineRule="exact" w:before="18"/>
              <w:ind w:left="60"/>
              <w:rPr>
                <w:sz w:val="12"/>
              </w:rPr>
            </w:pPr>
            <w:r>
              <w:rPr>
                <w:w w:val="125"/>
                <w:sz w:val="12"/>
              </w:rPr>
              <w:t>2017</w:t>
            </w:r>
          </w:p>
        </w:tc>
        <w:tc>
          <w:tcPr>
            <w:tcW w:w="1711" w:type="dxa"/>
          </w:tcPr>
          <w:p>
            <w:pPr>
              <w:pStyle w:val="TableParagraph"/>
              <w:spacing w:line="134" w:lineRule="exact" w:before="18"/>
              <w:ind w:left="593"/>
              <w:rPr>
                <w:sz w:val="12"/>
              </w:rPr>
            </w:pPr>
            <w:r>
              <w:rPr>
                <w:w w:val="110"/>
                <w:sz w:val="12"/>
              </w:rPr>
              <w:t>South Korea</w:t>
            </w:r>
          </w:p>
        </w:tc>
        <w:tc>
          <w:tcPr>
            <w:tcW w:w="1739" w:type="dxa"/>
          </w:tcPr>
          <w:p>
            <w:pPr>
              <w:pStyle w:val="TableParagraph"/>
              <w:spacing w:line="134" w:lineRule="exact" w:before="18"/>
              <w:ind w:left="374"/>
              <w:rPr>
                <w:sz w:val="12"/>
              </w:rPr>
            </w:pPr>
            <w:r>
              <w:rPr>
                <w:w w:val="110"/>
                <w:sz w:val="12"/>
              </w:rPr>
              <w:t>Observational</w:t>
            </w:r>
          </w:p>
        </w:tc>
        <w:tc>
          <w:tcPr>
            <w:tcW w:w="1526" w:type="dxa"/>
          </w:tcPr>
          <w:p>
            <w:pPr>
              <w:pStyle w:val="TableParagraph"/>
              <w:spacing w:line="134" w:lineRule="exact" w:before="18"/>
              <w:ind w:left="126"/>
              <w:rPr>
                <w:sz w:val="12"/>
              </w:rPr>
            </w:pPr>
            <w:r>
              <w:rPr>
                <w:w w:val="110"/>
                <w:sz w:val="12"/>
              </w:rPr>
              <w:t>Knee</w:t>
            </w:r>
          </w:p>
        </w:tc>
        <w:tc>
          <w:tcPr>
            <w:tcW w:w="1035" w:type="dxa"/>
          </w:tcPr>
          <w:p>
            <w:pPr>
              <w:pStyle w:val="TableParagraph"/>
              <w:spacing w:line="134" w:lineRule="exact" w:before="18"/>
              <w:ind w:right="548"/>
              <w:jc w:val="right"/>
              <w:rPr>
                <w:sz w:val="12"/>
              </w:rPr>
            </w:pPr>
            <w:r>
              <w:rPr>
                <w:w w:val="125"/>
                <w:sz w:val="12"/>
              </w:rPr>
              <w:t>90</w:t>
            </w:r>
          </w:p>
        </w:tc>
        <w:tc>
          <w:tcPr>
            <w:tcW w:w="1997" w:type="dxa"/>
          </w:tcPr>
          <w:p>
            <w:pPr>
              <w:pStyle w:val="TableParagraph"/>
              <w:spacing w:line="134" w:lineRule="exact" w:before="18"/>
              <w:ind w:left="547"/>
              <w:rPr>
                <w:sz w:val="12"/>
              </w:rPr>
            </w:pPr>
            <w:r>
              <w:rPr>
                <w:w w:val="110"/>
                <w:sz w:val="12"/>
              </w:rPr>
              <w:t>Staples vs zipline</w:t>
            </w:r>
          </w:p>
        </w:tc>
        <w:tc>
          <w:tcPr>
            <w:tcW w:w="2907" w:type="dxa"/>
          </w:tcPr>
          <w:p>
            <w:pPr>
              <w:pStyle w:val="TableParagraph"/>
              <w:spacing w:line="134" w:lineRule="exact" w:before="18"/>
              <w:ind w:left="42"/>
              <w:rPr>
                <w:sz w:val="12"/>
              </w:rPr>
            </w:pPr>
            <w:r>
              <w:rPr>
                <w:w w:val="115"/>
                <w:sz w:val="12"/>
              </w:rPr>
              <w:t>Super</w:t>
            </w:r>
            <w:r>
              <w:rPr>
                <w:rFonts w:ascii="Times New Roman" w:hAnsi="Times New Roman"/>
                <w:w w:val="115"/>
                <w:sz w:val="12"/>
              </w:rPr>
              <w:t>ﬁ</w:t>
            </w:r>
            <w:r>
              <w:rPr>
                <w:w w:val="115"/>
                <w:sz w:val="12"/>
              </w:rPr>
              <w:t>cial and deep SSI not de</w:t>
            </w:r>
            <w:r>
              <w:rPr>
                <w:rFonts w:ascii="Times New Roman" w:hAnsi="Times New Roman"/>
                <w:w w:val="115"/>
                <w:sz w:val="12"/>
              </w:rPr>
              <w:t>ﬁ</w:t>
            </w:r>
            <w:r>
              <w:rPr>
                <w:w w:val="115"/>
                <w:sz w:val="12"/>
              </w:rPr>
              <w:t>ned. Recorded</w:t>
            </w:r>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6"/>
              <w:ind w:left="42"/>
              <w:rPr>
                <w:rFonts w:ascii="Lucida Sans" w:hAnsi="Lucida Sans"/>
                <w:sz w:val="12"/>
              </w:rPr>
            </w:pPr>
            <w:r>
              <w:rPr>
                <w:w w:val="115"/>
                <w:sz w:val="12"/>
              </w:rPr>
              <w:t>data listed as </w:t>
            </w:r>
            <w:r>
              <w:rPr>
                <w:rFonts w:ascii="Lucida Sans" w:hAnsi="Lucida Sans"/>
                <w:w w:val="115"/>
                <w:sz w:val="12"/>
              </w:rPr>
              <w:t>“</w:t>
            </w:r>
            <w:r>
              <w:rPr>
                <w:w w:val="115"/>
                <w:sz w:val="12"/>
              </w:rPr>
              <w:t>surgical site infection.</w:t>
            </w:r>
            <w:r>
              <w:rPr>
                <w:rFonts w:ascii="Lucida Sans" w:hAnsi="Lucida Sans"/>
                <w:w w:val="115"/>
                <w:sz w:val="12"/>
              </w:rPr>
              <w:t>”</w:t>
            </w:r>
          </w:p>
        </w:tc>
      </w:tr>
      <w:tr>
        <w:trPr>
          <w:trHeight w:val="171" w:hRule="atLeast"/>
        </w:trPr>
        <w:tc>
          <w:tcPr>
            <w:tcW w:w="1464" w:type="dxa"/>
          </w:tcPr>
          <w:p>
            <w:pPr>
              <w:pStyle w:val="TableParagraph"/>
              <w:spacing w:line="133" w:lineRule="exact" w:before="18"/>
              <w:ind w:left="33"/>
              <w:rPr>
                <w:sz w:val="12"/>
              </w:rPr>
            </w:pPr>
            <w:r>
              <w:rPr>
                <w:w w:val="115"/>
                <w:sz w:val="12"/>
              </w:rPr>
              <w:t>Takayama et al. [</w:t>
            </w:r>
            <w:hyperlink w:history="true" w:anchor="_bookmark60">
              <w:r>
                <w:rPr>
                  <w:color w:val="007FAC"/>
                  <w:w w:val="115"/>
                  <w:sz w:val="12"/>
                </w:rPr>
                <w:t>49</w:t>
              </w:r>
            </w:hyperlink>
            <w:r>
              <w:rPr>
                <w:w w:val="115"/>
                <w:sz w:val="12"/>
              </w:rPr>
              <w:t>]</w:t>
            </w:r>
          </w:p>
        </w:tc>
        <w:tc>
          <w:tcPr>
            <w:tcW w:w="958" w:type="dxa"/>
          </w:tcPr>
          <w:p>
            <w:pPr>
              <w:pStyle w:val="TableParagraph"/>
              <w:spacing w:line="133" w:lineRule="exact" w:before="18"/>
              <w:ind w:left="60"/>
              <w:rPr>
                <w:sz w:val="12"/>
              </w:rPr>
            </w:pPr>
            <w:r>
              <w:rPr>
                <w:w w:val="125"/>
                <w:sz w:val="12"/>
              </w:rPr>
              <w:t>2017</w:t>
            </w:r>
          </w:p>
        </w:tc>
        <w:tc>
          <w:tcPr>
            <w:tcW w:w="1711" w:type="dxa"/>
          </w:tcPr>
          <w:p>
            <w:pPr>
              <w:pStyle w:val="TableParagraph"/>
              <w:spacing w:line="133" w:lineRule="exact" w:before="18"/>
              <w:ind w:left="593"/>
              <w:rPr>
                <w:sz w:val="12"/>
              </w:rPr>
            </w:pPr>
            <w:r>
              <w:rPr>
                <w:w w:val="110"/>
                <w:sz w:val="12"/>
              </w:rPr>
              <w:t>Japan</w:t>
            </w:r>
          </w:p>
        </w:tc>
        <w:tc>
          <w:tcPr>
            <w:tcW w:w="1739" w:type="dxa"/>
          </w:tcPr>
          <w:p>
            <w:pPr>
              <w:pStyle w:val="TableParagraph"/>
              <w:spacing w:line="133" w:lineRule="exact" w:before="18"/>
              <w:ind w:left="374"/>
              <w:rPr>
                <w:sz w:val="12"/>
              </w:rPr>
            </w:pPr>
            <w:r>
              <w:rPr>
                <w:w w:val="110"/>
                <w:sz w:val="12"/>
              </w:rPr>
              <w:t>Observational</w:t>
            </w:r>
          </w:p>
        </w:tc>
        <w:tc>
          <w:tcPr>
            <w:tcW w:w="1526" w:type="dxa"/>
          </w:tcPr>
          <w:p>
            <w:pPr>
              <w:pStyle w:val="TableParagraph"/>
              <w:spacing w:line="133" w:lineRule="exact" w:before="18"/>
              <w:ind w:left="126"/>
              <w:rPr>
                <w:sz w:val="12"/>
              </w:rPr>
            </w:pPr>
            <w:r>
              <w:rPr>
                <w:w w:val="110"/>
                <w:sz w:val="12"/>
              </w:rPr>
              <w:t>Knee</w:t>
            </w:r>
          </w:p>
        </w:tc>
        <w:tc>
          <w:tcPr>
            <w:tcW w:w="1035" w:type="dxa"/>
          </w:tcPr>
          <w:p>
            <w:pPr>
              <w:pStyle w:val="TableParagraph"/>
              <w:spacing w:line="133" w:lineRule="exact" w:before="18"/>
              <w:ind w:right="548"/>
              <w:jc w:val="right"/>
              <w:rPr>
                <w:sz w:val="12"/>
              </w:rPr>
            </w:pPr>
            <w:r>
              <w:rPr>
                <w:w w:val="125"/>
                <w:sz w:val="12"/>
              </w:rPr>
              <w:t>71</w:t>
            </w:r>
          </w:p>
        </w:tc>
        <w:tc>
          <w:tcPr>
            <w:tcW w:w="1997" w:type="dxa"/>
          </w:tcPr>
          <w:p>
            <w:pPr>
              <w:pStyle w:val="TableParagraph"/>
              <w:spacing w:line="133" w:lineRule="exact" w:before="18"/>
              <w:ind w:left="547"/>
              <w:rPr>
                <w:sz w:val="12"/>
              </w:rPr>
            </w:pPr>
            <w:r>
              <w:rPr>
                <w:w w:val="110"/>
                <w:sz w:val="12"/>
              </w:rPr>
              <w:t>Sutures vs staples</w:t>
            </w:r>
          </w:p>
        </w:tc>
        <w:tc>
          <w:tcPr>
            <w:tcW w:w="2907" w:type="dxa"/>
          </w:tcPr>
          <w:p>
            <w:pPr>
              <w:pStyle w:val="TableParagraph"/>
              <w:spacing w:line="133" w:lineRule="exact" w:before="18"/>
              <w:ind w:left="42"/>
              <w:rPr>
                <w:sz w:val="12"/>
              </w:rPr>
            </w:pPr>
            <w:r>
              <w:rPr>
                <w:w w:val="115"/>
                <w:sz w:val="12"/>
              </w:rPr>
              <w:t>Super</w:t>
            </w:r>
            <w:r>
              <w:rPr>
                <w:rFonts w:ascii="Times New Roman" w:hAnsi="Times New Roman"/>
                <w:w w:val="115"/>
                <w:sz w:val="12"/>
              </w:rPr>
              <w:t>ﬁ</w:t>
            </w:r>
            <w:r>
              <w:rPr>
                <w:w w:val="115"/>
                <w:sz w:val="12"/>
              </w:rPr>
              <w:t>cial and deep SSI not de</w:t>
            </w:r>
            <w:r>
              <w:rPr>
                <w:rFonts w:ascii="Times New Roman" w:hAnsi="Times New Roman"/>
                <w:w w:val="115"/>
                <w:sz w:val="12"/>
              </w:rPr>
              <w:t>ﬁ</w:t>
            </w:r>
            <w:r>
              <w:rPr>
                <w:w w:val="115"/>
                <w:sz w:val="12"/>
              </w:rPr>
              <w:t>ned.</w:t>
            </w:r>
          </w:p>
        </w:tc>
      </w:tr>
      <w:tr>
        <w:trPr>
          <w:trHeight w:val="172" w:hRule="atLeast"/>
        </w:trPr>
        <w:tc>
          <w:tcPr>
            <w:tcW w:w="1464" w:type="dxa"/>
          </w:tcPr>
          <w:p>
            <w:pPr>
              <w:pStyle w:val="TableParagraph"/>
              <w:spacing w:line="134" w:lineRule="exact" w:before="18"/>
              <w:ind w:left="33"/>
              <w:rPr>
                <w:sz w:val="12"/>
              </w:rPr>
            </w:pPr>
            <w:r>
              <w:rPr>
                <w:w w:val="115"/>
                <w:sz w:val="12"/>
              </w:rPr>
              <w:t>Li et al. [</w:t>
            </w:r>
            <w:hyperlink w:history="true" w:anchor="_bookmark47">
              <w:r>
                <w:rPr>
                  <w:color w:val="007FAC"/>
                  <w:w w:val="115"/>
                  <w:sz w:val="12"/>
                </w:rPr>
                <w:t>36</w:t>
              </w:r>
            </w:hyperlink>
            <w:r>
              <w:rPr>
                <w:w w:val="115"/>
                <w:sz w:val="12"/>
              </w:rPr>
              <w:t>]</w:t>
            </w:r>
          </w:p>
        </w:tc>
        <w:tc>
          <w:tcPr>
            <w:tcW w:w="958" w:type="dxa"/>
          </w:tcPr>
          <w:p>
            <w:pPr>
              <w:pStyle w:val="TableParagraph"/>
              <w:spacing w:line="134" w:lineRule="exact" w:before="18"/>
              <w:ind w:left="60"/>
              <w:rPr>
                <w:sz w:val="12"/>
              </w:rPr>
            </w:pPr>
            <w:r>
              <w:rPr>
                <w:w w:val="125"/>
                <w:sz w:val="12"/>
              </w:rPr>
              <w:t>2018</w:t>
            </w:r>
          </w:p>
        </w:tc>
        <w:tc>
          <w:tcPr>
            <w:tcW w:w="1711" w:type="dxa"/>
          </w:tcPr>
          <w:p>
            <w:pPr>
              <w:pStyle w:val="TableParagraph"/>
              <w:spacing w:line="134" w:lineRule="exact" w:before="18"/>
              <w:ind w:left="593"/>
              <w:rPr>
                <w:sz w:val="12"/>
              </w:rPr>
            </w:pPr>
            <w:r>
              <w:rPr>
                <w:w w:val="110"/>
                <w:sz w:val="12"/>
              </w:rPr>
              <w:t>China</w:t>
            </w:r>
          </w:p>
        </w:tc>
        <w:tc>
          <w:tcPr>
            <w:tcW w:w="1739" w:type="dxa"/>
          </w:tcPr>
          <w:p>
            <w:pPr>
              <w:pStyle w:val="TableParagraph"/>
              <w:spacing w:line="134" w:lineRule="exact" w:before="18"/>
              <w:ind w:left="374"/>
              <w:rPr>
                <w:sz w:val="12"/>
              </w:rPr>
            </w:pPr>
            <w:r>
              <w:rPr>
                <w:w w:val="110"/>
                <w:sz w:val="12"/>
              </w:rPr>
              <w:t>RCT (randomized by</w:t>
            </w:r>
          </w:p>
        </w:tc>
        <w:tc>
          <w:tcPr>
            <w:tcW w:w="1526" w:type="dxa"/>
          </w:tcPr>
          <w:p>
            <w:pPr>
              <w:pStyle w:val="TableParagraph"/>
              <w:spacing w:line="134" w:lineRule="exact" w:before="18"/>
              <w:ind w:left="126"/>
              <w:rPr>
                <w:sz w:val="12"/>
              </w:rPr>
            </w:pPr>
            <w:r>
              <w:rPr>
                <w:w w:val="115"/>
                <w:sz w:val="12"/>
              </w:rPr>
              <w:t>Mixed hip and knee</w:t>
            </w:r>
          </w:p>
        </w:tc>
        <w:tc>
          <w:tcPr>
            <w:tcW w:w="1035" w:type="dxa"/>
          </w:tcPr>
          <w:p>
            <w:pPr>
              <w:pStyle w:val="TableParagraph"/>
              <w:spacing w:line="134" w:lineRule="exact" w:before="18"/>
              <w:ind w:right="548"/>
              <w:jc w:val="right"/>
              <w:rPr>
                <w:sz w:val="12"/>
              </w:rPr>
            </w:pPr>
            <w:r>
              <w:rPr>
                <w:w w:val="125"/>
                <w:sz w:val="12"/>
              </w:rPr>
              <w:t>168</w:t>
            </w:r>
          </w:p>
        </w:tc>
        <w:tc>
          <w:tcPr>
            <w:tcW w:w="1997" w:type="dxa"/>
          </w:tcPr>
          <w:p>
            <w:pPr>
              <w:pStyle w:val="TableParagraph"/>
              <w:spacing w:line="134" w:lineRule="exact" w:before="18"/>
              <w:ind w:left="547"/>
              <w:rPr>
                <w:sz w:val="12"/>
              </w:rPr>
            </w:pPr>
            <w:r>
              <w:rPr>
                <w:w w:val="110"/>
                <w:sz w:val="12"/>
              </w:rPr>
              <w:t>Barbed sutures and</w:t>
            </w:r>
          </w:p>
        </w:tc>
        <w:tc>
          <w:tcPr>
            <w:tcW w:w="2907" w:type="dxa"/>
          </w:tcPr>
          <w:p>
            <w:pPr>
              <w:pStyle w:val="TableParagraph"/>
              <w:spacing w:line="134" w:lineRule="exact" w:before="18"/>
              <w:ind w:left="42"/>
              <w:rPr>
                <w:sz w:val="12"/>
              </w:rPr>
            </w:pPr>
            <w:r>
              <w:rPr>
                <w:w w:val="115"/>
                <w:sz w:val="12"/>
              </w:rPr>
              <w:t>Super</w:t>
            </w:r>
            <w:r>
              <w:rPr>
                <w:rFonts w:ascii="Times New Roman" w:hAnsi="Times New Roman"/>
                <w:w w:val="115"/>
                <w:sz w:val="12"/>
              </w:rPr>
              <w:t>ﬁ</w:t>
            </w:r>
            <w:r>
              <w:rPr>
                <w:w w:val="115"/>
                <w:sz w:val="12"/>
              </w:rPr>
              <w:t>cial de</w:t>
            </w:r>
            <w:r>
              <w:rPr>
                <w:rFonts w:ascii="Times New Roman" w:hAnsi="Times New Roman"/>
                <w:w w:val="115"/>
                <w:sz w:val="12"/>
              </w:rPr>
              <w:t>ﬁ</w:t>
            </w:r>
            <w:r>
              <w:rPr>
                <w:w w:val="115"/>
                <w:sz w:val="12"/>
              </w:rPr>
              <w:t>ned as a minor complication</w:t>
            </w:r>
          </w:p>
        </w:tc>
      </w:tr>
      <w:tr>
        <w:trPr>
          <w:trHeight w:val="170"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spacing w:line="134" w:lineRule="exact" w:before="17"/>
              <w:ind w:left="374"/>
              <w:rPr>
                <w:sz w:val="12"/>
              </w:rPr>
            </w:pPr>
            <w:r>
              <w:rPr>
                <w:w w:val="115"/>
                <w:sz w:val="12"/>
              </w:rPr>
              <w:t>knee or hip)</w:t>
            </w: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0"/>
                <w:sz w:val="12"/>
              </w:rPr>
              <w:t>staples vs traditional</w:t>
            </w:r>
          </w:p>
        </w:tc>
        <w:tc>
          <w:tcPr>
            <w:tcW w:w="2907" w:type="dxa"/>
          </w:tcPr>
          <w:p>
            <w:pPr>
              <w:pStyle w:val="TableParagraph"/>
              <w:spacing w:line="134" w:lineRule="exact" w:before="17"/>
              <w:ind w:left="42"/>
              <w:rPr>
                <w:sz w:val="12"/>
              </w:rPr>
            </w:pPr>
            <w:r>
              <w:rPr>
                <w:w w:val="115"/>
                <w:sz w:val="12"/>
              </w:rPr>
              <w:t>which could be handled in the ward. Deep</w:t>
            </w:r>
          </w:p>
        </w:tc>
      </w:tr>
      <w:tr>
        <w:trPr>
          <w:trHeight w:val="173"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8"/>
              <w:ind w:left="547"/>
              <w:rPr>
                <w:sz w:val="12"/>
              </w:rPr>
            </w:pPr>
            <w:r>
              <w:rPr>
                <w:w w:val="115"/>
                <w:sz w:val="12"/>
              </w:rPr>
              <w:t>sutures and staples</w:t>
            </w:r>
          </w:p>
        </w:tc>
        <w:tc>
          <w:tcPr>
            <w:tcW w:w="2907" w:type="dxa"/>
          </w:tcPr>
          <w:p>
            <w:pPr>
              <w:pStyle w:val="TableParagraph"/>
              <w:spacing w:line="134" w:lineRule="exact" w:before="18"/>
              <w:ind w:left="42"/>
              <w:rPr>
                <w:sz w:val="12"/>
              </w:rPr>
            </w:pPr>
            <w:r>
              <w:rPr>
                <w:w w:val="115"/>
                <w:sz w:val="12"/>
              </w:rPr>
              <w:t>infections were de</w:t>
            </w:r>
            <w:r>
              <w:rPr>
                <w:rFonts w:ascii="Times New Roman" w:hAnsi="Times New Roman"/>
                <w:w w:val="115"/>
                <w:sz w:val="12"/>
              </w:rPr>
              <w:t>ﬁ</w:t>
            </w:r>
            <w:r>
              <w:rPr>
                <w:w w:val="115"/>
                <w:sz w:val="12"/>
              </w:rPr>
              <w:t>ned as major complications</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7"/>
              <w:ind w:left="42"/>
              <w:rPr>
                <w:sz w:val="12"/>
              </w:rPr>
            </w:pPr>
            <w:r>
              <w:rPr>
                <w:w w:val="115"/>
                <w:sz w:val="12"/>
              </w:rPr>
              <w:t>which would require return to the operating</w:t>
            </w:r>
          </w:p>
        </w:tc>
      </w:tr>
      <w:tr>
        <w:trPr>
          <w:trHeight w:val="342" w:hRule="atLeast"/>
        </w:trPr>
        <w:tc>
          <w:tcPr>
            <w:tcW w:w="1464" w:type="dxa"/>
          </w:tcPr>
          <w:p>
            <w:pPr>
              <w:pStyle w:val="TableParagraph"/>
              <w:spacing w:before="1"/>
              <w:rPr>
                <w:sz w:val="15"/>
              </w:rPr>
            </w:pPr>
          </w:p>
          <w:p>
            <w:pPr>
              <w:pStyle w:val="TableParagraph"/>
              <w:spacing w:line="134" w:lineRule="exact"/>
              <w:ind w:left="33"/>
              <w:rPr>
                <w:sz w:val="12"/>
              </w:rPr>
            </w:pPr>
            <w:r>
              <w:rPr>
                <w:w w:val="115"/>
                <w:sz w:val="12"/>
              </w:rPr>
              <w:t>Lin et al. [</w:t>
            </w:r>
            <w:hyperlink w:history="true" w:anchor="_bookmark46">
              <w:r>
                <w:rPr>
                  <w:color w:val="007FAC"/>
                  <w:w w:val="115"/>
                  <w:sz w:val="12"/>
                </w:rPr>
                <w:t>35</w:t>
              </w:r>
            </w:hyperlink>
            <w:r>
              <w:rPr>
                <w:w w:val="115"/>
                <w:sz w:val="12"/>
              </w:rPr>
              <w:t>]</w:t>
            </w:r>
          </w:p>
        </w:tc>
        <w:tc>
          <w:tcPr>
            <w:tcW w:w="958" w:type="dxa"/>
          </w:tcPr>
          <w:p>
            <w:pPr>
              <w:pStyle w:val="TableParagraph"/>
              <w:spacing w:before="1"/>
              <w:rPr>
                <w:sz w:val="15"/>
              </w:rPr>
            </w:pPr>
          </w:p>
          <w:p>
            <w:pPr>
              <w:pStyle w:val="TableParagraph"/>
              <w:spacing w:line="134" w:lineRule="exact"/>
              <w:ind w:left="60"/>
              <w:rPr>
                <w:sz w:val="12"/>
              </w:rPr>
            </w:pPr>
            <w:r>
              <w:rPr>
                <w:w w:val="125"/>
                <w:sz w:val="12"/>
              </w:rPr>
              <w:t>2018</w:t>
            </w:r>
          </w:p>
        </w:tc>
        <w:tc>
          <w:tcPr>
            <w:tcW w:w="1711" w:type="dxa"/>
          </w:tcPr>
          <w:p>
            <w:pPr>
              <w:pStyle w:val="TableParagraph"/>
              <w:spacing w:before="1"/>
              <w:rPr>
                <w:sz w:val="15"/>
              </w:rPr>
            </w:pPr>
          </w:p>
          <w:p>
            <w:pPr>
              <w:pStyle w:val="TableParagraph"/>
              <w:spacing w:line="134" w:lineRule="exact"/>
              <w:ind w:left="593"/>
              <w:rPr>
                <w:sz w:val="12"/>
              </w:rPr>
            </w:pPr>
            <w:r>
              <w:rPr>
                <w:w w:val="110"/>
                <w:sz w:val="12"/>
              </w:rPr>
              <w:t>Taiwan</w:t>
            </w:r>
          </w:p>
        </w:tc>
        <w:tc>
          <w:tcPr>
            <w:tcW w:w="1739" w:type="dxa"/>
          </w:tcPr>
          <w:p>
            <w:pPr>
              <w:pStyle w:val="TableParagraph"/>
              <w:spacing w:before="1"/>
              <w:rPr>
                <w:sz w:val="15"/>
              </w:rPr>
            </w:pPr>
          </w:p>
          <w:p>
            <w:pPr>
              <w:pStyle w:val="TableParagraph"/>
              <w:spacing w:line="134" w:lineRule="exact"/>
              <w:ind w:left="374"/>
              <w:rPr>
                <w:sz w:val="12"/>
              </w:rPr>
            </w:pPr>
            <w:r>
              <w:rPr>
                <w:sz w:val="12"/>
              </w:rPr>
              <w:t>RCT</w:t>
            </w:r>
          </w:p>
        </w:tc>
        <w:tc>
          <w:tcPr>
            <w:tcW w:w="1526" w:type="dxa"/>
          </w:tcPr>
          <w:p>
            <w:pPr>
              <w:pStyle w:val="TableParagraph"/>
              <w:spacing w:before="1"/>
              <w:rPr>
                <w:sz w:val="15"/>
              </w:rPr>
            </w:pPr>
          </w:p>
          <w:p>
            <w:pPr>
              <w:pStyle w:val="TableParagraph"/>
              <w:spacing w:line="134" w:lineRule="exact"/>
              <w:ind w:left="126"/>
              <w:rPr>
                <w:sz w:val="12"/>
              </w:rPr>
            </w:pPr>
            <w:r>
              <w:rPr>
                <w:w w:val="110"/>
                <w:sz w:val="12"/>
              </w:rPr>
              <w:t>Knee</w:t>
            </w:r>
          </w:p>
        </w:tc>
        <w:tc>
          <w:tcPr>
            <w:tcW w:w="1035" w:type="dxa"/>
          </w:tcPr>
          <w:p>
            <w:pPr>
              <w:pStyle w:val="TableParagraph"/>
              <w:spacing w:before="1"/>
              <w:rPr>
                <w:sz w:val="15"/>
              </w:rPr>
            </w:pPr>
          </w:p>
          <w:p>
            <w:pPr>
              <w:pStyle w:val="TableParagraph"/>
              <w:spacing w:line="134" w:lineRule="exact"/>
              <w:ind w:right="548"/>
              <w:jc w:val="right"/>
              <w:rPr>
                <w:sz w:val="12"/>
              </w:rPr>
            </w:pPr>
            <w:r>
              <w:rPr>
                <w:w w:val="125"/>
                <w:sz w:val="12"/>
              </w:rPr>
              <w:t>102</w:t>
            </w:r>
          </w:p>
        </w:tc>
        <w:tc>
          <w:tcPr>
            <w:tcW w:w="1997" w:type="dxa"/>
          </w:tcPr>
          <w:p>
            <w:pPr>
              <w:pStyle w:val="TableParagraph"/>
              <w:spacing w:before="1"/>
              <w:rPr>
                <w:sz w:val="15"/>
              </w:rPr>
            </w:pPr>
          </w:p>
          <w:p>
            <w:pPr>
              <w:pStyle w:val="TableParagraph"/>
              <w:spacing w:line="134" w:lineRule="exact"/>
              <w:ind w:left="547"/>
              <w:rPr>
                <w:sz w:val="12"/>
              </w:rPr>
            </w:pPr>
            <w:r>
              <w:rPr>
                <w:w w:val="115"/>
                <w:sz w:val="12"/>
              </w:rPr>
              <w:t>Antimicrobial sutures</w:t>
            </w:r>
          </w:p>
        </w:tc>
        <w:tc>
          <w:tcPr>
            <w:tcW w:w="2907" w:type="dxa"/>
          </w:tcPr>
          <w:p>
            <w:pPr>
              <w:pStyle w:val="TableParagraph"/>
              <w:spacing w:before="17"/>
              <w:ind w:left="42"/>
              <w:rPr>
                <w:sz w:val="12"/>
              </w:rPr>
            </w:pPr>
            <w:r>
              <w:rPr>
                <w:w w:val="115"/>
                <w:sz w:val="12"/>
              </w:rPr>
              <w:t>room.</w:t>
            </w:r>
          </w:p>
          <w:p>
            <w:pPr>
              <w:pStyle w:val="TableParagraph"/>
              <w:spacing w:line="134" w:lineRule="exact" w:before="22"/>
              <w:ind w:left="42"/>
              <w:rPr>
                <w:sz w:val="12"/>
              </w:rPr>
            </w:pPr>
            <w:r>
              <w:rPr>
                <w:w w:val="115"/>
                <w:sz w:val="12"/>
              </w:rPr>
              <w:t>De</w:t>
            </w:r>
            <w:r>
              <w:rPr>
                <w:rFonts w:ascii="Times New Roman" w:hAnsi="Times New Roman"/>
                <w:w w:val="115"/>
                <w:sz w:val="12"/>
              </w:rPr>
              <w:t>ﬁ</w:t>
            </w:r>
            <w:r>
              <w:rPr>
                <w:w w:val="115"/>
                <w:sz w:val="12"/>
              </w:rPr>
              <w:t>nition not reported.</w:t>
            </w:r>
            <w:hyperlink w:history="true" w:anchor="_bookmark6">
              <w:r>
                <w:rPr>
                  <w:color w:val="007FAC"/>
                  <w:w w:val="115"/>
                  <w:sz w:val="12"/>
                  <w:vertAlign w:val="superscript"/>
                </w:rPr>
                <w:t>d</w:t>
              </w:r>
            </w:hyperlink>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0"/>
                <w:sz w:val="12"/>
              </w:rPr>
              <w:t>and staples vs</w:t>
            </w:r>
          </w:p>
        </w:tc>
        <w:tc>
          <w:tcPr>
            <w:tcW w:w="2907" w:type="dxa"/>
          </w:tcPr>
          <w:p>
            <w:pPr>
              <w:pStyle w:val="TableParagraph"/>
              <w:rPr>
                <w:rFonts w:ascii="Times New Roman"/>
                <w:sz w:val="10"/>
              </w:rPr>
            </w:pP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7"/>
              <w:ind w:left="547"/>
              <w:rPr>
                <w:sz w:val="12"/>
              </w:rPr>
            </w:pPr>
            <w:r>
              <w:rPr>
                <w:w w:val="115"/>
                <w:sz w:val="12"/>
              </w:rPr>
              <w:t>traditional sutures and</w:t>
            </w:r>
          </w:p>
        </w:tc>
        <w:tc>
          <w:tcPr>
            <w:tcW w:w="2907" w:type="dxa"/>
          </w:tcPr>
          <w:p>
            <w:pPr>
              <w:pStyle w:val="TableParagraph"/>
              <w:rPr>
                <w:rFonts w:ascii="Times New Roman"/>
                <w:sz w:val="10"/>
              </w:rPr>
            </w:pPr>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3" w:lineRule="exact" w:before="17"/>
              <w:ind w:left="547"/>
              <w:rPr>
                <w:sz w:val="12"/>
              </w:rPr>
            </w:pPr>
            <w:r>
              <w:rPr>
                <w:w w:val="115"/>
                <w:sz w:val="12"/>
              </w:rPr>
              <w:t>staples</w:t>
            </w:r>
          </w:p>
        </w:tc>
        <w:tc>
          <w:tcPr>
            <w:tcW w:w="2907" w:type="dxa"/>
          </w:tcPr>
          <w:p>
            <w:pPr>
              <w:pStyle w:val="TableParagraph"/>
              <w:rPr>
                <w:rFonts w:ascii="Times New Roman"/>
                <w:sz w:val="10"/>
              </w:rPr>
            </w:pPr>
          </w:p>
        </w:tc>
      </w:tr>
      <w:tr>
        <w:trPr>
          <w:trHeight w:val="173" w:hRule="atLeast"/>
        </w:trPr>
        <w:tc>
          <w:tcPr>
            <w:tcW w:w="1464" w:type="dxa"/>
          </w:tcPr>
          <w:p>
            <w:pPr>
              <w:pStyle w:val="TableParagraph"/>
              <w:spacing w:line="135" w:lineRule="exact" w:before="18"/>
              <w:ind w:left="33"/>
              <w:rPr>
                <w:sz w:val="12"/>
              </w:rPr>
            </w:pPr>
            <w:r>
              <w:rPr>
                <w:w w:val="115"/>
                <w:sz w:val="12"/>
              </w:rPr>
              <w:t>Liu et al. [</w:t>
            </w:r>
            <w:hyperlink w:history="true" w:anchor="_bookmark55">
              <w:r>
                <w:rPr>
                  <w:color w:val="007FAC"/>
                  <w:w w:val="115"/>
                  <w:sz w:val="12"/>
                </w:rPr>
                <w:t>43</w:t>
              </w:r>
            </w:hyperlink>
            <w:r>
              <w:rPr>
                <w:w w:val="115"/>
                <w:sz w:val="12"/>
              </w:rPr>
              <w:t>]</w:t>
            </w:r>
          </w:p>
        </w:tc>
        <w:tc>
          <w:tcPr>
            <w:tcW w:w="958" w:type="dxa"/>
          </w:tcPr>
          <w:p>
            <w:pPr>
              <w:pStyle w:val="TableParagraph"/>
              <w:spacing w:line="135" w:lineRule="exact" w:before="18"/>
              <w:ind w:left="60"/>
              <w:rPr>
                <w:sz w:val="12"/>
              </w:rPr>
            </w:pPr>
            <w:r>
              <w:rPr>
                <w:w w:val="125"/>
                <w:sz w:val="12"/>
              </w:rPr>
              <w:t>2018</w:t>
            </w:r>
          </w:p>
        </w:tc>
        <w:tc>
          <w:tcPr>
            <w:tcW w:w="1711" w:type="dxa"/>
          </w:tcPr>
          <w:p>
            <w:pPr>
              <w:pStyle w:val="TableParagraph"/>
              <w:spacing w:line="135" w:lineRule="exact" w:before="18"/>
              <w:ind w:left="593"/>
              <w:rPr>
                <w:sz w:val="12"/>
              </w:rPr>
            </w:pPr>
            <w:r>
              <w:rPr>
                <w:w w:val="110"/>
                <w:sz w:val="12"/>
              </w:rPr>
              <w:t>China</w:t>
            </w:r>
          </w:p>
        </w:tc>
        <w:tc>
          <w:tcPr>
            <w:tcW w:w="1739" w:type="dxa"/>
          </w:tcPr>
          <w:p>
            <w:pPr>
              <w:pStyle w:val="TableParagraph"/>
              <w:spacing w:line="135" w:lineRule="exact" w:before="18"/>
              <w:ind w:left="374"/>
              <w:rPr>
                <w:sz w:val="12"/>
              </w:rPr>
            </w:pPr>
            <w:r>
              <w:rPr>
                <w:w w:val="110"/>
                <w:sz w:val="12"/>
              </w:rPr>
              <w:t>Observational</w:t>
            </w:r>
          </w:p>
        </w:tc>
        <w:tc>
          <w:tcPr>
            <w:tcW w:w="1526" w:type="dxa"/>
          </w:tcPr>
          <w:p>
            <w:pPr>
              <w:pStyle w:val="TableParagraph"/>
              <w:spacing w:line="135" w:lineRule="exact" w:before="18"/>
              <w:ind w:left="126"/>
              <w:rPr>
                <w:sz w:val="12"/>
              </w:rPr>
            </w:pPr>
            <w:r>
              <w:rPr>
                <w:w w:val="110"/>
                <w:sz w:val="12"/>
              </w:rPr>
              <w:t>Knee</w:t>
            </w:r>
          </w:p>
        </w:tc>
        <w:tc>
          <w:tcPr>
            <w:tcW w:w="1035" w:type="dxa"/>
          </w:tcPr>
          <w:p>
            <w:pPr>
              <w:pStyle w:val="TableParagraph"/>
              <w:spacing w:line="135" w:lineRule="exact" w:before="18"/>
              <w:ind w:right="548"/>
              <w:jc w:val="right"/>
              <w:rPr>
                <w:sz w:val="12"/>
              </w:rPr>
            </w:pPr>
            <w:r>
              <w:rPr>
                <w:w w:val="125"/>
                <w:sz w:val="12"/>
              </w:rPr>
              <w:t>180</w:t>
            </w:r>
          </w:p>
        </w:tc>
        <w:tc>
          <w:tcPr>
            <w:tcW w:w="1997" w:type="dxa"/>
          </w:tcPr>
          <w:p>
            <w:pPr>
              <w:pStyle w:val="TableParagraph"/>
              <w:spacing w:line="135" w:lineRule="exact" w:before="18"/>
              <w:ind w:left="547"/>
              <w:rPr>
                <w:sz w:val="12"/>
              </w:rPr>
            </w:pPr>
            <w:r>
              <w:rPr>
                <w:w w:val="115"/>
                <w:sz w:val="12"/>
              </w:rPr>
              <w:t>Antimicrobial sutures</w:t>
            </w:r>
          </w:p>
        </w:tc>
        <w:tc>
          <w:tcPr>
            <w:tcW w:w="2907" w:type="dxa"/>
          </w:tcPr>
          <w:p>
            <w:pPr>
              <w:pStyle w:val="TableParagraph"/>
              <w:spacing w:line="135" w:lineRule="exact" w:before="18"/>
              <w:ind w:left="42"/>
              <w:rPr>
                <w:sz w:val="12"/>
              </w:rPr>
            </w:pPr>
            <w:r>
              <w:rPr>
                <w:w w:val="115"/>
                <w:sz w:val="12"/>
              </w:rPr>
              <w:t>De</w:t>
            </w:r>
            <w:r>
              <w:rPr>
                <w:rFonts w:ascii="Times New Roman" w:hAnsi="Times New Roman"/>
                <w:w w:val="115"/>
                <w:sz w:val="12"/>
              </w:rPr>
              <w:t>ﬁ</w:t>
            </w:r>
            <w:r>
              <w:rPr>
                <w:w w:val="115"/>
                <w:sz w:val="12"/>
              </w:rPr>
              <w:t>nition not reported.</w:t>
            </w:r>
          </w:p>
        </w:tc>
      </w:tr>
      <w:tr>
        <w:trPr>
          <w:trHeight w:val="170"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3" w:lineRule="exact" w:before="17"/>
              <w:ind w:left="547"/>
              <w:rPr>
                <w:sz w:val="12"/>
              </w:rPr>
            </w:pPr>
            <w:r>
              <w:rPr>
                <w:w w:val="110"/>
                <w:sz w:val="12"/>
              </w:rPr>
              <w:t>vs traditional sutures</w:t>
            </w:r>
          </w:p>
        </w:tc>
        <w:tc>
          <w:tcPr>
            <w:tcW w:w="2907" w:type="dxa"/>
          </w:tcPr>
          <w:p>
            <w:pPr>
              <w:pStyle w:val="TableParagraph"/>
              <w:rPr>
                <w:rFonts w:ascii="Times New Roman"/>
                <w:sz w:val="10"/>
              </w:rPr>
            </w:pPr>
          </w:p>
        </w:tc>
      </w:tr>
      <w:tr>
        <w:trPr>
          <w:trHeight w:val="172" w:hRule="atLeast"/>
        </w:trPr>
        <w:tc>
          <w:tcPr>
            <w:tcW w:w="1464" w:type="dxa"/>
          </w:tcPr>
          <w:p>
            <w:pPr>
              <w:pStyle w:val="TableParagraph"/>
              <w:spacing w:line="134" w:lineRule="exact" w:before="18"/>
              <w:ind w:left="33"/>
              <w:rPr>
                <w:sz w:val="12"/>
              </w:rPr>
            </w:pPr>
            <w:r>
              <w:rPr>
                <w:w w:val="115"/>
                <w:sz w:val="12"/>
              </w:rPr>
              <w:t>Rui et al. [</w:t>
            </w:r>
            <w:hyperlink w:history="true" w:anchor="_bookmark36">
              <w:r>
                <w:rPr>
                  <w:color w:val="007FAC"/>
                  <w:w w:val="115"/>
                  <w:sz w:val="12"/>
                </w:rPr>
                <w:t>25</w:t>
              </w:r>
            </w:hyperlink>
            <w:r>
              <w:rPr>
                <w:w w:val="115"/>
                <w:sz w:val="12"/>
              </w:rPr>
              <w:t>]</w:t>
            </w:r>
          </w:p>
        </w:tc>
        <w:tc>
          <w:tcPr>
            <w:tcW w:w="958" w:type="dxa"/>
          </w:tcPr>
          <w:p>
            <w:pPr>
              <w:pStyle w:val="TableParagraph"/>
              <w:spacing w:line="134" w:lineRule="exact" w:before="18"/>
              <w:ind w:left="60"/>
              <w:rPr>
                <w:sz w:val="12"/>
              </w:rPr>
            </w:pPr>
            <w:r>
              <w:rPr>
                <w:w w:val="125"/>
                <w:sz w:val="12"/>
              </w:rPr>
              <w:t>2018</w:t>
            </w:r>
          </w:p>
        </w:tc>
        <w:tc>
          <w:tcPr>
            <w:tcW w:w="1711" w:type="dxa"/>
          </w:tcPr>
          <w:p>
            <w:pPr>
              <w:pStyle w:val="TableParagraph"/>
              <w:spacing w:line="134" w:lineRule="exact" w:before="18"/>
              <w:ind w:left="593"/>
              <w:rPr>
                <w:sz w:val="12"/>
              </w:rPr>
            </w:pPr>
            <w:r>
              <w:rPr>
                <w:w w:val="110"/>
                <w:sz w:val="12"/>
              </w:rPr>
              <w:t>China</w:t>
            </w:r>
          </w:p>
        </w:tc>
        <w:tc>
          <w:tcPr>
            <w:tcW w:w="1739" w:type="dxa"/>
          </w:tcPr>
          <w:p>
            <w:pPr>
              <w:pStyle w:val="TableParagraph"/>
              <w:spacing w:line="134" w:lineRule="exact" w:before="18"/>
              <w:ind w:left="374"/>
              <w:rPr>
                <w:sz w:val="12"/>
              </w:rPr>
            </w:pPr>
            <w:r>
              <w:rPr>
                <w:sz w:val="12"/>
              </w:rPr>
              <w:t>RCT</w:t>
            </w:r>
          </w:p>
        </w:tc>
        <w:tc>
          <w:tcPr>
            <w:tcW w:w="1526" w:type="dxa"/>
          </w:tcPr>
          <w:p>
            <w:pPr>
              <w:pStyle w:val="TableParagraph"/>
              <w:spacing w:line="134" w:lineRule="exact" w:before="18"/>
              <w:ind w:left="126"/>
              <w:rPr>
                <w:sz w:val="12"/>
              </w:rPr>
            </w:pPr>
            <w:r>
              <w:rPr>
                <w:w w:val="105"/>
                <w:sz w:val="12"/>
              </w:rPr>
              <w:t>Hip</w:t>
            </w:r>
          </w:p>
        </w:tc>
        <w:tc>
          <w:tcPr>
            <w:tcW w:w="1035" w:type="dxa"/>
          </w:tcPr>
          <w:p>
            <w:pPr>
              <w:pStyle w:val="TableParagraph"/>
              <w:spacing w:line="134" w:lineRule="exact" w:before="18"/>
              <w:ind w:right="548"/>
              <w:jc w:val="right"/>
              <w:rPr>
                <w:sz w:val="12"/>
              </w:rPr>
            </w:pPr>
            <w:r>
              <w:rPr>
                <w:w w:val="125"/>
                <w:sz w:val="12"/>
              </w:rPr>
              <w:t>165</w:t>
            </w:r>
          </w:p>
        </w:tc>
        <w:tc>
          <w:tcPr>
            <w:tcW w:w="1997" w:type="dxa"/>
          </w:tcPr>
          <w:p>
            <w:pPr>
              <w:pStyle w:val="TableParagraph"/>
              <w:spacing w:line="134" w:lineRule="exact" w:before="18"/>
              <w:ind w:left="547"/>
              <w:rPr>
                <w:sz w:val="12"/>
              </w:rPr>
            </w:pPr>
            <w:r>
              <w:rPr>
                <w:w w:val="110"/>
                <w:sz w:val="12"/>
              </w:rPr>
              <w:t>Sutures vs staples</w:t>
            </w:r>
          </w:p>
        </w:tc>
        <w:tc>
          <w:tcPr>
            <w:tcW w:w="2907" w:type="dxa"/>
          </w:tcPr>
          <w:p>
            <w:pPr>
              <w:pStyle w:val="TableParagraph"/>
              <w:spacing w:line="134" w:lineRule="exact" w:before="18"/>
              <w:ind w:left="42"/>
              <w:rPr>
                <w:sz w:val="12"/>
              </w:rPr>
            </w:pPr>
            <w:r>
              <w:rPr>
                <w:w w:val="115"/>
                <w:sz w:val="12"/>
              </w:rPr>
              <w:t>Super</w:t>
            </w:r>
            <w:r>
              <w:rPr>
                <w:rFonts w:ascii="Times New Roman" w:hAnsi="Times New Roman"/>
                <w:w w:val="115"/>
                <w:sz w:val="12"/>
              </w:rPr>
              <w:t>ﬁ</w:t>
            </w:r>
            <w:r>
              <w:rPr>
                <w:w w:val="115"/>
                <w:sz w:val="12"/>
              </w:rPr>
              <w:t>cial SSIs were de</w:t>
            </w:r>
            <w:r>
              <w:rPr>
                <w:rFonts w:ascii="Times New Roman" w:hAnsi="Times New Roman"/>
                <w:w w:val="115"/>
                <w:sz w:val="12"/>
              </w:rPr>
              <w:t>ﬁ</w:t>
            </w:r>
            <w:r>
              <w:rPr>
                <w:w w:val="115"/>
                <w:sz w:val="12"/>
              </w:rPr>
              <w:t>ned as an infection</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7"/>
              <w:ind w:left="42"/>
              <w:rPr>
                <w:sz w:val="12"/>
              </w:rPr>
            </w:pPr>
            <w:r>
              <w:rPr>
                <w:w w:val="115"/>
                <w:sz w:val="12"/>
              </w:rPr>
              <w:t>involving skin and subcutaneous tissue, while</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7"/>
              <w:ind w:left="42"/>
              <w:rPr>
                <w:sz w:val="12"/>
              </w:rPr>
            </w:pPr>
            <w:r>
              <w:rPr>
                <w:w w:val="115"/>
                <w:sz w:val="12"/>
              </w:rPr>
              <w:t>infections involving deep soft tissue including</w:t>
            </w:r>
          </w:p>
        </w:tc>
      </w:tr>
      <w:tr>
        <w:trPr>
          <w:trHeight w:val="341" w:hRule="atLeast"/>
        </w:trPr>
        <w:tc>
          <w:tcPr>
            <w:tcW w:w="1464" w:type="dxa"/>
          </w:tcPr>
          <w:p>
            <w:pPr>
              <w:pStyle w:val="TableParagraph"/>
              <w:rPr>
                <w:rFonts w:ascii="Times New Roman"/>
                <w:sz w:val="12"/>
              </w:rPr>
            </w:pPr>
          </w:p>
        </w:tc>
        <w:tc>
          <w:tcPr>
            <w:tcW w:w="958" w:type="dxa"/>
          </w:tcPr>
          <w:p>
            <w:pPr>
              <w:pStyle w:val="TableParagraph"/>
              <w:rPr>
                <w:rFonts w:ascii="Times New Roman"/>
                <w:sz w:val="12"/>
              </w:rPr>
            </w:pPr>
          </w:p>
        </w:tc>
        <w:tc>
          <w:tcPr>
            <w:tcW w:w="1711" w:type="dxa"/>
          </w:tcPr>
          <w:p>
            <w:pPr>
              <w:pStyle w:val="TableParagraph"/>
              <w:rPr>
                <w:rFonts w:ascii="Times New Roman"/>
                <w:sz w:val="12"/>
              </w:rPr>
            </w:pPr>
          </w:p>
        </w:tc>
        <w:tc>
          <w:tcPr>
            <w:tcW w:w="1739" w:type="dxa"/>
          </w:tcPr>
          <w:p>
            <w:pPr>
              <w:pStyle w:val="TableParagraph"/>
              <w:rPr>
                <w:rFonts w:ascii="Times New Roman"/>
                <w:sz w:val="12"/>
              </w:rPr>
            </w:pPr>
          </w:p>
        </w:tc>
        <w:tc>
          <w:tcPr>
            <w:tcW w:w="1526" w:type="dxa"/>
          </w:tcPr>
          <w:p>
            <w:pPr>
              <w:pStyle w:val="TableParagraph"/>
              <w:rPr>
                <w:rFonts w:ascii="Times New Roman"/>
                <w:sz w:val="12"/>
              </w:rPr>
            </w:pPr>
          </w:p>
        </w:tc>
        <w:tc>
          <w:tcPr>
            <w:tcW w:w="1035" w:type="dxa"/>
          </w:tcPr>
          <w:p>
            <w:pPr>
              <w:pStyle w:val="TableParagraph"/>
              <w:rPr>
                <w:rFonts w:ascii="Times New Roman"/>
                <w:sz w:val="12"/>
              </w:rPr>
            </w:pPr>
          </w:p>
        </w:tc>
        <w:tc>
          <w:tcPr>
            <w:tcW w:w="1997" w:type="dxa"/>
          </w:tcPr>
          <w:p>
            <w:pPr>
              <w:pStyle w:val="TableParagraph"/>
              <w:rPr>
                <w:rFonts w:ascii="Times New Roman"/>
                <w:sz w:val="12"/>
              </w:rPr>
            </w:pPr>
          </w:p>
        </w:tc>
        <w:tc>
          <w:tcPr>
            <w:tcW w:w="2907" w:type="dxa"/>
          </w:tcPr>
          <w:p>
            <w:pPr>
              <w:pStyle w:val="TableParagraph"/>
              <w:spacing w:before="17"/>
              <w:ind w:left="42"/>
              <w:rPr>
                <w:sz w:val="12"/>
              </w:rPr>
            </w:pPr>
            <w:r>
              <w:rPr>
                <w:w w:val="110"/>
                <w:sz w:val="12"/>
              </w:rPr>
              <w:t>muscle and/or fascia were diagnosed as deep</w:t>
            </w:r>
          </w:p>
          <w:p>
            <w:pPr>
              <w:pStyle w:val="TableParagraph"/>
              <w:spacing w:line="133" w:lineRule="exact" w:before="22"/>
              <w:ind w:left="42"/>
              <w:rPr>
                <w:sz w:val="12"/>
              </w:rPr>
            </w:pPr>
            <w:r>
              <w:rPr>
                <w:w w:val="105"/>
                <w:sz w:val="12"/>
              </w:rPr>
              <w:t>SSIs.</w:t>
            </w:r>
            <w:hyperlink w:history="true" w:anchor="_bookmark5">
              <w:r>
                <w:rPr>
                  <w:color w:val="007FAC"/>
                  <w:w w:val="105"/>
                  <w:sz w:val="12"/>
                  <w:vertAlign w:val="superscript"/>
                </w:rPr>
                <w:t>e</w:t>
              </w:r>
            </w:hyperlink>
          </w:p>
        </w:tc>
      </w:tr>
      <w:tr>
        <w:trPr>
          <w:trHeight w:val="172" w:hRule="atLeast"/>
        </w:trPr>
        <w:tc>
          <w:tcPr>
            <w:tcW w:w="1464" w:type="dxa"/>
          </w:tcPr>
          <w:p>
            <w:pPr>
              <w:pStyle w:val="TableParagraph"/>
              <w:spacing w:line="134" w:lineRule="exact" w:before="18"/>
              <w:ind w:left="33"/>
              <w:rPr>
                <w:sz w:val="12"/>
              </w:rPr>
            </w:pPr>
            <w:r>
              <w:rPr>
                <w:w w:val="115"/>
                <w:sz w:val="12"/>
              </w:rPr>
              <w:t>Sprowson et al. [</w:t>
            </w:r>
            <w:hyperlink w:history="true" w:anchor="_bookmark48">
              <w:r>
                <w:rPr>
                  <w:color w:val="007FAC"/>
                  <w:w w:val="115"/>
                  <w:sz w:val="12"/>
                </w:rPr>
                <w:t>37</w:t>
              </w:r>
            </w:hyperlink>
            <w:r>
              <w:rPr>
                <w:w w:val="115"/>
                <w:sz w:val="12"/>
              </w:rPr>
              <w:t>]</w:t>
            </w:r>
          </w:p>
        </w:tc>
        <w:tc>
          <w:tcPr>
            <w:tcW w:w="958" w:type="dxa"/>
          </w:tcPr>
          <w:p>
            <w:pPr>
              <w:pStyle w:val="TableParagraph"/>
              <w:spacing w:line="134" w:lineRule="exact" w:before="18"/>
              <w:ind w:left="60"/>
              <w:rPr>
                <w:sz w:val="12"/>
              </w:rPr>
            </w:pPr>
            <w:r>
              <w:rPr>
                <w:w w:val="125"/>
                <w:sz w:val="12"/>
              </w:rPr>
              <w:t>2018</w:t>
            </w:r>
          </w:p>
        </w:tc>
        <w:tc>
          <w:tcPr>
            <w:tcW w:w="1711" w:type="dxa"/>
          </w:tcPr>
          <w:p>
            <w:pPr>
              <w:pStyle w:val="TableParagraph"/>
              <w:spacing w:line="134" w:lineRule="exact" w:before="18"/>
              <w:ind w:left="593"/>
              <w:rPr>
                <w:sz w:val="12"/>
              </w:rPr>
            </w:pPr>
            <w:r>
              <w:rPr>
                <w:sz w:val="12"/>
              </w:rPr>
              <w:t>UK</w:t>
            </w:r>
          </w:p>
        </w:tc>
        <w:tc>
          <w:tcPr>
            <w:tcW w:w="1739" w:type="dxa"/>
          </w:tcPr>
          <w:p>
            <w:pPr>
              <w:pStyle w:val="TableParagraph"/>
              <w:spacing w:line="134" w:lineRule="exact" w:before="18"/>
              <w:ind w:left="374"/>
              <w:rPr>
                <w:sz w:val="12"/>
              </w:rPr>
            </w:pPr>
            <w:r>
              <w:rPr>
                <w:w w:val="110"/>
                <w:sz w:val="12"/>
              </w:rPr>
              <w:t>Quasi-randomized</w:t>
            </w:r>
          </w:p>
        </w:tc>
        <w:tc>
          <w:tcPr>
            <w:tcW w:w="1526" w:type="dxa"/>
          </w:tcPr>
          <w:p>
            <w:pPr>
              <w:pStyle w:val="TableParagraph"/>
              <w:spacing w:line="134" w:lineRule="exact" w:before="18"/>
              <w:ind w:left="126"/>
              <w:rPr>
                <w:sz w:val="12"/>
              </w:rPr>
            </w:pPr>
            <w:r>
              <w:rPr>
                <w:w w:val="115"/>
                <w:sz w:val="12"/>
              </w:rPr>
              <w:t>Mixed hip and knee</w:t>
            </w:r>
          </w:p>
        </w:tc>
        <w:tc>
          <w:tcPr>
            <w:tcW w:w="1035" w:type="dxa"/>
          </w:tcPr>
          <w:p>
            <w:pPr>
              <w:pStyle w:val="TableParagraph"/>
              <w:spacing w:line="134" w:lineRule="exact" w:before="18"/>
              <w:ind w:right="548"/>
              <w:jc w:val="right"/>
              <w:rPr>
                <w:sz w:val="12"/>
              </w:rPr>
            </w:pPr>
            <w:r>
              <w:rPr>
                <w:w w:val="125"/>
                <w:sz w:val="12"/>
              </w:rPr>
              <w:t>2546</w:t>
            </w:r>
          </w:p>
        </w:tc>
        <w:tc>
          <w:tcPr>
            <w:tcW w:w="1997" w:type="dxa"/>
          </w:tcPr>
          <w:p>
            <w:pPr>
              <w:pStyle w:val="TableParagraph"/>
              <w:spacing w:line="134" w:lineRule="exact" w:before="18"/>
              <w:ind w:left="547"/>
              <w:rPr>
                <w:sz w:val="12"/>
              </w:rPr>
            </w:pPr>
            <w:r>
              <w:rPr>
                <w:w w:val="115"/>
                <w:sz w:val="12"/>
              </w:rPr>
              <w:t>Antimicrobial sutures</w:t>
            </w:r>
          </w:p>
        </w:tc>
        <w:tc>
          <w:tcPr>
            <w:tcW w:w="2907" w:type="dxa"/>
          </w:tcPr>
          <w:p>
            <w:pPr>
              <w:pStyle w:val="TableParagraph"/>
              <w:spacing w:line="134" w:lineRule="exact" w:before="18"/>
              <w:ind w:left="42"/>
              <w:rPr>
                <w:sz w:val="12"/>
              </w:rPr>
            </w:pPr>
            <w:r>
              <w:rPr>
                <w:w w:val="115"/>
                <w:sz w:val="12"/>
              </w:rPr>
              <w:t>Based</w:t>
            </w:r>
            <w:r>
              <w:rPr>
                <w:spacing w:val="-14"/>
                <w:w w:val="115"/>
                <w:sz w:val="12"/>
              </w:rPr>
              <w:t> </w:t>
            </w:r>
            <w:r>
              <w:rPr>
                <w:w w:val="115"/>
                <w:sz w:val="12"/>
              </w:rPr>
              <w:t>on</w:t>
            </w:r>
            <w:r>
              <w:rPr>
                <w:spacing w:val="-13"/>
                <w:w w:val="115"/>
                <w:sz w:val="12"/>
              </w:rPr>
              <w:t> </w:t>
            </w:r>
            <w:r>
              <w:rPr>
                <w:w w:val="115"/>
                <w:sz w:val="12"/>
              </w:rPr>
              <w:t>CDC</w:t>
            </w:r>
            <w:r>
              <w:rPr>
                <w:spacing w:val="-13"/>
                <w:w w:val="115"/>
                <w:sz w:val="12"/>
              </w:rPr>
              <w:t> </w:t>
            </w:r>
            <w:r>
              <w:rPr>
                <w:w w:val="115"/>
                <w:sz w:val="12"/>
              </w:rPr>
              <w:t>de</w:t>
            </w:r>
            <w:r>
              <w:rPr>
                <w:rFonts w:ascii="Times New Roman" w:hAnsi="Times New Roman"/>
                <w:w w:val="115"/>
                <w:sz w:val="12"/>
              </w:rPr>
              <w:t>ﬁ</w:t>
            </w:r>
            <w:r>
              <w:rPr>
                <w:w w:val="115"/>
                <w:sz w:val="12"/>
              </w:rPr>
              <w:t>nition.</w:t>
            </w:r>
            <w:r>
              <w:rPr>
                <w:spacing w:val="-13"/>
                <w:w w:val="115"/>
                <w:sz w:val="12"/>
              </w:rPr>
              <w:t> </w:t>
            </w:r>
            <w:r>
              <w:rPr>
                <w:w w:val="115"/>
                <w:sz w:val="12"/>
              </w:rPr>
              <w:t>Super</w:t>
            </w:r>
            <w:r>
              <w:rPr>
                <w:rFonts w:ascii="Times New Roman" w:hAnsi="Times New Roman"/>
                <w:w w:val="115"/>
                <w:sz w:val="12"/>
              </w:rPr>
              <w:t>ﬁ</w:t>
            </w:r>
            <w:r>
              <w:rPr>
                <w:w w:val="115"/>
                <w:sz w:val="12"/>
              </w:rPr>
              <w:t>cial</w:t>
            </w:r>
            <w:r>
              <w:rPr>
                <w:spacing w:val="-13"/>
                <w:w w:val="115"/>
                <w:sz w:val="12"/>
              </w:rPr>
              <w:t> </w:t>
            </w:r>
            <w:r>
              <w:rPr>
                <w:w w:val="115"/>
                <w:sz w:val="12"/>
              </w:rPr>
              <w:t>SSI:</w:t>
            </w:r>
            <w:r>
              <w:rPr>
                <w:spacing w:val="-13"/>
                <w:w w:val="115"/>
                <w:sz w:val="12"/>
              </w:rPr>
              <w:t> </w:t>
            </w:r>
            <w:r>
              <w:rPr>
                <w:w w:val="115"/>
                <w:sz w:val="12"/>
              </w:rPr>
              <w:t>occurs</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5" w:lineRule="exact" w:before="17"/>
              <w:ind w:left="547"/>
              <w:rPr>
                <w:sz w:val="12"/>
              </w:rPr>
            </w:pPr>
            <w:r>
              <w:rPr>
                <w:w w:val="110"/>
                <w:sz w:val="12"/>
              </w:rPr>
              <w:t>vs traditional sutures</w:t>
            </w:r>
          </w:p>
        </w:tc>
        <w:tc>
          <w:tcPr>
            <w:tcW w:w="2907" w:type="dxa"/>
          </w:tcPr>
          <w:p>
            <w:pPr>
              <w:pStyle w:val="TableParagraph"/>
              <w:spacing w:line="135" w:lineRule="exact" w:before="17"/>
              <w:ind w:left="42"/>
              <w:rPr>
                <w:sz w:val="12"/>
              </w:rPr>
            </w:pPr>
            <w:r>
              <w:rPr>
                <w:w w:val="110"/>
                <w:sz w:val="12"/>
              </w:rPr>
              <w:t>within 30 d of surgery, involves only the skin or</w:t>
            </w:r>
          </w:p>
        </w:tc>
      </w:tr>
      <w:tr>
        <w:trPr>
          <w:trHeight w:val="170"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3" w:lineRule="exact" w:before="17"/>
              <w:ind w:left="42"/>
              <w:rPr>
                <w:sz w:val="12"/>
              </w:rPr>
            </w:pPr>
            <w:r>
              <w:rPr>
                <w:w w:val="115"/>
                <w:sz w:val="12"/>
              </w:rPr>
              <w:t>subcutaneous tissue of the incision and meets</w:t>
            </w:r>
          </w:p>
        </w:tc>
      </w:tr>
      <w:tr>
        <w:trPr>
          <w:trHeight w:val="172"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8"/>
              <w:ind w:left="42"/>
              <w:rPr>
                <w:sz w:val="12"/>
              </w:rPr>
            </w:pPr>
            <w:r>
              <w:rPr>
                <w:w w:val="115"/>
                <w:sz w:val="12"/>
              </w:rPr>
              <w:t>at least one of the speci</w:t>
            </w:r>
            <w:r>
              <w:rPr>
                <w:rFonts w:ascii="Times New Roman" w:hAnsi="Times New Roman"/>
                <w:w w:val="115"/>
                <w:sz w:val="12"/>
              </w:rPr>
              <w:t>ﬁ</w:t>
            </w:r>
            <w:r>
              <w:rPr>
                <w:w w:val="115"/>
                <w:sz w:val="12"/>
              </w:rPr>
              <w:t>ed criteria. Deep SSI:</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7"/>
              <w:ind w:left="42"/>
              <w:rPr>
                <w:sz w:val="12"/>
              </w:rPr>
            </w:pPr>
            <w:r>
              <w:rPr>
                <w:w w:val="110"/>
                <w:sz w:val="12"/>
              </w:rPr>
              <w:t>SSI involving the deep tissues (ie, fascial and</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7"/>
              <w:ind w:left="42"/>
              <w:rPr>
                <w:sz w:val="12"/>
              </w:rPr>
            </w:pPr>
            <w:r>
              <w:rPr>
                <w:w w:val="115"/>
                <w:sz w:val="12"/>
              </w:rPr>
              <w:t>muscle layers), within 30 d of surgery (or 1 y if</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7"/>
              <w:ind w:left="42"/>
              <w:rPr>
                <w:sz w:val="12"/>
              </w:rPr>
            </w:pPr>
            <w:r>
              <w:rPr>
                <w:w w:val="115"/>
                <w:sz w:val="12"/>
              </w:rPr>
              <w:t>an implant is in place), and the infection</w:t>
            </w:r>
          </w:p>
        </w:tc>
      </w:tr>
      <w:tr>
        <w:trPr>
          <w:trHeight w:val="169"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3" w:lineRule="exact" w:before="17"/>
              <w:ind w:left="42"/>
              <w:rPr>
                <w:sz w:val="12"/>
              </w:rPr>
            </w:pPr>
            <w:r>
              <w:rPr>
                <w:w w:val="115"/>
                <w:sz w:val="12"/>
              </w:rPr>
              <w:t>appears to be related to the surgical procedure</w:t>
            </w:r>
          </w:p>
        </w:tc>
      </w:tr>
      <w:tr>
        <w:trPr>
          <w:trHeight w:val="171"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rPr>
                <w:rFonts w:ascii="Times New Roman"/>
                <w:sz w:val="10"/>
              </w:rPr>
            </w:pPr>
          </w:p>
        </w:tc>
        <w:tc>
          <w:tcPr>
            <w:tcW w:w="2907" w:type="dxa"/>
          </w:tcPr>
          <w:p>
            <w:pPr>
              <w:pStyle w:val="TableParagraph"/>
              <w:spacing w:line="134" w:lineRule="exact" w:before="18"/>
              <w:ind w:left="42"/>
              <w:rPr>
                <w:sz w:val="12"/>
              </w:rPr>
            </w:pPr>
            <w:r>
              <w:rPr>
                <w:w w:val="115"/>
                <w:sz w:val="12"/>
              </w:rPr>
              <w:t>and meets at least one of the speci</w:t>
            </w:r>
            <w:r>
              <w:rPr>
                <w:rFonts w:ascii="Times New Roman" w:hAnsi="Times New Roman"/>
                <w:w w:val="115"/>
                <w:sz w:val="12"/>
              </w:rPr>
              <w:t>ﬁ</w:t>
            </w:r>
            <w:r>
              <w:rPr>
                <w:w w:val="115"/>
                <w:sz w:val="12"/>
              </w:rPr>
              <w:t>ed criteria.</w:t>
            </w:r>
          </w:p>
        </w:tc>
      </w:tr>
      <w:tr>
        <w:trPr>
          <w:trHeight w:val="171" w:hRule="atLeast"/>
        </w:trPr>
        <w:tc>
          <w:tcPr>
            <w:tcW w:w="1464" w:type="dxa"/>
          </w:tcPr>
          <w:p>
            <w:pPr>
              <w:pStyle w:val="TableParagraph"/>
              <w:spacing w:line="133" w:lineRule="exact" w:before="18"/>
              <w:ind w:left="33"/>
              <w:rPr>
                <w:sz w:val="12"/>
              </w:rPr>
            </w:pPr>
            <w:r>
              <w:rPr>
                <w:w w:val="115"/>
                <w:sz w:val="12"/>
              </w:rPr>
              <w:t>Gamba et al. [</w:t>
            </w:r>
            <w:hyperlink w:history="true" w:anchor="_bookmark38">
              <w:r>
                <w:rPr>
                  <w:color w:val="007FAC"/>
                  <w:w w:val="115"/>
                  <w:sz w:val="12"/>
                </w:rPr>
                <w:t>27</w:t>
              </w:r>
            </w:hyperlink>
            <w:r>
              <w:rPr>
                <w:w w:val="115"/>
                <w:sz w:val="12"/>
              </w:rPr>
              <w:t>]</w:t>
            </w:r>
          </w:p>
        </w:tc>
        <w:tc>
          <w:tcPr>
            <w:tcW w:w="958" w:type="dxa"/>
          </w:tcPr>
          <w:p>
            <w:pPr>
              <w:pStyle w:val="TableParagraph"/>
              <w:spacing w:line="133" w:lineRule="exact" w:before="18"/>
              <w:ind w:left="60"/>
              <w:rPr>
                <w:sz w:val="12"/>
              </w:rPr>
            </w:pPr>
            <w:r>
              <w:rPr>
                <w:w w:val="125"/>
                <w:sz w:val="12"/>
              </w:rPr>
              <w:t>2019</w:t>
            </w:r>
          </w:p>
        </w:tc>
        <w:tc>
          <w:tcPr>
            <w:tcW w:w="1711" w:type="dxa"/>
          </w:tcPr>
          <w:p>
            <w:pPr>
              <w:pStyle w:val="TableParagraph"/>
              <w:spacing w:line="133" w:lineRule="exact" w:before="18"/>
              <w:ind w:left="593"/>
              <w:rPr>
                <w:sz w:val="12"/>
              </w:rPr>
            </w:pPr>
            <w:r>
              <w:rPr>
                <w:sz w:val="12"/>
              </w:rPr>
              <w:t>USA</w:t>
            </w:r>
          </w:p>
        </w:tc>
        <w:tc>
          <w:tcPr>
            <w:tcW w:w="1739" w:type="dxa"/>
          </w:tcPr>
          <w:p>
            <w:pPr>
              <w:pStyle w:val="TableParagraph"/>
              <w:spacing w:line="133" w:lineRule="exact" w:before="18"/>
              <w:ind w:left="374"/>
              <w:rPr>
                <w:sz w:val="12"/>
              </w:rPr>
            </w:pPr>
            <w:r>
              <w:rPr>
                <w:sz w:val="12"/>
              </w:rPr>
              <w:t>RCT</w:t>
            </w:r>
          </w:p>
        </w:tc>
        <w:tc>
          <w:tcPr>
            <w:tcW w:w="1526" w:type="dxa"/>
          </w:tcPr>
          <w:p>
            <w:pPr>
              <w:pStyle w:val="TableParagraph"/>
              <w:spacing w:line="133" w:lineRule="exact" w:before="18"/>
              <w:ind w:left="126"/>
              <w:rPr>
                <w:sz w:val="12"/>
              </w:rPr>
            </w:pPr>
            <w:r>
              <w:rPr>
                <w:w w:val="110"/>
                <w:sz w:val="12"/>
              </w:rPr>
              <w:t>Knee</w:t>
            </w:r>
          </w:p>
        </w:tc>
        <w:tc>
          <w:tcPr>
            <w:tcW w:w="1035" w:type="dxa"/>
          </w:tcPr>
          <w:p>
            <w:pPr>
              <w:pStyle w:val="TableParagraph"/>
              <w:spacing w:line="133" w:lineRule="exact" w:before="18"/>
              <w:ind w:right="548"/>
              <w:jc w:val="right"/>
              <w:rPr>
                <w:sz w:val="12"/>
              </w:rPr>
            </w:pPr>
            <w:r>
              <w:rPr>
                <w:w w:val="125"/>
                <w:sz w:val="12"/>
              </w:rPr>
              <w:t>85</w:t>
            </w:r>
          </w:p>
        </w:tc>
        <w:tc>
          <w:tcPr>
            <w:tcW w:w="1997" w:type="dxa"/>
          </w:tcPr>
          <w:p>
            <w:pPr>
              <w:pStyle w:val="TableParagraph"/>
              <w:spacing w:line="133" w:lineRule="exact" w:before="18"/>
              <w:ind w:left="547"/>
              <w:rPr>
                <w:sz w:val="12"/>
              </w:rPr>
            </w:pPr>
            <w:r>
              <w:rPr>
                <w:w w:val="110"/>
                <w:sz w:val="12"/>
              </w:rPr>
              <w:t>Barbed sutures vs</w:t>
            </w:r>
          </w:p>
        </w:tc>
        <w:tc>
          <w:tcPr>
            <w:tcW w:w="2907" w:type="dxa"/>
          </w:tcPr>
          <w:p>
            <w:pPr>
              <w:pStyle w:val="TableParagraph"/>
              <w:spacing w:line="133" w:lineRule="exact" w:before="18"/>
              <w:ind w:left="42"/>
              <w:rPr>
                <w:sz w:val="12"/>
              </w:rPr>
            </w:pPr>
            <w:r>
              <w:rPr>
                <w:w w:val="115"/>
                <w:sz w:val="12"/>
              </w:rPr>
              <w:t>Super</w:t>
            </w:r>
            <w:r>
              <w:rPr>
                <w:rFonts w:ascii="Times New Roman" w:hAnsi="Times New Roman"/>
                <w:w w:val="115"/>
                <w:sz w:val="12"/>
              </w:rPr>
              <w:t>ﬁ</w:t>
            </w:r>
            <w:r>
              <w:rPr>
                <w:w w:val="115"/>
                <w:sz w:val="12"/>
              </w:rPr>
              <w:t>cial</w:t>
            </w:r>
            <w:r>
              <w:rPr>
                <w:spacing w:val="-10"/>
                <w:w w:val="115"/>
                <w:sz w:val="12"/>
              </w:rPr>
              <w:t> </w:t>
            </w:r>
            <w:r>
              <w:rPr>
                <w:w w:val="115"/>
                <w:sz w:val="12"/>
              </w:rPr>
              <w:t>SSIs</w:t>
            </w:r>
            <w:r>
              <w:rPr>
                <w:spacing w:val="-9"/>
                <w:w w:val="115"/>
                <w:sz w:val="12"/>
              </w:rPr>
              <w:t> </w:t>
            </w:r>
            <w:r>
              <w:rPr>
                <w:w w:val="115"/>
                <w:sz w:val="12"/>
              </w:rPr>
              <w:t>were</w:t>
            </w:r>
            <w:r>
              <w:rPr>
                <w:spacing w:val="-10"/>
                <w:w w:val="115"/>
                <w:sz w:val="12"/>
              </w:rPr>
              <w:t> </w:t>
            </w:r>
            <w:r>
              <w:rPr>
                <w:w w:val="115"/>
                <w:sz w:val="12"/>
              </w:rPr>
              <w:t>de</w:t>
            </w:r>
            <w:r>
              <w:rPr>
                <w:rFonts w:ascii="Times New Roman" w:hAnsi="Times New Roman"/>
                <w:w w:val="115"/>
                <w:sz w:val="12"/>
              </w:rPr>
              <w:t>ﬁ</w:t>
            </w:r>
            <w:r>
              <w:rPr>
                <w:w w:val="115"/>
                <w:sz w:val="12"/>
              </w:rPr>
              <w:t>ned</w:t>
            </w:r>
            <w:r>
              <w:rPr>
                <w:spacing w:val="-10"/>
                <w:w w:val="115"/>
                <w:sz w:val="12"/>
              </w:rPr>
              <w:t> </w:t>
            </w:r>
            <w:r>
              <w:rPr>
                <w:w w:val="115"/>
                <w:sz w:val="12"/>
              </w:rPr>
              <w:t>based</w:t>
            </w:r>
            <w:r>
              <w:rPr>
                <w:spacing w:val="-9"/>
                <w:w w:val="115"/>
                <w:sz w:val="12"/>
              </w:rPr>
              <w:t> </w:t>
            </w:r>
            <w:r>
              <w:rPr>
                <w:w w:val="115"/>
                <w:sz w:val="12"/>
              </w:rPr>
              <w:t>on</w:t>
            </w:r>
            <w:r>
              <w:rPr>
                <w:spacing w:val="-10"/>
                <w:w w:val="115"/>
                <w:sz w:val="12"/>
              </w:rPr>
              <w:t> </w:t>
            </w:r>
            <w:r>
              <w:rPr>
                <w:w w:val="115"/>
                <w:sz w:val="12"/>
              </w:rPr>
              <w:t>the</w:t>
            </w:r>
            <w:r>
              <w:rPr>
                <w:spacing w:val="-10"/>
                <w:w w:val="115"/>
                <w:sz w:val="12"/>
              </w:rPr>
              <w:t> </w:t>
            </w:r>
            <w:r>
              <w:rPr>
                <w:w w:val="115"/>
                <w:sz w:val="12"/>
              </w:rPr>
              <w:t>CDC</w:t>
            </w:r>
          </w:p>
        </w:tc>
      </w:tr>
      <w:tr>
        <w:trPr>
          <w:trHeight w:val="172" w:hRule="atLeast"/>
        </w:trPr>
        <w:tc>
          <w:tcPr>
            <w:tcW w:w="1464" w:type="dxa"/>
          </w:tcPr>
          <w:p>
            <w:pPr>
              <w:pStyle w:val="TableParagraph"/>
              <w:rPr>
                <w:rFonts w:ascii="Times New Roman"/>
                <w:sz w:val="10"/>
              </w:rPr>
            </w:pPr>
          </w:p>
        </w:tc>
        <w:tc>
          <w:tcPr>
            <w:tcW w:w="958" w:type="dxa"/>
          </w:tcPr>
          <w:p>
            <w:pPr>
              <w:pStyle w:val="TableParagraph"/>
              <w:rPr>
                <w:rFonts w:ascii="Times New Roman"/>
                <w:sz w:val="10"/>
              </w:rPr>
            </w:pPr>
          </w:p>
        </w:tc>
        <w:tc>
          <w:tcPr>
            <w:tcW w:w="1711" w:type="dxa"/>
          </w:tcPr>
          <w:p>
            <w:pPr>
              <w:pStyle w:val="TableParagraph"/>
              <w:rPr>
                <w:rFonts w:ascii="Times New Roman"/>
                <w:sz w:val="10"/>
              </w:rPr>
            </w:pPr>
          </w:p>
        </w:tc>
        <w:tc>
          <w:tcPr>
            <w:tcW w:w="1739" w:type="dxa"/>
          </w:tcPr>
          <w:p>
            <w:pPr>
              <w:pStyle w:val="TableParagraph"/>
              <w:rPr>
                <w:rFonts w:ascii="Times New Roman"/>
                <w:sz w:val="10"/>
              </w:rPr>
            </w:pPr>
          </w:p>
        </w:tc>
        <w:tc>
          <w:tcPr>
            <w:tcW w:w="1526" w:type="dxa"/>
          </w:tcPr>
          <w:p>
            <w:pPr>
              <w:pStyle w:val="TableParagraph"/>
              <w:rPr>
                <w:rFonts w:ascii="Times New Roman"/>
                <w:sz w:val="10"/>
              </w:rPr>
            </w:pPr>
          </w:p>
        </w:tc>
        <w:tc>
          <w:tcPr>
            <w:tcW w:w="1035" w:type="dxa"/>
          </w:tcPr>
          <w:p>
            <w:pPr>
              <w:pStyle w:val="TableParagraph"/>
              <w:rPr>
                <w:rFonts w:ascii="Times New Roman"/>
                <w:sz w:val="10"/>
              </w:rPr>
            </w:pPr>
          </w:p>
        </w:tc>
        <w:tc>
          <w:tcPr>
            <w:tcW w:w="1997" w:type="dxa"/>
          </w:tcPr>
          <w:p>
            <w:pPr>
              <w:pStyle w:val="TableParagraph"/>
              <w:spacing w:line="134" w:lineRule="exact" w:before="18"/>
              <w:ind w:left="547"/>
              <w:rPr>
                <w:sz w:val="12"/>
              </w:rPr>
            </w:pPr>
            <w:r>
              <w:rPr>
                <w:w w:val="115"/>
                <w:sz w:val="12"/>
              </w:rPr>
              <w:t>traditional sutures</w:t>
            </w:r>
          </w:p>
        </w:tc>
        <w:tc>
          <w:tcPr>
            <w:tcW w:w="2907" w:type="dxa"/>
          </w:tcPr>
          <w:p>
            <w:pPr>
              <w:pStyle w:val="TableParagraph"/>
              <w:spacing w:line="134" w:lineRule="exact" w:before="18"/>
              <w:ind w:left="42"/>
              <w:rPr>
                <w:sz w:val="12"/>
              </w:rPr>
            </w:pPr>
            <w:r>
              <w:rPr>
                <w:w w:val="115"/>
                <w:sz w:val="12"/>
              </w:rPr>
              <w:t>de</w:t>
            </w:r>
            <w:r>
              <w:rPr>
                <w:rFonts w:ascii="Times New Roman" w:hAnsi="Times New Roman"/>
                <w:w w:val="115"/>
                <w:sz w:val="12"/>
              </w:rPr>
              <w:t>ﬁ</w:t>
            </w:r>
            <w:r>
              <w:rPr>
                <w:w w:val="115"/>
                <w:sz w:val="12"/>
              </w:rPr>
              <w:t>nition of for super</w:t>
            </w:r>
            <w:r>
              <w:rPr>
                <w:rFonts w:ascii="Times New Roman" w:hAnsi="Times New Roman"/>
                <w:w w:val="115"/>
                <w:sz w:val="12"/>
              </w:rPr>
              <w:t>ﬁ</w:t>
            </w:r>
            <w:r>
              <w:rPr>
                <w:w w:val="115"/>
                <w:sz w:val="12"/>
              </w:rPr>
              <w:t>cial incisional surgical</w:t>
            </w:r>
          </w:p>
        </w:tc>
      </w:tr>
      <w:tr>
        <w:trPr>
          <w:trHeight w:val="197" w:hRule="atLeast"/>
        </w:trPr>
        <w:tc>
          <w:tcPr>
            <w:tcW w:w="1464" w:type="dxa"/>
          </w:tcPr>
          <w:p>
            <w:pPr>
              <w:pStyle w:val="TableParagraph"/>
              <w:rPr>
                <w:rFonts w:ascii="Times New Roman"/>
                <w:sz w:val="12"/>
              </w:rPr>
            </w:pPr>
          </w:p>
        </w:tc>
        <w:tc>
          <w:tcPr>
            <w:tcW w:w="958" w:type="dxa"/>
          </w:tcPr>
          <w:p>
            <w:pPr>
              <w:pStyle w:val="TableParagraph"/>
              <w:rPr>
                <w:rFonts w:ascii="Times New Roman"/>
                <w:sz w:val="12"/>
              </w:rPr>
            </w:pPr>
          </w:p>
        </w:tc>
        <w:tc>
          <w:tcPr>
            <w:tcW w:w="1711" w:type="dxa"/>
          </w:tcPr>
          <w:p>
            <w:pPr>
              <w:pStyle w:val="TableParagraph"/>
              <w:rPr>
                <w:rFonts w:ascii="Times New Roman"/>
                <w:sz w:val="12"/>
              </w:rPr>
            </w:pPr>
          </w:p>
        </w:tc>
        <w:tc>
          <w:tcPr>
            <w:tcW w:w="1739" w:type="dxa"/>
          </w:tcPr>
          <w:p>
            <w:pPr>
              <w:pStyle w:val="TableParagraph"/>
              <w:rPr>
                <w:rFonts w:ascii="Times New Roman"/>
                <w:sz w:val="12"/>
              </w:rPr>
            </w:pPr>
          </w:p>
        </w:tc>
        <w:tc>
          <w:tcPr>
            <w:tcW w:w="1526" w:type="dxa"/>
          </w:tcPr>
          <w:p>
            <w:pPr>
              <w:pStyle w:val="TableParagraph"/>
              <w:rPr>
                <w:rFonts w:ascii="Times New Roman"/>
                <w:sz w:val="12"/>
              </w:rPr>
            </w:pPr>
          </w:p>
        </w:tc>
        <w:tc>
          <w:tcPr>
            <w:tcW w:w="1035" w:type="dxa"/>
          </w:tcPr>
          <w:p>
            <w:pPr>
              <w:pStyle w:val="TableParagraph"/>
              <w:rPr>
                <w:rFonts w:ascii="Times New Roman"/>
                <w:sz w:val="12"/>
              </w:rPr>
            </w:pPr>
          </w:p>
        </w:tc>
        <w:tc>
          <w:tcPr>
            <w:tcW w:w="1997" w:type="dxa"/>
          </w:tcPr>
          <w:p>
            <w:pPr>
              <w:pStyle w:val="TableParagraph"/>
              <w:rPr>
                <w:rFonts w:ascii="Times New Roman"/>
                <w:sz w:val="12"/>
              </w:rPr>
            </w:pPr>
          </w:p>
        </w:tc>
        <w:tc>
          <w:tcPr>
            <w:tcW w:w="2907" w:type="dxa"/>
          </w:tcPr>
          <w:p>
            <w:pPr>
              <w:pStyle w:val="TableParagraph"/>
              <w:spacing w:line="147" w:lineRule="exact" w:before="17"/>
              <w:ind w:left="42"/>
              <w:rPr>
                <w:sz w:val="12"/>
              </w:rPr>
            </w:pPr>
            <w:r>
              <w:rPr>
                <w:w w:val="115"/>
                <w:sz w:val="12"/>
              </w:rPr>
              <w:t>site infection.</w:t>
            </w:r>
          </w:p>
        </w:tc>
      </w:tr>
    </w:tbl>
    <w:p>
      <w:pPr>
        <w:spacing w:before="41"/>
        <w:ind w:left="0" w:right="233" w:firstLine="0"/>
        <w:jc w:val="right"/>
        <w:rPr>
          <w:sz w:val="12"/>
        </w:rPr>
      </w:pPr>
      <w:r>
        <w:rPr>
          <w:w w:val="120"/>
          <w:sz w:val="12"/>
        </w:rPr>
        <w:t>(</w:t>
      </w:r>
      <w:r>
        <w:rPr>
          <w:i/>
          <w:w w:val="120"/>
          <w:sz w:val="12"/>
        </w:rPr>
        <w:t>continued on next page</w:t>
      </w:r>
      <w:r>
        <w:rPr>
          <w:w w:val="120"/>
          <w:sz w:val="12"/>
        </w:rPr>
        <w:t>)</w:t>
      </w:r>
    </w:p>
    <w:p>
      <w:pPr>
        <w:spacing w:after="0"/>
        <w:jc w:val="right"/>
        <w:rPr>
          <w:sz w:val="12"/>
        </w:rPr>
        <w:sectPr>
          <w:headerReference w:type="default" r:id="rId30"/>
          <w:footerReference w:type="default" r:id="rId31"/>
          <w:pgSz w:w="15880" w:h="11910" w:orient="landscape"/>
          <w:pgMar w:header="0" w:footer="0" w:top="0" w:bottom="0" w:left="520" w:right="1220"/>
        </w:sectPr>
      </w:pPr>
    </w:p>
    <w:p>
      <w:pPr>
        <w:pStyle w:val="BodyText"/>
        <w:rPr>
          <w:sz w:val="20"/>
        </w:rPr>
      </w:pPr>
      <w:r>
        <w:rPr/>
        <w:pict>
          <v:group style="position:absolute;margin-left:767.619019pt;margin-top:32.816002pt;width:15.6pt;height:520.0500pt;mso-position-horizontal-relative:page;mso-position-vertical-relative:page;z-index:251697152" coordorigin="15352,656" coordsize="312,10401">
            <v:rect style="position:absolute;left:15352;top:656;width:312;height:10401" filled="true" fillcolor="#c1c3c5" stroked="false">
              <v:fill type="solid"/>
            </v:rect>
            <v:shape style="position:absolute;left:15408;top:4308;width:211;height:2589" coordorigin="15409,4308" coordsize="211,2589" path="m15475,6773l15475,6732,15454,6736,15433,6748,15416,6774,15409,6818,15410,6838,15419,6864,15438,6887,15443,6888,15443,6815,15446,6793,15455,6780,15465,6774,15475,6773xm15619,6813l15613,6773,15597,6750,15577,6738,15558,6736,15531,6741,15514,6755,15505,6776,15499,6799,15494,6821,15490,6835,15485,6847,15479,6854,15469,6857,15456,6853,15448,6843,15444,6830,15443,6815,15443,6888,15474,6897,15497,6893,15512,6881,15522,6864,15528,6845,15540,6796,15542,6787,15545,6775,15561,6775,15572,6778,15579,6786,15583,6797,15585,6809,15585,6881,15596,6874,15613,6851,15619,6813xm15585,6881l15585,6809,15581,6831,15573,6843,15563,6849,15554,6850,15554,6891,15575,6887,15585,6881xm15475,6587l15475,6547,15454,6550,15433,6562,15416,6588,15409,6632,15410,6652,15419,6678,15438,6701,15443,6703,15443,6629,15446,6607,15455,6594,15465,6588,15475,6587xm15619,6627l15613,6587,15597,6564,15577,6553,15558,6550,15531,6555,15514,6569,15505,6590,15499,6613,15494,6635,15490,6649,15485,6661,15479,6668,15469,6671,15456,6667,15448,6658,15444,6644,15443,6629,15443,6703,15474,6711,15497,6707,15512,6695,15522,6679,15528,6659,15540,6610,15542,6602,15545,6589,15561,6589,15572,6592,15579,6600,15583,6611,15585,6624,15585,6695,15596,6689,15613,6665,15619,6627xm15585,6695l15585,6624,15581,6645,15573,6657,15563,6663,15554,6665,15554,6705,15575,6701,15585,6695xm15614,6518l15614,6371,15414,6371,15414,6523,15449,6523,15449,6412,15501,6412,15501,6510,15536,6510,15536,6412,15578,6412,15578,6518,15614,6518xm15614,6272l15614,6171,15414,6171,15414,6212,15492,6212,15492,6324,15495,6323,15504,6315,15510,6304,15517,6317,15526,6325,15526,6212,15579,6212,15579,6330,15592,6324,15607,6304,15614,6272xm15492,6324l15492,6255,15490,6273,15483,6283,15472,6287,15454,6288,15440,6288,15430,6289,15421,6290,15414,6292,15414,6339,15419,6339,15422,6333,15429,6331,15440,6330,15459,6330,15481,6328,15492,6324xm15579,6330l15579,6289,15564,6293,15553,6293,15540,6291,15532,6285,15527,6275,15526,6261,15526,6325,15528,6327,15541,6333,15557,6335,15573,6333,15579,6330xm15614,6077l15614,5985,15414,5985,15414,6027,15486,6027,15486,6075,15493,6108,15511,6127,15520,6131,15520,6027,15579,6027,15579,6133,15597,6122,15609,6103,15614,6077xm15579,6133l15579,6060,15578,6077,15573,6088,15564,6095,15552,6097,15543,6097,15533,6093,15524,6084,15520,6066,15520,6131,15532,6136,15550,6139,15576,6135,15579,6133xm15614,5734l15614,5690,15414,5690,15414,5729,15556,5729,15556,5767,15614,5734xm15556,5767l15556,5730,15414,5811,15414,5853,15474,5853,15474,5814,15556,5767xm15614,5853l15614,5814,15474,5814,15474,5853,15614,5853xm15614,5655l15614,5613,15414,5613,15414,5655,15614,5655xm15614,5484l15614,5337,15414,5337,15414,5489,15449,5489,15449,5378,15501,5378,15501,5476,15536,5476,15536,5378,15578,5378,15578,5484,15614,5484xm15614,5210l15614,5169,15414,5169,15414,5310,15450,5310,15450,5210,15614,5210xm15619,5051l15613,5015,15593,4986,15560,4967,15513,4959,15468,4966,15435,4985,15415,5014,15409,5051,15414,5085,15429,5110,15445,5122,15445,5052,15450,5029,15465,5014,15487,5005,15513,5002,15548,5007,15569,5019,15580,5036,15583,5052,15583,5124,15595,5116,15612,5090,15619,5051xm15482,5138l15482,5096,15466,5090,15454,5081,15447,5068,15445,5052,15445,5122,15452,5128,15482,5138xm15583,5124l15583,5052,15579,5073,15570,5086,15559,5093,15548,5096,15548,5138,15572,5132,15583,5124xm15614,4932l15614,4890,15414,4890,15414,4932,15614,4932xm15578,4810l15578,4768,15414,4768,15414,4810,15578,4810xm15614,4870l15614,4707,15578,4707,15578,4870,15614,4870xm15614,4626l15614,4524,15414,4524,15414,4565,15492,4565,15492,4678,15495,4676,15504,4669,15510,4658,15517,4671,15526,4679,15526,4565,15579,4565,15579,4683,15592,4677,15607,4658,15614,4626xm15492,4678l15492,4609,15490,4627,15483,4636,15472,4640,15454,4641,15440,4641,15430,4642,15421,4644,15414,4646,15414,4692,15419,4692,15422,4687,15429,4684,15440,4683,15459,4683,15481,4681,15492,4678xm15579,4683l15579,4642,15564,4647,15553,4647,15540,4645,15532,4639,15527,4629,15526,4614,15526,4679,15528,4681,15541,4687,15557,4689,15573,4686,15579,4683xm15614,4428l15614,4380,15414,4308,15414,4352,15455,4366,15455,4484,15489,4472,15489,4378,15569,4403,15569,4444,15614,4428xm15455,4484l15455,4440,15414,4453,15414,4499,15455,4484xm15569,4444l15569,4404,15489,4429,15489,4472,15569,4444xe" filled="true" fillcolor="#ffffff" stroked="false">
              <v:path arrowok="t"/>
              <v:fill type="solid"/>
            </v:shape>
            <w10:wrap type="none"/>
          </v:group>
        </w:pict>
      </w:r>
      <w:r>
        <w:rPr/>
        <w:pict>
          <v:shape style="position:absolute;margin-left:738.212219pt;margin-top:31.82387pt;width:9.85pt;height:5.65pt;mso-position-horizontal-relative:page;mso-position-vertical-relative:page;z-index:251698176" type="#_x0000_t202" filled="false" stroked="false">
            <v:textbox inset="0,0,0,0" style="layout-flow:vertical">
              <w:txbxContent>
                <w:p>
                  <w:pPr>
                    <w:spacing w:before="29"/>
                    <w:ind w:left="20" w:right="0" w:firstLine="0"/>
                    <w:jc w:val="left"/>
                    <w:rPr>
                      <w:sz w:val="12"/>
                    </w:rPr>
                  </w:pPr>
                  <w:r>
                    <w:rPr>
                      <w:w w:val="121"/>
                      <w:sz w:val="12"/>
                    </w:rPr>
                    <w:t>6</w:t>
                  </w:r>
                </w:p>
              </w:txbxContent>
            </v:textbox>
            <w10:wrap type="none"/>
          </v:shape>
        </w:pict>
      </w:r>
      <w:r>
        <w:rPr/>
        <w:pict>
          <v:shape style="position:absolute;margin-left:738.346069pt;margin-top:208.877106pt;width:9.65pt;height:167.95pt;mso-position-horizontal-relative:page;mso-position-vertical-relative:page;z-index:251699200"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pict>
          <v:shape style="position:absolute;margin-left:2.48584pt;margin-top:118.893997pt;width:16.8pt;height:357.5pt;mso-position-horizontal-relative:page;mso-position-vertical-relative:page;z-index:251700224"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p>
      <w:pPr>
        <w:pStyle w:val="BodyText"/>
        <w:spacing w:before="8"/>
        <w:rPr>
          <w:sz w:val="21"/>
        </w:rPr>
      </w:pPr>
    </w:p>
    <w:p>
      <w:pPr>
        <w:spacing w:before="111"/>
        <w:ind w:left="511" w:right="0" w:firstLine="0"/>
        <w:jc w:val="left"/>
        <w:rPr>
          <w:sz w:val="12"/>
        </w:rPr>
      </w:pPr>
      <w:r>
        <w:rPr/>
        <w:pict>
          <v:shape style="position:absolute;margin-left:51.59pt;margin-top:16.500696pt;width:675.35pt;height:395.3pt;mso-position-horizontal-relative:page;mso-position-vertical-relative:paragraph;z-index:25170124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83"/>
                    <w:gridCol w:w="925"/>
                    <w:gridCol w:w="1840"/>
                    <w:gridCol w:w="1581"/>
                    <w:gridCol w:w="1507"/>
                    <w:gridCol w:w="1470"/>
                    <w:gridCol w:w="1580"/>
                    <w:gridCol w:w="3014"/>
                  </w:tblGrid>
                  <w:tr>
                    <w:trPr>
                      <w:trHeight w:val="248" w:hRule="atLeast"/>
                    </w:trPr>
                    <w:tc>
                      <w:tcPr>
                        <w:tcW w:w="1583" w:type="dxa"/>
                        <w:tcBorders>
                          <w:top w:val="single" w:sz="6" w:space="0" w:color="000000"/>
                          <w:bottom w:val="single" w:sz="6" w:space="0" w:color="000000"/>
                        </w:tcBorders>
                      </w:tcPr>
                      <w:p>
                        <w:pPr>
                          <w:pStyle w:val="TableParagraph"/>
                          <w:spacing w:before="56"/>
                          <w:ind w:left="120"/>
                          <w:rPr>
                            <w:sz w:val="12"/>
                          </w:rPr>
                        </w:pPr>
                        <w:r>
                          <w:rPr>
                            <w:w w:val="110"/>
                            <w:sz w:val="12"/>
                          </w:rPr>
                          <w:t>Author</w:t>
                        </w:r>
                      </w:p>
                    </w:tc>
                    <w:tc>
                      <w:tcPr>
                        <w:tcW w:w="925" w:type="dxa"/>
                        <w:tcBorders>
                          <w:top w:val="single" w:sz="6" w:space="0" w:color="000000"/>
                          <w:bottom w:val="single" w:sz="6" w:space="0" w:color="000000"/>
                        </w:tcBorders>
                      </w:tcPr>
                      <w:p>
                        <w:pPr>
                          <w:pStyle w:val="TableParagraph"/>
                          <w:spacing w:before="56"/>
                          <w:ind w:left="28"/>
                          <w:rPr>
                            <w:sz w:val="12"/>
                          </w:rPr>
                        </w:pPr>
                        <w:r>
                          <w:rPr>
                            <w:w w:val="110"/>
                            <w:sz w:val="12"/>
                          </w:rPr>
                          <w:t>Year</w:t>
                        </w:r>
                      </w:p>
                    </w:tc>
                    <w:tc>
                      <w:tcPr>
                        <w:tcW w:w="1840" w:type="dxa"/>
                        <w:tcBorders>
                          <w:top w:val="single" w:sz="6" w:space="0" w:color="000000"/>
                          <w:bottom w:val="single" w:sz="6" w:space="0" w:color="000000"/>
                        </w:tcBorders>
                      </w:tcPr>
                      <w:p>
                        <w:pPr>
                          <w:pStyle w:val="TableParagraph"/>
                          <w:spacing w:before="56"/>
                          <w:ind w:left="594"/>
                          <w:rPr>
                            <w:sz w:val="12"/>
                          </w:rPr>
                        </w:pPr>
                        <w:r>
                          <w:rPr>
                            <w:w w:val="110"/>
                            <w:sz w:val="12"/>
                          </w:rPr>
                          <w:t>Region</w:t>
                        </w:r>
                      </w:p>
                    </w:tc>
                    <w:tc>
                      <w:tcPr>
                        <w:tcW w:w="1581" w:type="dxa"/>
                        <w:tcBorders>
                          <w:top w:val="single" w:sz="6" w:space="0" w:color="000000"/>
                          <w:bottom w:val="single" w:sz="6" w:space="0" w:color="000000"/>
                        </w:tcBorders>
                      </w:tcPr>
                      <w:p>
                        <w:pPr>
                          <w:pStyle w:val="TableParagraph"/>
                          <w:spacing w:before="56"/>
                          <w:ind w:left="246"/>
                          <w:rPr>
                            <w:sz w:val="12"/>
                          </w:rPr>
                        </w:pPr>
                        <w:r>
                          <w:rPr>
                            <w:w w:val="110"/>
                            <w:sz w:val="12"/>
                          </w:rPr>
                          <w:t>Study design</w:t>
                        </w:r>
                      </w:p>
                    </w:tc>
                    <w:tc>
                      <w:tcPr>
                        <w:tcW w:w="1507" w:type="dxa"/>
                        <w:tcBorders>
                          <w:top w:val="single" w:sz="6" w:space="0" w:color="000000"/>
                          <w:bottom w:val="single" w:sz="6" w:space="0" w:color="000000"/>
                        </w:tcBorders>
                      </w:tcPr>
                      <w:p>
                        <w:pPr>
                          <w:pStyle w:val="TableParagraph"/>
                          <w:spacing w:before="56"/>
                          <w:ind w:left="156"/>
                          <w:rPr>
                            <w:sz w:val="12"/>
                          </w:rPr>
                        </w:pPr>
                        <w:r>
                          <w:rPr>
                            <w:w w:val="110"/>
                            <w:sz w:val="12"/>
                          </w:rPr>
                          <w:t>Surgery type</w:t>
                        </w:r>
                      </w:p>
                    </w:tc>
                    <w:tc>
                      <w:tcPr>
                        <w:tcW w:w="1470" w:type="dxa"/>
                        <w:tcBorders>
                          <w:top w:val="single" w:sz="6" w:space="0" w:color="000000"/>
                          <w:bottom w:val="single" w:sz="6" w:space="0" w:color="000000"/>
                        </w:tcBorders>
                      </w:tcPr>
                      <w:p>
                        <w:pPr>
                          <w:pStyle w:val="TableParagraph"/>
                          <w:spacing w:before="56"/>
                          <w:ind w:left="139"/>
                          <w:rPr>
                            <w:sz w:val="12"/>
                          </w:rPr>
                        </w:pPr>
                        <w:r>
                          <w:rPr>
                            <w:w w:val="110"/>
                            <w:sz w:val="12"/>
                          </w:rPr>
                          <w:t>Overall sample size</w:t>
                        </w:r>
                      </w:p>
                    </w:tc>
                    <w:tc>
                      <w:tcPr>
                        <w:tcW w:w="1580" w:type="dxa"/>
                        <w:tcBorders>
                          <w:top w:val="single" w:sz="6" w:space="0" w:color="000000"/>
                          <w:bottom w:val="single" w:sz="6" w:space="0" w:color="000000"/>
                        </w:tcBorders>
                      </w:tcPr>
                      <w:p>
                        <w:pPr>
                          <w:pStyle w:val="TableParagraph"/>
                          <w:spacing w:before="56"/>
                          <w:ind w:left="160"/>
                          <w:rPr>
                            <w:sz w:val="12"/>
                          </w:rPr>
                        </w:pPr>
                        <w:r>
                          <w:rPr>
                            <w:w w:val="110"/>
                            <w:sz w:val="12"/>
                          </w:rPr>
                          <w:t>Main comparison</w:t>
                        </w:r>
                      </w:p>
                    </w:tc>
                    <w:tc>
                      <w:tcPr>
                        <w:tcW w:w="3014" w:type="dxa"/>
                        <w:tcBorders>
                          <w:top w:val="single" w:sz="6" w:space="0" w:color="000000"/>
                          <w:bottom w:val="single" w:sz="6" w:space="0" w:color="000000"/>
                        </w:tcBorders>
                      </w:tcPr>
                      <w:p>
                        <w:pPr>
                          <w:pStyle w:val="TableParagraph"/>
                          <w:spacing w:before="56"/>
                          <w:ind w:left="72"/>
                          <w:rPr>
                            <w:sz w:val="12"/>
                          </w:rPr>
                        </w:pPr>
                        <w:r>
                          <w:rPr>
                            <w:w w:val="115"/>
                            <w:sz w:val="12"/>
                          </w:rPr>
                          <w:t>Infection de</w:t>
                        </w:r>
                        <w:r>
                          <w:rPr>
                            <w:rFonts w:ascii="Times New Roman" w:hAnsi="Times New Roman"/>
                            <w:w w:val="115"/>
                            <w:sz w:val="12"/>
                          </w:rPr>
                          <w:t>ﬁ</w:t>
                        </w:r>
                        <w:r>
                          <w:rPr>
                            <w:w w:val="115"/>
                            <w:sz w:val="12"/>
                          </w:rPr>
                          <w:t>nitions</w:t>
                        </w:r>
                      </w:p>
                    </w:tc>
                  </w:tr>
                  <w:tr>
                    <w:trPr>
                      <w:trHeight w:val="210" w:hRule="atLeast"/>
                    </w:trPr>
                    <w:tc>
                      <w:tcPr>
                        <w:tcW w:w="1583" w:type="dxa"/>
                        <w:tcBorders>
                          <w:top w:val="single" w:sz="6" w:space="0" w:color="000000"/>
                        </w:tcBorders>
                      </w:tcPr>
                      <w:p>
                        <w:pPr>
                          <w:pStyle w:val="TableParagraph"/>
                          <w:spacing w:line="134" w:lineRule="exact" w:before="56"/>
                          <w:ind w:left="120"/>
                          <w:rPr>
                            <w:sz w:val="12"/>
                          </w:rPr>
                        </w:pPr>
                        <w:r>
                          <w:rPr>
                            <w:w w:val="110"/>
                            <w:sz w:val="12"/>
                          </w:rPr>
                          <w:t>Sakdinakiattikoon and</w:t>
                        </w:r>
                      </w:p>
                    </w:tc>
                    <w:tc>
                      <w:tcPr>
                        <w:tcW w:w="925" w:type="dxa"/>
                        <w:tcBorders>
                          <w:top w:val="single" w:sz="6" w:space="0" w:color="000000"/>
                        </w:tcBorders>
                      </w:tcPr>
                      <w:p>
                        <w:pPr>
                          <w:pStyle w:val="TableParagraph"/>
                          <w:spacing w:line="134" w:lineRule="exact" w:before="56"/>
                          <w:ind w:left="28"/>
                          <w:rPr>
                            <w:sz w:val="12"/>
                          </w:rPr>
                        </w:pPr>
                        <w:r>
                          <w:rPr>
                            <w:w w:val="125"/>
                            <w:sz w:val="12"/>
                          </w:rPr>
                          <w:t>2019</w:t>
                        </w:r>
                      </w:p>
                    </w:tc>
                    <w:tc>
                      <w:tcPr>
                        <w:tcW w:w="1840" w:type="dxa"/>
                        <w:tcBorders>
                          <w:top w:val="single" w:sz="6" w:space="0" w:color="000000"/>
                        </w:tcBorders>
                      </w:tcPr>
                      <w:p>
                        <w:pPr>
                          <w:pStyle w:val="TableParagraph"/>
                          <w:spacing w:line="134" w:lineRule="exact" w:before="56"/>
                          <w:ind w:left="594"/>
                          <w:rPr>
                            <w:sz w:val="12"/>
                          </w:rPr>
                        </w:pPr>
                        <w:r>
                          <w:rPr>
                            <w:w w:val="110"/>
                            <w:sz w:val="12"/>
                          </w:rPr>
                          <w:t>Thailand</w:t>
                        </w:r>
                      </w:p>
                    </w:tc>
                    <w:tc>
                      <w:tcPr>
                        <w:tcW w:w="1581" w:type="dxa"/>
                        <w:tcBorders>
                          <w:top w:val="single" w:sz="6" w:space="0" w:color="000000"/>
                        </w:tcBorders>
                      </w:tcPr>
                      <w:p>
                        <w:pPr>
                          <w:pStyle w:val="TableParagraph"/>
                          <w:spacing w:line="134" w:lineRule="exact" w:before="56"/>
                          <w:ind w:left="246"/>
                          <w:rPr>
                            <w:sz w:val="12"/>
                          </w:rPr>
                        </w:pPr>
                        <w:r>
                          <w:rPr>
                            <w:sz w:val="12"/>
                          </w:rPr>
                          <w:t>RCT</w:t>
                        </w:r>
                      </w:p>
                    </w:tc>
                    <w:tc>
                      <w:tcPr>
                        <w:tcW w:w="1507" w:type="dxa"/>
                        <w:tcBorders>
                          <w:top w:val="single" w:sz="6" w:space="0" w:color="000000"/>
                        </w:tcBorders>
                      </w:tcPr>
                      <w:p>
                        <w:pPr>
                          <w:pStyle w:val="TableParagraph"/>
                          <w:spacing w:line="134" w:lineRule="exact" w:before="56"/>
                          <w:ind w:left="156"/>
                          <w:rPr>
                            <w:sz w:val="12"/>
                          </w:rPr>
                        </w:pPr>
                        <w:r>
                          <w:rPr>
                            <w:w w:val="110"/>
                            <w:sz w:val="12"/>
                          </w:rPr>
                          <w:t>Knee</w:t>
                        </w:r>
                      </w:p>
                    </w:tc>
                    <w:tc>
                      <w:tcPr>
                        <w:tcW w:w="1470" w:type="dxa"/>
                        <w:tcBorders>
                          <w:top w:val="single" w:sz="6" w:space="0" w:color="000000"/>
                        </w:tcBorders>
                      </w:tcPr>
                      <w:p>
                        <w:pPr>
                          <w:pStyle w:val="TableParagraph"/>
                          <w:spacing w:line="134" w:lineRule="exact" w:before="56"/>
                          <w:ind w:left="381"/>
                          <w:rPr>
                            <w:sz w:val="12"/>
                          </w:rPr>
                        </w:pPr>
                        <w:r>
                          <w:rPr>
                            <w:w w:val="125"/>
                            <w:sz w:val="12"/>
                          </w:rPr>
                          <w:t>60</w:t>
                        </w:r>
                      </w:p>
                    </w:tc>
                    <w:tc>
                      <w:tcPr>
                        <w:tcW w:w="1580" w:type="dxa"/>
                        <w:tcBorders>
                          <w:top w:val="single" w:sz="6" w:space="0" w:color="000000"/>
                        </w:tcBorders>
                      </w:tcPr>
                      <w:p>
                        <w:pPr>
                          <w:pStyle w:val="TableParagraph"/>
                          <w:spacing w:line="134" w:lineRule="exact" w:before="56"/>
                          <w:ind w:left="161"/>
                          <w:rPr>
                            <w:sz w:val="12"/>
                          </w:rPr>
                        </w:pPr>
                        <w:r>
                          <w:rPr>
                            <w:w w:val="110"/>
                            <w:sz w:val="12"/>
                          </w:rPr>
                          <w:t>Barbed sutures vs</w:t>
                        </w:r>
                      </w:p>
                    </w:tc>
                    <w:tc>
                      <w:tcPr>
                        <w:tcW w:w="3014" w:type="dxa"/>
                        <w:tcBorders>
                          <w:top w:val="single" w:sz="6" w:space="0" w:color="000000"/>
                        </w:tcBorders>
                      </w:tcPr>
                      <w:p>
                        <w:pPr>
                          <w:pStyle w:val="TableParagraph"/>
                          <w:spacing w:line="134" w:lineRule="exact" w:before="56"/>
                          <w:ind w:left="73"/>
                          <w:rPr>
                            <w:sz w:val="12"/>
                          </w:rPr>
                        </w:pPr>
                        <w:r>
                          <w:rPr>
                            <w:w w:val="115"/>
                            <w:sz w:val="12"/>
                          </w:rPr>
                          <w:t>De</w:t>
                        </w:r>
                        <w:r>
                          <w:rPr>
                            <w:rFonts w:ascii="Times New Roman" w:hAnsi="Times New Roman"/>
                            <w:w w:val="115"/>
                            <w:sz w:val="12"/>
                          </w:rPr>
                          <w:t>ﬁ</w:t>
                        </w:r>
                        <w:r>
                          <w:rPr>
                            <w:w w:val="115"/>
                            <w:sz w:val="12"/>
                          </w:rPr>
                          <w:t>nition not reported.</w:t>
                        </w:r>
                      </w:p>
                    </w:tc>
                  </w:tr>
                  <w:tr>
                    <w:trPr>
                      <w:trHeight w:val="169" w:hRule="atLeast"/>
                    </w:trPr>
                    <w:tc>
                      <w:tcPr>
                        <w:tcW w:w="1583" w:type="dxa"/>
                      </w:tcPr>
                      <w:p>
                        <w:pPr>
                          <w:pStyle w:val="TableParagraph"/>
                          <w:spacing w:line="133" w:lineRule="exact" w:before="17"/>
                          <w:ind w:left="278"/>
                          <w:rPr>
                            <w:sz w:val="12"/>
                          </w:rPr>
                        </w:pPr>
                        <w:r>
                          <w:rPr>
                            <w:w w:val="115"/>
                            <w:sz w:val="12"/>
                          </w:rPr>
                          <w:t>Tanavalee [</w:t>
                        </w:r>
                        <w:hyperlink w:history="true" w:anchor="_bookmark40">
                          <w:r>
                            <w:rPr>
                              <w:color w:val="007FAC"/>
                              <w:w w:val="115"/>
                              <w:sz w:val="12"/>
                            </w:rPr>
                            <w:t>29</w:t>
                          </w:r>
                        </w:hyperlink>
                        <w:r>
                          <w:rPr>
                            <w:w w:val="115"/>
                            <w:sz w:val="12"/>
                          </w:rPr>
                          <w:t>]</w:t>
                        </w: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3" w:lineRule="exact" w:before="17"/>
                          <w:ind w:left="161"/>
                          <w:rPr>
                            <w:sz w:val="12"/>
                          </w:rPr>
                        </w:pPr>
                        <w:r>
                          <w:rPr>
                            <w:w w:val="115"/>
                            <w:sz w:val="12"/>
                          </w:rPr>
                          <w:t>traditional sutures</w:t>
                        </w:r>
                      </w:p>
                    </w:tc>
                    <w:tc>
                      <w:tcPr>
                        <w:tcW w:w="3014" w:type="dxa"/>
                      </w:tcPr>
                      <w:p>
                        <w:pPr>
                          <w:pStyle w:val="TableParagraph"/>
                          <w:rPr>
                            <w:rFonts w:ascii="Times New Roman"/>
                            <w:sz w:val="10"/>
                          </w:rPr>
                        </w:pPr>
                      </w:p>
                    </w:tc>
                  </w:tr>
                  <w:tr>
                    <w:trPr>
                      <w:trHeight w:val="303" w:hRule="atLeast"/>
                    </w:trPr>
                    <w:tc>
                      <w:tcPr>
                        <w:tcW w:w="1583" w:type="dxa"/>
                      </w:tcPr>
                      <w:p>
                        <w:pPr>
                          <w:pStyle w:val="TableParagraph"/>
                          <w:spacing w:before="18"/>
                          <w:ind w:left="120"/>
                          <w:rPr>
                            <w:sz w:val="12"/>
                          </w:rPr>
                        </w:pPr>
                        <w:r>
                          <w:rPr>
                            <w:w w:val="115"/>
                            <w:sz w:val="12"/>
                          </w:rPr>
                          <w:t>Sundaram et al. [</w:t>
                        </w:r>
                        <w:hyperlink w:history="true" w:anchor="_bookmark41">
                          <w:r>
                            <w:rPr>
                              <w:color w:val="007FAC"/>
                              <w:w w:val="115"/>
                              <w:sz w:val="12"/>
                            </w:rPr>
                            <w:t>30</w:t>
                          </w:r>
                        </w:hyperlink>
                        <w:r>
                          <w:rPr>
                            <w:w w:val="115"/>
                            <w:sz w:val="12"/>
                          </w:rPr>
                          <w:t>,</w:t>
                        </w:r>
                        <w:hyperlink w:history="true" w:anchor="_bookmark73">
                          <w:r>
                            <w:rPr>
                              <w:color w:val="007FAC"/>
                              <w:w w:val="115"/>
                              <w:sz w:val="12"/>
                            </w:rPr>
                            <w:t>67</w:t>
                          </w:r>
                        </w:hyperlink>
                        <w:r>
                          <w:rPr>
                            <w:w w:val="115"/>
                            <w:sz w:val="12"/>
                          </w:rPr>
                          <w:t>]</w:t>
                        </w:r>
                      </w:p>
                    </w:tc>
                    <w:tc>
                      <w:tcPr>
                        <w:tcW w:w="925" w:type="dxa"/>
                      </w:tcPr>
                      <w:p>
                        <w:pPr>
                          <w:pStyle w:val="TableParagraph"/>
                          <w:spacing w:before="18"/>
                          <w:ind w:left="28"/>
                          <w:rPr>
                            <w:sz w:val="12"/>
                          </w:rPr>
                        </w:pPr>
                        <w:r>
                          <w:rPr>
                            <w:w w:val="125"/>
                            <w:sz w:val="12"/>
                          </w:rPr>
                          <w:t>2019</w:t>
                        </w:r>
                      </w:p>
                    </w:tc>
                    <w:tc>
                      <w:tcPr>
                        <w:tcW w:w="1840" w:type="dxa"/>
                      </w:tcPr>
                      <w:p>
                        <w:pPr>
                          <w:pStyle w:val="TableParagraph"/>
                          <w:spacing w:before="18"/>
                          <w:ind w:left="594"/>
                          <w:rPr>
                            <w:sz w:val="12"/>
                          </w:rPr>
                        </w:pPr>
                        <w:r>
                          <w:rPr>
                            <w:sz w:val="12"/>
                          </w:rPr>
                          <w:t>USA</w:t>
                        </w:r>
                      </w:p>
                    </w:tc>
                    <w:tc>
                      <w:tcPr>
                        <w:tcW w:w="1581" w:type="dxa"/>
                      </w:tcPr>
                      <w:p>
                        <w:pPr>
                          <w:pStyle w:val="TableParagraph"/>
                          <w:spacing w:before="18"/>
                          <w:ind w:left="246"/>
                          <w:rPr>
                            <w:sz w:val="12"/>
                          </w:rPr>
                        </w:pPr>
                        <w:r>
                          <w:rPr>
                            <w:sz w:val="12"/>
                          </w:rPr>
                          <w:t>RCT</w:t>
                        </w:r>
                      </w:p>
                    </w:tc>
                    <w:tc>
                      <w:tcPr>
                        <w:tcW w:w="1507" w:type="dxa"/>
                      </w:tcPr>
                      <w:p>
                        <w:pPr>
                          <w:pStyle w:val="TableParagraph"/>
                          <w:spacing w:before="18"/>
                          <w:ind w:left="156"/>
                          <w:rPr>
                            <w:sz w:val="12"/>
                          </w:rPr>
                        </w:pPr>
                        <w:r>
                          <w:rPr>
                            <w:w w:val="110"/>
                            <w:sz w:val="12"/>
                          </w:rPr>
                          <w:t>Knee</w:t>
                        </w:r>
                      </w:p>
                    </w:tc>
                    <w:tc>
                      <w:tcPr>
                        <w:tcW w:w="1470" w:type="dxa"/>
                      </w:tcPr>
                      <w:p>
                        <w:pPr>
                          <w:pStyle w:val="TableParagraph"/>
                          <w:spacing w:before="18"/>
                          <w:ind w:left="381"/>
                          <w:rPr>
                            <w:sz w:val="12"/>
                          </w:rPr>
                        </w:pPr>
                        <w:r>
                          <w:rPr>
                            <w:w w:val="125"/>
                            <w:sz w:val="12"/>
                          </w:rPr>
                          <w:t>54</w:t>
                        </w:r>
                      </w:p>
                    </w:tc>
                    <w:tc>
                      <w:tcPr>
                        <w:tcW w:w="1580" w:type="dxa"/>
                      </w:tcPr>
                      <w:p>
                        <w:pPr>
                          <w:pStyle w:val="TableParagraph"/>
                          <w:spacing w:before="12"/>
                          <w:ind w:left="161"/>
                          <w:rPr>
                            <w:sz w:val="12"/>
                          </w:rPr>
                        </w:pPr>
                        <w:r>
                          <w:rPr>
                            <w:w w:val="115"/>
                            <w:sz w:val="12"/>
                          </w:rPr>
                          <w:t>TSA </w:t>
                        </w:r>
                        <w:r>
                          <w:rPr>
                            <w:rFonts w:ascii="Century Gothic" w:hAnsi="Century Gothic"/>
                            <w:w w:val="115"/>
                            <w:sz w:val="12"/>
                          </w:rPr>
                          <w:t>þ </w:t>
                        </w:r>
                        <w:r>
                          <w:rPr>
                            <w:w w:val="115"/>
                            <w:sz w:val="12"/>
                          </w:rPr>
                          <w:t>polyester mesh</w:t>
                        </w:r>
                      </w:p>
                      <w:p>
                        <w:pPr>
                          <w:pStyle w:val="TableParagraph"/>
                          <w:spacing w:line="94" w:lineRule="exact" w:before="23"/>
                          <w:ind w:left="161"/>
                          <w:rPr>
                            <w:sz w:val="12"/>
                          </w:rPr>
                        </w:pPr>
                        <w:r>
                          <w:rPr>
                            <w:w w:val="110"/>
                            <w:sz w:val="12"/>
                          </w:rPr>
                          <w:t>vs staples</w:t>
                        </w:r>
                      </w:p>
                    </w:tc>
                    <w:tc>
                      <w:tcPr>
                        <w:tcW w:w="3014" w:type="dxa"/>
                      </w:tcPr>
                      <w:p>
                        <w:pPr>
                          <w:pStyle w:val="TableParagraph"/>
                          <w:spacing w:before="18"/>
                          <w:ind w:left="73"/>
                          <w:rPr>
                            <w:sz w:val="12"/>
                          </w:rPr>
                        </w:pPr>
                        <w:r>
                          <w:rPr>
                            <w:w w:val="115"/>
                            <w:sz w:val="12"/>
                          </w:rPr>
                          <w:t>Super</w:t>
                        </w:r>
                        <w:r>
                          <w:rPr>
                            <w:rFonts w:ascii="Times New Roman" w:hAnsi="Times New Roman"/>
                            <w:w w:val="115"/>
                            <w:sz w:val="12"/>
                          </w:rPr>
                          <w:t>ﬁ</w:t>
                        </w:r>
                        <w:r>
                          <w:rPr>
                            <w:w w:val="115"/>
                            <w:sz w:val="12"/>
                          </w:rPr>
                          <w:t>cial SSIs were de</w:t>
                        </w:r>
                        <w:r>
                          <w:rPr>
                            <w:rFonts w:ascii="Times New Roman" w:hAnsi="Times New Roman"/>
                            <w:w w:val="115"/>
                            <w:sz w:val="12"/>
                          </w:rPr>
                          <w:t>ﬁ</w:t>
                        </w:r>
                        <w:r>
                          <w:rPr>
                            <w:w w:val="115"/>
                            <w:sz w:val="12"/>
                          </w:rPr>
                          <w:t>ned according to</w:t>
                        </w:r>
                      </w:p>
                      <w:p>
                        <w:pPr>
                          <w:pStyle w:val="TableParagraph"/>
                          <w:spacing w:line="94" w:lineRule="exact" w:before="22"/>
                          <w:ind w:left="73"/>
                          <w:rPr>
                            <w:sz w:val="12"/>
                          </w:rPr>
                        </w:pPr>
                        <w:r>
                          <w:rPr>
                            <w:w w:val="115"/>
                            <w:sz w:val="12"/>
                          </w:rPr>
                          <w:t>literature (Healy 2013 and Deirmengian 2014)</w:t>
                        </w:r>
                      </w:p>
                    </w:tc>
                  </w:tr>
                  <w:tr>
                    <w:trPr>
                      <w:trHeight w:val="212" w:hRule="atLeast"/>
                    </w:trPr>
                    <w:tc>
                      <w:tcPr>
                        <w:tcW w:w="1583" w:type="dxa"/>
                      </w:tcPr>
                      <w:p>
                        <w:pPr>
                          <w:pStyle w:val="TableParagraph"/>
                          <w:spacing w:line="134" w:lineRule="exact" w:before="58"/>
                          <w:ind w:left="120"/>
                          <w:rPr>
                            <w:sz w:val="12"/>
                          </w:rPr>
                        </w:pPr>
                        <w:r>
                          <w:rPr>
                            <w:w w:val="115"/>
                            <w:sz w:val="12"/>
                          </w:rPr>
                          <w:t>Yuenyongviwat et al.</w:t>
                        </w:r>
                      </w:p>
                    </w:tc>
                    <w:tc>
                      <w:tcPr>
                        <w:tcW w:w="925" w:type="dxa"/>
                      </w:tcPr>
                      <w:p>
                        <w:pPr>
                          <w:pStyle w:val="TableParagraph"/>
                          <w:spacing w:line="134" w:lineRule="exact" w:before="58"/>
                          <w:ind w:left="28"/>
                          <w:rPr>
                            <w:sz w:val="12"/>
                          </w:rPr>
                        </w:pPr>
                        <w:r>
                          <w:rPr>
                            <w:w w:val="125"/>
                            <w:sz w:val="12"/>
                          </w:rPr>
                          <w:t>2019</w:t>
                        </w:r>
                      </w:p>
                    </w:tc>
                    <w:tc>
                      <w:tcPr>
                        <w:tcW w:w="1840" w:type="dxa"/>
                      </w:tcPr>
                      <w:p>
                        <w:pPr>
                          <w:pStyle w:val="TableParagraph"/>
                          <w:spacing w:line="134" w:lineRule="exact" w:before="58"/>
                          <w:ind w:left="594"/>
                          <w:rPr>
                            <w:sz w:val="12"/>
                          </w:rPr>
                        </w:pPr>
                        <w:r>
                          <w:rPr>
                            <w:w w:val="110"/>
                            <w:sz w:val="12"/>
                          </w:rPr>
                          <w:t>Thailand</w:t>
                        </w:r>
                      </w:p>
                    </w:tc>
                    <w:tc>
                      <w:tcPr>
                        <w:tcW w:w="1581" w:type="dxa"/>
                      </w:tcPr>
                      <w:p>
                        <w:pPr>
                          <w:pStyle w:val="TableParagraph"/>
                          <w:spacing w:line="134" w:lineRule="exact" w:before="58"/>
                          <w:ind w:left="246"/>
                          <w:rPr>
                            <w:sz w:val="12"/>
                          </w:rPr>
                        </w:pPr>
                        <w:r>
                          <w:rPr>
                            <w:w w:val="115"/>
                            <w:sz w:val="12"/>
                          </w:rPr>
                          <w:t>Observational (case</w:t>
                        </w:r>
                      </w:p>
                    </w:tc>
                    <w:tc>
                      <w:tcPr>
                        <w:tcW w:w="1507" w:type="dxa"/>
                      </w:tcPr>
                      <w:p>
                        <w:pPr>
                          <w:pStyle w:val="TableParagraph"/>
                          <w:spacing w:line="134" w:lineRule="exact" w:before="58"/>
                          <w:ind w:left="156"/>
                          <w:rPr>
                            <w:sz w:val="12"/>
                          </w:rPr>
                        </w:pPr>
                        <w:r>
                          <w:rPr>
                            <w:w w:val="110"/>
                            <w:sz w:val="12"/>
                          </w:rPr>
                          <w:t>Knee</w:t>
                        </w:r>
                      </w:p>
                    </w:tc>
                    <w:tc>
                      <w:tcPr>
                        <w:tcW w:w="1470" w:type="dxa"/>
                      </w:tcPr>
                      <w:p>
                        <w:pPr>
                          <w:pStyle w:val="TableParagraph"/>
                          <w:spacing w:line="134" w:lineRule="exact" w:before="58"/>
                          <w:ind w:left="305"/>
                          <w:rPr>
                            <w:sz w:val="12"/>
                          </w:rPr>
                        </w:pPr>
                        <w:r>
                          <w:rPr>
                            <w:w w:val="125"/>
                            <w:sz w:val="12"/>
                          </w:rPr>
                          <w:t>288</w:t>
                        </w:r>
                      </w:p>
                    </w:tc>
                    <w:tc>
                      <w:tcPr>
                        <w:tcW w:w="1580" w:type="dxa"/>
                      </w:tcPr>
                      <w:p>
                        <w:pPr>
                          <w:pStyle w:val="TableParagraph"/>
                          <w:spacing w:line="134" w:lineRule="exact" w:before="58"/>
                          <w:ind w:left="161"/>
                          <w:rPr>
                            <w:sz w:val="12"/>
                          </w:rPr>
                        </w:pPr>
                        <w:r>
                          <w:rPr>
                            <w:w w:val="110"/>
                            <w:sz w:val="12"/>
                          </w:rPr>
                          <w:t>Traditional sutures vs</w:t>
                        </w:r>
                      </w:p>
                    </w:tc>
                    <w:tc>
                      <w:tcPr>
                        <w:tcW w:w="3014" w:type="dxa"/>
                      </w:tcPr>
                      <w:p>
                        <w:pPr>
                          <w:pStyle w:val="TableParagraph"/>
                          <w:spacing w:line="134" w:lineRule="exact" w:before="58"/>
                          <w:ind w:left="73"/>
                          <w:rPr>
                            <w:sz w:val="12"/>
                          </w:rPr>
                        </w:pPr>
                        <w:r>
                          <w:rPr>
                            <w:w w:val="115"/>
                            <w:sz w:val="12"/>
                          </w:rPr>
                          <w:t>De</w:t>
                        </w:r>
                        <w:r>
                          <w:rPr>
                            <w:rFonts w:ascii="Times New Roman" w:hAnsi="Times New Roman"/>
                            <w:w w:val="115"/>
                            <w:sz w:val="12"/>
                          </w:rPr>
                          <w:t>ﬁ</w:t>
                        </w:r>
                        <w:r>
                          <w:rPr>
                            <w:w w:val="115"/>
                            <w:sz w:val="12"/>
                          </w:rPr>
                          <w:t>nition not reported.</w:t>
                        </w:r>
                      </w:p>
                    </w:tc>
                  </w:tr>
                  <w:tr>
                    <w:trPr>
                      <w:trHeight w:val="169" w:hRule="atLeast"/>
                    </w:trPr>
                    <w:tc>
                      <w:tcPr>
                        <w:tcW w:w="1583" w:type="dxa"/>
                      </w:tcPr>
                      <w:p>
                        <w:pPr>
                          <w:pStyle w:val="TableParagraph"/>
                          <w:spacing w:line="133" w:lineRule="exact" w:before="17"/>
                          <w:ind w:left="278"/>
                          <w:rPr>
                            <w:sz w:val="12"/>
                          </w:rPr>
                        </w:pPr>
                        <w:r>
                          <w:rPr>
                            <w:w w:val="120"/>
                            <w:sz w:val="12"/>
                          </w:rPr>
                          <w:t>[</w:t>
                        </w:r>
                        <w:hyperlink w:history="true" w:anchor="_bookmark62">
                          <w:r>
                            <w:rPr>
                              <w:color w:val="007FAC"/>
                              <w:w w:val="120"/>
                              <w:sz w:val="12"/>
                            </w:rPr>
                            <w:t>51</w:t>
                          </w:r>
                        </w:hyperlink>
                        <w:r>
                          <w:rPr>
                            <w:w w:val="120"/>
                            <w:sz w:val="12"/>
                          </w:rPr>
                          <w:t>]</w:t>
                        </w: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spacing w:line="133" w:lineRule="exact" w:before="17"/>
                          <w:ind w:left="246"/>
                          <w:rPr>
                            <w:sz w:val="12"/>
                          </w:rPr>
                        </w:pPr>
                        <w:r>
                          <w:rPr>
                            <w:w w:val="115"/>
                            <w:sz w:val="12"/>
                          </w:rPr>
                          <w:t>matched)</w:t>
                        </w: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3" w:lineRule="exact" w:before="17"/>
                          <w:ind w:left="161"/>
                          <w:rPr>
                            <w:sz w:val="12"/>
                          </w:rPr>
                        </w:pPr>
                        <w:r>
                          <w:rPr>
                            <w:w w:val="115"/>
                            <w:sz w:val="12"/>
                          </w:rPr>
                          <w:t>adhesive strips</w:t>
                        </w:r>
                      </w:p>
                    </w:tc>
                    <w:tc>
                      <w:tcPr>
                        <w:tcW w:w="3014" w:type="dxa"/>
                      </w:tcPr>
                      <w:p>
                        <w:pPr>
                          <w:pStyle w:val="TableParagraph"/>
                          <w:rPr>
                            <w:rFonts w:ascii="Times New Roman"/>
                            <w:sz w:val="10"/>
                          </w:rPr>
                        </w:pPr>
                      </w:p>
                    </w:tc>
                  </w:tr>
                  <w:tr>
                    <w:trPr>
                      <w:trHeight w:val="172" w:hRule="atLeast"/>
                    </w:trPr>
                    <w:tc>
                      <w:tcPr>
                        <w:tcW w:w="1583" w:type="dxa"/>
                      </w:tcPr>
                      <w:p>
                        <w:pPr>
                          <w:pStyle w:val="TableParagraph"/>
                          <w:spacing w:line="134" w:lineRule="exact" w:before="18"/>
                          <w:ind w:left="120"/>
                          <w:rPr>
                            <w:sz w:val="12"/>
                          </w:rPr>
                        </w:pPr>
                        <w:r>
                          <w:rPr>
                            <w:w w:val="110"/>
                            <w:sz w:val="12"/>
                          </w:rPr>
                          <w:t>Akdogan and Atilla [</w:t>
                        </w:r>
                        <w:hyperlink w:history="true" w:anchor="_bookmark65">
                          <w:r>
                            <w:rPr>
                              <w:color w:val="007FAC"/>
                              <w:w w:val="110"/>
                              <w:sz w:val="12"/>
                            </w:rPr>
                            <w:t>54</w:t>
                          </w:r>
                        </w:hyperlink>
                        <w:r>
                          <w:rPr>
                            <w:w w:val="110"/>
                            <w:sz w:val="12"/>
                          </w:rPr>
                          <w:t>]</w:t>
                        </w:r>
                      </w:p>
                    </w:tc>
                    <w:tc>
                      <w:tcPr>
                        <w:tcW w:w="925" w:type="dxa"/>
                      </w:tcPr>
                      <w:p>
                        <w:pPr>
                          <w:pStyle w:val="TableParagraph"/>
                          <w:spacing w:line="134" w:lineRule="exact" w:before="18"/>
                          <w:ind w:left="28"/>
                          <w:rPr>
                            <w:sz w:val="12"/>
                          </w:rPr>
                        </w:pPr>
                        <w:r>
                          <w:rPr>
                            <w:w w:val="125"/>
                            <w:sz w:val="12"/>
                          </w:rPr>
                          <w:t>2020</w:t>
                        </w:r>
                      </w:p>
                    </w:tc>
                    <w:tc>
                      <w:tcPr>
                        <w:tcW w:w="1840" w:type="dxa"/>
                      </w:tcPr>
                      <w:p>
                        <w:pPr>
                          <w:pStyle w:val="TableParagraph"/>
                          <w:spacing w:line="134" w:lineRule="exact" w:before="18"/>
                          <w:ind w:left="594"/>
                          <w:rPr>
                            <w:sz w:val="12"/>
                          </w:rPr>
                        </w:pPr>
                        <w:r>
                          <w:rPr>
                            <w:w w:val="110"/>
                            <w:sz w:val="12"/>
                          </w:rPr>
                          <w:t>Turkey</w:t>
                        </w:r>
                      </w:p>
                    </w:tc>
                    <w:tc>
                      <w:tcPr>
                        <w:tcW w:w="1581" w:type="dxa"/>
                      </w:tcPr>
                      <w:p>
                        <w:pPr>
                          <w:pStyle w:val="TableParagraph"/>
                          <w:spacing w:line="134" w:lineRule="exact" w:before="18"/>
                          <w:ind w:left="246"/>
                          <w:rPr>
                            <w:sz w:val="12"/>
                          </w:rPr>
                        </w:pPr>
                        <w:r>
                          <w:rPr>
                            <w:w w:val="110"/>
                            <w:sz w:val="12"/>
                          </w:rPr>
                          <w:t>Observational</w:t>
                        </w:r>
                      </w:p>
                    </w:tc>
                    <w:tc>
                      <w:tcPr>
                        <w:tcW w:w="1507" w:type="dxa"/>
                      </w:tcPr>
                      <w:p>
                        <w:pPr>
                          <w:pStyle w:val="TableParagraph"/>
                          <w:spacing w:line="134" w:lineRule="exact" w:before="18"/>
                          <w:ind w:left="156"/>
                          <w:rPr>
                            <w:sz w:val="12"/>
                          </w:rPr>
                        </w:pPr>
                        <w:r>
                          <w:rPr>
                            <w:w w:val="110"/>
                            <w:sz w:val="12"/>
                          </w:rPr>
                          <w:t>Knee</w:t>
                        </w:r>
                      </w:p>
                    </w:tc>
                    <w:tc>
                      <w:tcPr>
                        <w:tcW w:w="1470" w:type="dxa"/>
                      </w:tcPr>
                      <w:p>
                        <w:pPr>
                          <w:pStyle w:val="TableParagraph"/>
                          <w:spacing w:line="134" w:lineRule="exact" w:before="18"/>
                          <w:ind w:left="305"/>
                          <w:rPr>
                            <w:sz w:val="12"/>
                          </w:rPr>
                        </w:pPr>
                        <w:r>
                          <w:rPr>
                            <w:w w:val="125"/>
                            <w:sz w:val="12"/>
                          </w:rPr>
                          <w:t>274</w:t>
                        </w:r>
                      </w:p>
                    </w:tc>
                    <w:tc>
                      <w:tcPr>
                        <w:tcW w:w="1580" w:type="dxa"/>
                      </w:tcPr>
                      <w:p>
                        <w:pPr>
                          <w:pStyle w:val="TableParagraph"/>
                          <w:spacing w:line="134" w:lineRule="exact" w:before="18"/>
                          <w:ind w:left="161"/>
                          <w:rPr>
                            <w:sz w:val="12"/>
                          </w:rPr>
                        </w:pPr>
                        <w:r>
                          <w:rPr>
                            <w:w w:val="110"/>
                            <w:sz w:val="12"/>
                          </w:rPr>
                          <w:t>Aquacel Ag vs</w:t>
                        </w:r>
                      </w:p>
                    </w:tc>
                    <w:tc>
                      <w:tcPr>
                        <w:tcW w:w="3014" w:type="dxa"/>
                      </w:tcPr>
                      <w:p>
                        <w:pPr>
                          <w:pStyle w:val="TableParagraph"/>
                          <w:spacing w:line="134" w:lineRule="exact" w:before="18"/>
                          <w:ind w:left="73"/>
                          <w:rPr>
                            <w:sz w:val="12"/>
                          </w:rPr>
                        </w:pPr>
                        <w:r>
                          <w:rPr>
                            <w:w w:val="115"/>
                            <w:sz w:val="12"/>
                          </w:rPr>
                          <w:t>De</w:t>
                        </w:r>
                        <w:r>
                          <w:rPr>
                            <w:rFonts w:ascii="Times New Roman" w:hAnsi="Times New Roman"/>
                            <w:w w:val="115"/>
                            <w:sz w:val="12"/>
                          </w:rPr>
                          <w:t>ﬁ</w:t>
                        </w:r>
                        <w:r>
                          <w:rPr>
                            <w:w w:val="115"/>
                            <w:sz w:val="12"/>
                          </w:rPr>
                          <w:t>nition not reported.</w:t>
                        </w:r>
                      </w:p>
                    </w:tc>
                  </w:tr>
                  <w:tr>
                    <w:trPr>
                      <w:trHeight w:val="169"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3" w:lineRule="exact" w:before="17"/>
                          <w:ind w:left="161"/>
                          <w:rPr>
                            <w:sz w:val="12"/>
                          </w:rPr>
                        </w:pPr>
                        <w:r>
                          <w:rPr>
                            <w:w w:val="115"/>
                            <w:sz w:val="12"/>
                          </w:rPr>
                          <w:t>conventional gauze</w:t>
                        </w:r>
                      </w:p>
                    </w:tc>
                    <w:tc>
                      <w:tcPr>
                        <w:tcW w:w="3014" w:type="dxa"/>
                      </w:tcPr>
                      <w:p>
                        <w:pPr>
                          <w:pStyle w:val="TableParagraph"/>
                          <w:rPr>
                            <w:rFonts w:ascii="Times New Roman"/>
                            <w:sz w:val="10"/>
                          </w:rPr>
                        </w:pPr>
                      </w:p>
                    </w:tc>
                  </w:tr>
                  <w:tr>
                    <w:trPr>
                      <w:trHeight w:val="303" w:hRule="atLeast"/>
                    </w:trPr>
                    <w:tc>
                      <w:tcPr>
                        <w:tcW w:w="1583" w:type="dxa"/>
                      </w:tcPr>
                      <w:p>
                        <w:pPr>
                          <w:pStyle w:val="TableParagraph"/>
                          <w:spacing w:before="18"/>
                          <w:ind w:left="120"/>
                          <w:rPr>
                            <w:sz w:val="12"/>
                          </w:rPr>
                        </w:pPr>
                        <w:r>
                          <w:rPr>
                            <w:w w:val="115"/>
                            <w:sz w:val="12"/>
                          </w:rPr>
                          <w:t>Anderson et al. [</w:t>
                        </w:r>
                        <w:hyperlink w:history="true" w:anchor="_bookmark64">
                          <w:r>
                            <w:rPr>
                              <w:color w:val="007FAC"/>
                              <w:w w:val="115"/>
                              <w:sz w:val="12"/>
                            </w:rPr>
                            <w:t>52</w:t>
                          </w:r>
                        </w:hyperlink>
                        <w:r>
                          <w:rPr>
                            <w:w w:val="115"/>
                            <w:sz w:val="12"/>
                          </w:rPr>
                          <w:t>]</w:t>
                        </w:r>
                      </w:p>
                    </w:tc>
                    <w:tc>
                      <w:tcPr>
                        <w:tcW w:w="925" w:type="dxa"/>
                      </w:tcPr>
                      <w:p>
                        <w:pPr>
                          <w:pStyle w:val="TableParagraph"/>
                          <w:spacing w:before="18"/>
                          <w:ind w:left="28"/>
                          <w:rPr>
                            <w:sz w:val="12"/>
                          </w:rPr>
                        </w:pPr>
                        <w:r>
                          <w:rPr>
                            <w:w w:val="125"/>
                            <w:sz w:val="12"/>
                          </w:rPr>
                          <w:t>2020</w:t>
                        </w:r>
                      </w:p>
                    </w:tc>
                    <w:tc>
                      <w:tcPr>
                        <w:tcW w:w="1840" w:type="dxa"/>
                      </w:tcPr>
                      <w:p>
                        <w:pPr>
                          <w:pStyle w:val="TableParagraph"/>
                          <w:spacing w:before="18"/>
                          <w:ind w:left="594"/>
                          <w:rPr>
                            <w:sz w:val="12"/>
                          </w:rPr>
                        </w:pPr>
                        <w:r>
                          <w:rPr>
                            <w:sz w:val="12"/>
                          </w:rPr>
                          <w:t>USA</w:t>
                        </w:r>
                      </w:p>
                    </w:tc>
                    <w:tc>
                      <w:tcPr>
                        <w:tcW w:w="1581" w:type="dxa"/>
                      </w:tcPr>
                      <w:p>
                        <w:pPr>
                          <w:pStyle w:val="TableParagraph"/>
                          <w:spacing w:before="18"/>
                          <w:ind w:left="246"/>
                          <w:rPr>
                            <w:sz w:val="12"/>
                          </w:rPr>
                        </w:pPr>
                        <w:r>
                          <w:rPr>
                            <w:w w:val="110"/>
                            <w:sz w:val="12"/>
                          </w:rPr>
                          <w:t>Observational</w:t>
                        </w:r>
                      </w:p>
                    </w:tc>
                    <w:tc>
                      <w:tcPr>
                        <w:tcW w:w="1507" w:type="dxa"/>
                      </w:tcPr>
                      <w:p>
                        <w:pPr>
                          <w:pStyle w:val="TableParagraph"/>
                          <w:spacing w:before="18"/>
                          <w:ind w:left="156"/>
                          <w:rPr>
                            <w:sz w:val="12"/>
                          </w:rPr>
                        </w:pPr>
                        <w:r>
                          <w:rPr>
                            <w:w w:val="110"/>
                            <w:sz w:val="12"/>
                          </w:rPr>
                          <w:t>Knee</w:t>
                        </w:r>
                      </w:p>
                    </w:tc>
                    <w:tc>
                      <w:tcPr>
                        <w:tcW w:w="1470" w:type="dxa"/>
                      </w:tcPr>
                      <w:p>
                        <w:pPr>
                          <w:pStyle w:val="TableParagraph"/>
                          <w:spacing w:before="18"/>
                          <w:ind w:left="305"/>
                          <w:rPr>
                            <w:sz w:val="12"/>
                          </w:rPr>
                        </w:pPr>
                        <w:r>
                          <w:rPr>
                            <w:w w:val="125"/>
                            <w:sz w:val="12"/>
                          </w:rPr>
                          <w:t>347</w:t>
                        </w:r>
                      </w:p>
                    </w:tc>
                    <w:tc>
                      <w:tcPr>
                        <w:tcW w:w="1580" w:type="dxa"/>
                      </w:tcPr>
                      <w:p>
                        <w:pPr>
                          <w:pStyle w:val="TableParagraph"/>
                          <w:spacing w:before="12"/>
                          <w:ind w:left="161"/>
                          <w:rPr>
                            <w:sz w:val="12"/>
                          </w:rPr>
                        </w:pPr>
                        <w:r>
                          <w:rPr>
                            <w:w w:val="115"/>
                            <w:sz w:val="12"/>
                          </w:rPr>
                          <w:t>TSA </w:t>
                        </w:r>
                        <w:r>
                          <w:rPr>
                            <w:rFonts w:ascii="Century Gothic" w:hAnsi="Century Gothic"/>
                            <w:w w:val="115"/>
                            <w:sz w:val="12"/>
                          </w:rPr>
                          <w:t>þ </w:t>
                        </w:r>
                        <w:r>
                          <w:rPr>
                            <w:w w:val="115"/>
                            <w:sz w:val="12"/>
                          </w:rPr>
                          <w:t>polyester mesh</w:t>
                        </w:r>
                      </w:p>
                    </w:tc>
                    <w:tc>
                      <w:tcPr>
                        <w:tcW w:w="3014" w:type="dxa"/>
                      </w:tcPr>
                      <w:p>
                        <w:pPr>
                          <w:pStyle w:val="TableParagraph"/>
                          <w:spacing w:before="18"/>
                          <w:ind w:left="73"/>
                          <w:rPr>
                            <w:sz w:val="12"/>
                          </w:rPr>
                        </w:pPr>
                        <w:r>
                          <w:rPr>
                            <w:w w:val="115"/>
                            <w:sz w:val="12"/>
                          </w:rPr>
                          <w:t>De</w:t>
                        </w:r>
                        <w:r>
                          <w:rPr>
                            <w:rFonts w:ascii="Times New Roman" w:hAnsi="Times New Roman"/>
                            <w:w w:val="115"/>
                            <w:sz w:val="12"/>
                          </w:rPr>
                          <w:t>ﬁ</w:t>
                        </w:r>
                        <w:r>
                          <w:rPr>
                            <w:w w:val="115"/>
                            <w:sz w:val="12"/>
                          </w:rPr>
                          <w:t>nition not reported.</w:t>
                        </w:r>
                      </w:p>
                    </w:tc>
                  </w:tr>
                  <w:tr>
                    <w:trPr>
                      <w:trHeight w:val="210" w:hRule="atLeast"/>
                    </w:trPr>
                    <w:tc>
                      <w:tcPr>
                        <w:tcW w:w="1583" w:type="dxa"/>
                      </w:tcPr>
                      <w:p>
                        <w:pPr>
                          <w:pStyle w:val="TableParagraph"/>
                          <w:rPr>
                            <w:rFonts w:ascii="Times New Roman"/>
                            <w:sz w:val="12"/>
                          </w:rPr>
                        </w:pPr>
                      </w:p>
                    </w:tc>
                    <w:tc>
                      <w:tcPr>
                        <w:tcW w:w="925" w:type="dxa"/>
                      </w:tcPr>
                      <w:p>
                        <w:pPr>
                          <w:pStyle w:val="TableParagraph"/>
                          <w:rPr>
                            <w:rFonts w:ascii="Times New Roman"/>
                            <w:sz w:val="12"/>
                          </w:rPr>
                        </w:pPr>
                      </w:p>
                    </w:tc>
                    <w:tc>
                      <w:tcPr>
                        <w:tcW w:w="1840" w:type="dxa"/>
                      </w:tcPr>
                      <w:p>
                        <w:pPr>
                          <w:pStyle w:val="TableParagraph"/>
                          <w:rPr>
                            <w:rFonts w:ascii="Times New Roman"/>
                            <w:sz w:val="12"/>
                          </w:rPr>
                        </w:pPr>
                      </w:p>
                    </w:tc>
                    <w:tc>
                      <w:tcPr>
                        <w:tcW w:w="1581" w:type="dxa"/>
                      </w:tcPr>
                      <w:p>
                        <w:pPr>
                          <w:pStyle w:val="TableParagraph"/>
                          <w:rPr>
                            <w:rFonts w:ascii="Times New Roman"/>
                            <w:sz w:val="12"/>
                          </w:rPr>
                        </w:pPr>
                      </w:p>
                    </w:tc>
                    <w:tc>
                      <w:tcPr>
                        <w:tcW w:w="1507" w:type="dxa"/>
                      </w:tcPr>
                      <w:p>
                        <w:pPr>
                          <w:pStyle w:val="TableParagraph"/>
                          <w:rPr>
                            <w:rFonts w:ascii="Times New Roman"/>
                            <w:sz w:val="12"/>
                          </w:rPr>
                        </w:pPr>
                      </w:p>
                    </w:tc>
                    <w:tc>
                      <w:tcPr>
                        <w:tcW w:w="1470" w:type="dxa"/>
                      </w:tcPr>
                      <w:p>
                        <w:pPr>
                          <w:pStyle w:val="TableParagraph"/>
                          <w:rPr>
                            <w:rFonts w:ascii="Times New Roman"/>
                            <w:sz w:val="12"/>
                          </w:rPr>
                        </w:pPr>
                      </w:p>
                    </w:tc>
                    <w:tc>
                      <w:tcPr>
                        <w:tcW w:w="1580" w:type="dxa"/>
                      </w:tcPr>
                      <w:p>
                        <w:pPr>
                          <w:pStyle w:val="TableParagraph"/>
                          <w:spacing w:line="134" w:lineRule="exact" w:before="57"/>
                          <w:ind w:left="161"/>
                          <w:rPr>
                            <w:sz w:val="12"/>
                          </w:rPr>
                        </w:pPr>
                        <w:r>
                          <w:rPr>
                            <w:w w:val="110"/>
                            <w:sz w:val="12"/>
                          </w:rPr>
                          <w:t>dressing</w:t>
                        </w:r>
                      </w:p>
                    </w:tc>
                    <w:tc>
                      <w:tcPr>
                        <w:tcW w:w="3014" w:type="dxa"/>
                      </w:tcPr>
                      <w:p>
                        <w:pPr>
                          <w:pStyle w:val="TableParagraph"/>
                          <w:rPr>
                            <w:rFonts w:ascii="Times New Roman"/>
                            <w:sz w:val="12"/>
                          </w:rPr>
                        </w:pPr>
                      </w:p>
                    </w:tc>
                  </w:tr>
                  <w:tr>
                    <w:trPr>
                      <w:trHeight w:val="171" w:hRule="atLeast"/>
                    </w:trPr>
                    <w:tc>
                      <w:tcPr>
                        <w:tcW w:w="1583" w:type="dxa"/>
                      </w:tcPr>
                      <w:p>
                        <w:pPr>
                          <w:pStyle w:val="TableParagraph"/>
                          <w:spacing w:line="133" w:lineRule="exact" w:before="18"/>
                          <w:ind w:left="120"/>
                          <w:rPr>
                            <w:sz w:val="12"/>
                          </w:rPr>
                        </w:pPr>
                        <w:r>
                          <w:rPr>
                            <w:w w:val="120"/>
                            <w:sz w:val="12"/>
                          </w:rPr>
                          <w:t>Feng et al. [</w:t>
                        </w:r>
                        <w:hyperlink w:history="true" w:anchor="_bookmark51">
                          <w:r>
                            <w:rPr>
                              <w:color w:val="007FAC"/>
                              <w:w w:val="120"/>
                              <w:sz w:val="12"/>
                            </w:rPr>
                            <w:t>40</w:t>
                          </w:r>
                        </w:hyperlink>
                        <w:r>
                          <w:rPr>
                            <w:w w:val="120"/>
                            <w:sz w:val="12"/>
                          </w:rPr>
                          <w:t>]</w:t>
                        </w:r>
                      </w:p>
                    </w:tc>
                    <w:tc>
                      <w:tcPr>
                        <w:tcW w:w="925" w:type="dxa"/>
                      </w:tcPr>
                      <w:p>
                        <w:pPr>
                          <w:pStyle w:val="TableParagraph"/>
                          <w:spacing w:line="133" w:lineRule="exact" w:before="18"/>
                          <w:ind w:left="28"/>
                          <w:rPr>
                            <w:sz w:val="12"/>
                          </w:rPr>
                        </w:pPr>
                        <w:r>
                          <w:rPr>
                            <w:w w:val="125"/>
                            <w:sz w:val="12"/>
                          </w:rPr>
                          <w:t>2020</w:t>
                        </w:r>
                      </w:p>
                    </w:tc>
                    <w:tc>
                      <w:tcPr>
                        <w:tcW w:w="1840" w:type="dxa"/>
                      </w:tcPr>
                      <w:p>
                        <w:pPr>
                          <w:pStyle w:val="TableParagraph"/>
                          <w:spacing w:line="133" w:lineRule="exact" w:before="18"/>
                          <w:ind w:left="594"/>
                          <w:rPr>
                            <w:sz w:val="12"/>
                          </w:rPr>
                        </w:pPr>
                        <w:r>
                          <w:rPr>
                            <w:w w:val="110"/>
                            <w:sz w:val="12"/>
                          </w:rPr>
                          <w:t>China</w:t>
                        </w:r>
                      </w:p>
                    </w:tc>
                    <w:tc>
                      <w:tcPr>
                        <w:tcW w:w="1581" w:type="dxa"/>
                      </w:tcPr>
                      <w:p>
                        <w:pPr>
                          <w:pStyle w:val="TableParagraph"/>
                          <w:spacing w:line="133" w:lineRule="exact" w:before="18"/>
                          <w:ind w:left="246"/>
                          <w:rPr>
                            <w:sz w:val="12"/>
                          </w:rPr>
                        </w:pPr>
                        <w:r>
                          <w:rPr>
                            <w:sz w:val="12"/>
                          </w:rPr>
                          <w:t>RCT</w:t>
                        </w:r>
                      </w:p>
                    </w:tc>
                    <w:tc>
                      <w:tcPr>
                        <w:tcW w:w="1507" w:type="dxa"/>
                      </w:tcPr>
                      <w:p>
                        <w:pPr>
                          <w:pStyle w:val="TableParagraph"/>
                          <w:spacing w:line="133" w:lineRule="exact" w:before="18"/>
                          <w:ind w:left="156"/>
                          <w:rPr>
                            <w:sz w:val="12"/>
                          </w:rPr>
                        </w:pPr>
                        <w:r>
                          <w:rPr>
                            <w:w w:val="110"/>
                            <w:sz w:val="12"/>
                          </w:rPr>
                          <w:t>Knee</w:t>
                        </w:r>
                      </w:p>
                    </w:tc>
                    <w:tc>
                      <w:tcPr>
                        <w:tcW w:w="1470" w:type="dxa"/>
                      </w:tcPr>
                      <w:p>
                        <w:pPr>
                          <w:pStyle w:val="TableParagraph"/>
                          <w:spacing w:line="133" w:lineRule="exact" w:before="18"/>
                          <w:ind w:left="305"/>
                          <w:rPr>
                            <w:sz w:val="12"/>
                          </w:rPr>
                        </w:pPr>
                        <w:r>
                          <w:rPr>
                            <w:w w:val="125"/>
                            <w:sz w:val="12"/>
                          </w:rPr>
                          <w:t>582</w:t>
                        </w:r>
                      </w:p>
                    </w:tc>
                    <w:tc>
                      <w:tcPr>
                        <w:tcW w:w="1580" w:type="dxa"/>
                      </w:tcPr>
                      <w:p>
                        <w:pPr>
                          <w:pStyle w:val="TableParagraph"/>
                          <w:spacing w:line="133" w:lineRule="exact" w:before="18"/>
                          <w:ind w:left="161"/>
                          <w:rPr>
                            <w:sz w:val="12"/>
                          </w:rPr>
                        </w:pPr>
                        <w:r>
                          <w:rPr>
                            <w:w w:val="115"/>
                            <w:sz w:val="12"/>
                          </w:rPr>
                          <w:t>Barbed sutures (full-</w:t>
                        </w:r>
                      </w:p>
                    </w:tc>
                    <w:tc>
                      <w:tcPr>
                        <w:tcW w:w="3014" w:type="dxa"/>
                      </w:tcPr>
                      <w:p>
                        <w:pPr>
                          <w:pStyle w:val="TableParagraph"/>
                          <w:spacing w:line="133" w:lineRule="exact" w:before="18"/>
                          <w:ind w:left="73"/>
                          <w:rPr>
                            <w:sz w:val="12"/>
                          </w:rPr>
                        </w:pPr>
                        <w:r>
                          <w:rPr>
                            <w:w w:val="115"/>
                            <w:sz w:val="12"/>
                          </w:rPr>
                          <w:t>Super</w:t>
                        </w:r>
                        <w:r>
                          <w:rPr>
                            <w:rFonts w:ascii="Times New Roman" w:hAnsi="Times New Roman"/>
                            <w:w w:val="115"/>
                            <w:sz w:val="12"/>
                          </w:rPr>
                          <w:t>ﬁ</w:t>
                        </w:r>
                        <w:r>
                          <w:rPr>
                            <w:w w:val="115"/>
                            <w:sz w:val="12"/>
                          </w:rPr>
                          <w:t>cial infections were de</w:t>
                        </w:r>
                        <w:r>
                          <w:rPr>
                            <w:rFonts w:ascii="Times New Roman" w:hAnsi="Times New Roman"/>
                            <w:w w:val="115"/>
                            <w:sz w:val="12"/>
                          </w:rPr>
                          <w:t>ﬁ</w:t>
                        </w:r>
                        <w:r>
                          <w:rPr>
                            <w:w w:val="115"/>
                            <w:sz w:val="12"/>
                          </w:rPr>
                          <w:t>ned in</w:t>
                        </w:r>
                      </w:p>
                    </w:tc>
                  </w:tr>
                  <w:tr>
                    <w:trPr>
                      <w:trHeight w:val="165" w:hRule="atLeast"/>
                    </w:trPr>
                    <w:tc>
                      <w:tcPr>
                        <w:tcW w:w="13500" w:type="dxa"/>
                        <w:gridSpan w:val="8"/>
                      </w:tcPr>
                      <w:p>
                        <w:pPr>
                          <w:pStyle w:val="TableParagraph"/>
                          <w:spacing w:line="127" w:lineRule="exact" w:before="18"/>
                          <w:ind w:right="300"/>
                          <w:jc w:val="right"/>
                          <w:rPr>
                            <w:sz w:val="12"/>
                          </w:rPr>
                        </w:pPr>
                        <w:r>
                          <w:rPr>
                            <w:w w:val="115"/>
                            <w:sz w:val="12"/>
                          </w:rPr>
                          <w:t>layer) vs barbed sutures accordance with CDC criteria for super</w:t>
                        </w:r>
                        <w:r>
                          <w:rPr>
                            <w:rFonts w:ascii="Times New Roman" w:hAnsi="Times New Roman"/>
                            <w:w w:val="115"/>
                            <w:sz w:val="12"/>
                          </w:rPr>
                          <w:t>ﬁ</w:t>
                        </w:r>
                        <w:r>
                          <w:rPr>
                            <w:w w:val="115"/>
                            <w:sz w:val="12"/>
                          </w:rPr>
                          <w:t>cial</w:t>
                        </w:r>
                      </w:p>
                    </w:tc>
                  </w:tr>
                  <w:tr>
                    <w:trPr>
                      <w:trHeight w:val="177"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3" w:lineRule="exact" w:before="24"/>
                          <w:ind w:left="161"/>
                          <w:rPr>
                            <w:sz w:val="12"/>
                          </w:rPr>
                        </w:pPr>
                        <w:r>
                          <w:rPr>
                            <w:w w:val="115"/>
                            <w:sz w:val="12"/>
                          </w:rPr>
                          <w:t>(joint capsule),</w:t>
                        </w:r>
                      </w:p>
                    </w:tc>
                    <w:tc>
                      <w:tcPr>
                        <w:tcW w:w="3014" w:type="dxa"/>
                      </w:tcPr>
                      <w:p>
                        <w:pPr>
                          <w:pStyle w:val="TableParagraph"/>
                          <w:spacing w:line="133" w:lineRule="exact" w:before="24"/>
                          <w:ind w:left="73"/>
                          <w:rPr>
                            <w:sz w:val="12"/>
                          </w:rPr>
                        </w:pPr>
                        <w:r>
                          <w:rPr>
                            <w:w w:val="115"/>
                            <w:sz w:val="12"/>
                          </w:rPr>
                          <w:t>incisional surgical site infection.</w:t>
                        </w:r>
                      </w:p>
                    </w:tc>
                  </w:tr>
                  <w:tr>
                    <w:trPr>
                      <w:trHeight w:val="172"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4" w:lineRule="exact" w:before="18"/>
                          <w:ind w:left="161"/>
                          <w:rPr>
                            <w:sz w:val="12"/>
                          </w:rPr>
                        </w:pPr>
                        <w:r>
                          <w:rPr>
                            <w:w w:val="115"/>
                            <w:sz w:val="12"/>
                          </w:rPr>
                          <w:t>traditional absorbable</w:t>
                        </w:r>
                      </w:p>
                    </w:tc>
                    <w:tc>
                      <w:tcPr>
                        <w:tcW w:w="3014" w:type="dxa"/>
                      </w:tcPr>
                      <w:p>
                        <w:pPr>
                          <w:pStyle w:val="TableParagraph"/>
                          <w:spacing w:line="134" w:lineRule="exact" w:before="18"/>
                          <w:ind w:left="73"/>
                          <w:rPr>
                            <w:sz w:val="12"/>
                          </w:rPr>
                        </w:pPr>
                        <w:r>
                          <w:rPr>
                            <w:w w:val="115"/>
                            <w:sz w:val="12"/>
                          </w:rPr>
                          <w:t>Deep infections were de</w:t>
                        </w:r>
                        <w:r>
                          <w:rPr>
                            <w:rFonts w:ascii="Times New Roman" w:hAnsi="Times New Roman"/>
                            <w:w w:val="115"/>
                            <w:sz w:val="12"/>
                          </w:rPr>
                          <w:t>ﬁ</w:t>
                        </w:r>
                        <w:r>
                          <w:rPr>
                            <w:w w:val="115"/>
                            <w:sz w:val="12"/>
                          </w:rPr>
                          <w:t>ned based on the</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4" w:lineRule="exact" w:before="17"/>
                          <w:ind w:left="161"/>
                          <w:rPr>
                            <w:sz w:val="12"/>
                          </w:rPr>
                        </w:pPr>
                        <w:r>
                          <w:rPr>
                            <w:w w:val="115"/>
                            <w:sz w:val="12"/>
                          </w:rPr>
                          <w:t>sutures (joint capsule)</w:t>
                        </w:r>
                      </w:p>
                    </w:tc>
                    <w:tc>
                      <w:tcPr>
                        <w:tcW w:w="3014" w:type="dxa"/>
                      </w:tcPr>
                      <w:p>
                        <w:pPr>
                          <w:pStyle w:val="TableParagraph"/>
                          <w:spacing w:line="134" w:lineRule="exact" w:before="17"/>
                          <w:ind w:left="73"/>
                          <w:rPr>
                            <w:sz w:val="12"/>
                          </w:rPr>
                        </w:pPr>
                        <w:r>
                          <w:rPr>
                            <w:w w:val="115"/>
                            <w:sz w:val="12"/>
                          </w:rPr>
                          <w:t>MSIS criteria and required operative</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7"/>
                          <w:ind w:left="73"/>
                          <w:rPr>
                            <w:sz w:val="12"/>
                          </w:rPr>
                        </w:pPr>
                        <w:r>
                          <w:rPr>
                            <w:w w:val="115"/>
                            <w:sz w:val="12"/>
                          </w:rPr>
                          <w:t>management and/or IV antibiotics in our</w:t>
                        </w:r>
                      </w:p>
                    </w:tc>
                  </w:tr>
                  <w:tr>
                    <w:trPr>
                      <w:trHeight w:val="169"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7"/>
                          <w:ind w:left="73"/>
                          <w:rPr>
                            <w:sz w:val="12"/>
                          </w:rPr>
                        </w:pPr>
                        <w:r>
                          <w:rPr>
                            <w:w w:val="115"/>
                            <w:sz w:val="12"/>
                          </w:rPr>
                          <w:t>cohort.</w:t>
                        </w:r>
                      </w:p>
                    </w:tc>
                  </w:tr>
                  <w:tr>
                    <w:trPr>
                      <w:trHeight w:val="388" w:hRule="atLeast"/>
                    </w:trPr>
                    <w:tc>
                      <w:tcPr>
                        <w:tcW w:w="1583" w:type="dxa"/>
                      </w:tcPr>
                      <w:p>
                        <w:pPr>
                          <w:pStyle w:val="TableParagraph"/>
                          <w:spacing w:before="18"/>
                          <w:ind w:left="120"/>
                          <w:rPr>
                            <w:sz w:val="12"/>
                          </w:rPr>
                        </w:pPr>
                        <w:r>
                          <w:rPr>
                            <w:w w:val="115"/>
                            <w:sz w:val="12"/>
                          </w:rPr>
                          <w:t>Herndon et al. [</w:t>
                        </w:r>
                        <w:hyperlink w:history="true" w:anchor="_bookmark61">
                          <w:r>
                            <w:rPr>
                              <w:color w:val="007FAC"/>
                              <w:w w:val="115"/>
                              <w:sz w:val="12"/>
                            </w:rPr>
                            <w:t>50</w:t>
                          </w:r>
                        </w:hyperlink>
                        <w:r>
                          <w:rPr>
                            <w:w w:val="115"/>
                            <w:sz w:val="12"/>
                          </w:rPr>
                          <w:t>]</w:t>
                        </w:r>
                      </w:p>
                    </w:tc>
                    <w:tc>
                      <w:tcPr>
                        <w:tcW w:w="925" w:type="dxa"/>
                      </w:tcPr>
                      <w:p>
                        <w:pPr>
                          <w:pStyle w:val="TableParagraph"/>
                          <w:spacing w:before="18"/>
                          <w:ind w:left="28"/>
                          <w:rPr>
                            <w:sz w:val="12"/>
                          </w:rPr>
                        </w:pPr>
                        <w:r>
                          <w:rPr>
                            <w:w w:val="125"/>
                            <w:sz w:val="12"/>
                          </w:rPr>
                          <w:t>2020</w:t>
                        </w:r>
                      </w:p>
                    </w:tc>
                    <w:tc>
                      <w:tcPr>
                        <w:tcW w:w="1840" w:type="dxa"/>
                      </w:tcPr>
                      <w:p>
                        <w:pPr>
                          <w:pStyle w:val="TableParagraph"/>
                          <w:spacing w:before="18"/>
                          <w:ind w:left="594"/>
                          <w:rPr>
                            <w:sz w:val="12"/>
                          </w:rPr>
                        </w:pPr>
                        <w:r>
                          <w:rPr>
                            <w:sz w:val="12"/>
                          </w:rPr>
                          <w:t>USA</w:t>
                        </w:r>
                      </w:p>
                    </w:tc>
                    <w:tc>
                      <w:tcPr>
                        <w:tcW w:w="1581" w:type="dxa"/>
                      </w:tcPr>
                      <w:p>
                        <w:pPr>
                          <w:pStyle w:val="TableParagraph"/>
                          <w:spacing w:before="18"/>
                          <w:ind w:left="246"/>
                          <w:rPr>
                            <w:sz w:val="12"/>
                          </w:rPr>
                        </w:pPr>
                        <w:r>
                          <w:rPr>
                            <w:w w:val="110"/>
                            <w:sz w:val="12"/>
                          </w:rPr>
                          <w:t>Observational</w:t>
                        </w:r>
                      </w:p>
                    </w:tc>
                    <w:tc>
                      <w:tcPr>
                        <w:tcW w:w="1507" w:type="dxa"/>
                      </w:tcPr>
                      <w:p>
                        <w:pPr>
                          <w:pStyle w:val="TableParagraph"/>
                          <w:spacing w:before="18"/>
                          <w:ind w:left="156"/>
                          <w:rPr>
                            <w:sz w:val="12"/>
                          </w:rPr>
                        </w:pPr>
                        <w:r>
                          <w:rPr>
                            <w:w w:val="105"/>
                            <w:sz w:val="12"/>
                          </w:rPr>
                          <w:t>Hip</w:t>
                        </w:r>
                      </w:p>
                    </w:tc>
                    <w:tc>
                      <w:tcPr>
                        <w:tcW w:w="1470" w:type="dxa"/>
                      </w:tcPr>
                      <w:p>
                        <w:pPr>
                          <w:pStyle w:val="TableParagraph"/>
                          <w:spacing w:before="18"/>
                          <w:ind w:left="305"/>
                          <w:rPr>
                            <w:sz w:val="12"/>
                          </w:rPr>
                        </w:pPr>
                        <w:r>
                          <w:rPr>
                            <w:w w:val="125"/>
                            <w:sz w:val="12"/>
                          </w:rPr>
                          <w:t>323</w:t>
                        </w:r>
                      </w:p>
                    </w:tc>
                    <w:tc>
                      <w:tcPr>
                        <w:tcW w:w="1580" w:type="dxa"/>
                      </w:tcPr>
                      <w:p>
                        <w:pPr>
                          <w:pStyle w:val="TableParagraph"/>
                          <w:spacing w:before="12"/>
                          <w:ind w:left="161"/>
                          <w:rPr>
                            <w:sz w:val="12"/>
                          </w:rPr>
                        </w:pPr>
                        <w:r>
                          <w:rPr>
                            <w:w w:val="115"/>
                            <w:sz w:val="12"/>
                          </w:rPr>
                          <w:t>TSA </w:t>
                        </w:r>
                        <w:r>
                          <w:rPr>
                            <w:rFonts w:ascii="Century Gothic" w:hAnsi="Century Gothic"/>
                            <w:w w:val="115"/>
                            <w:sz w:val="12"/>
                          </w:rPr>
                          <w:t>þ </w:t>
                        </w:r>
                        <w:r>
                          <w:rPr>
                            <w:w w:val="115"/>
                            <w:sz w:val="12"/>
                          </w:rPr>
                          <w:t>polyester mesh</w:t>
                        </w:r>
                      </w:p>
                    </w:tc>
                    <w:tc>
                      <w:tcPr>
                        <w:tcW w:w="3014" w:type="dxa"/>
                      </w:tcPr>
                      <w:p>
                        <w:pPr>
                          <w:pStyle w:val="TableParagraph"/>
                          <w:spacing w:before="18"/>
                          <w:ind w:left="73"/>
                          <w:rPr>
                            <w:sz w:val="12"/>
                          </w:rPr>
                        </w:pPr>
                        <w:r>
                          <w:rPr>
                            <w:w w:val="115"/>
                            <w:sz w:val="12"/>
                          </w:rPr>
                          <w:t>De</w:t>
                        </w:r>
                        <w:r>
                          <w:rPr>
                            <w:rFonts w:ascii="Times New Roman" w:hAnsi="Times New Roman"/>
                            <w:w w:val="115"/>
                            <w:sz w:val="12"/>
                          </w:rPr>
                          <w:t>ﬁ</w:t>
                        </w:r>
                        <w:r>
                          <w:rPr>
                            <w:w w:val="115"/>
                            <w:sz w:val="12"/>
                          </w:rPr>
                          <w:t>nition not reported.</w:t>
                        </w:r>
                      </w:p>
                    </w:tc>
                  </w:tr>
                  <w:tr>
                    <w:trPr>
                      <w:trHeight w:val="299" w:hRule="atLeast"/>
                    </w:trPr>
                    <w:tc>
                      <w:tcPr>
                        <w:tcW w:w="1583" w:type="dxa"/>
                      </w:tcPr>
                      <w:p>
                        <w:pPr>
                          <w:pStyle w:val="TableParagraph"/>
                          <w:spacing w:before="8"/>
                          <w:rPr>
                            <w:sz w:val="11"/>
                          </w:rPr>
                        </w:pPr>
                      </w:p>
                      <w:p>
                        <w:pPr>
                          <w:pStyle w:val="TableParagraph"/>
                          <w:spacing w:line="134" w:lineRule="exact"/>
                          <w:ind w:left="120"/>
                          <w:rPr>
                            <w:sz w:val="12"/>
                          </w:rPr>
                        </w:pPr>
                        <w:r>
                          <w:rPr>
                            <w:w w:val="115"/>
                            <w:sz w:val="12"/>
                          </w:rPr>
                          <w:t>Mallee et al. [</w:t>
                        </w:r>
                        <w:hyperlink w:history="true" w:anchor="_bookmark39">
                          <w:r>
                            <w:rPr>
                              <w:color w:val="007FAC"/>
                              <w:w w:val="115"/>
                              <w:sz w:val="12"/>
                            </w:rPr>
                            <w:t>28</w:t>
                          </w:r>
                        </w:hyperlink>
                        <w:r>
                          <w:rPr>
                            <w:w w:val="115"/>
                            <w:sz w:val="12"/>
                          </w:rPr>
                          <w:t>]</w:t>
                        </w:r>
                      </w:p>
                    </w:tc>
                    <w:tc>
                      <w:tcPr>
                        <w:tcW w:w="925" w:type="dxa"/>
                      </w:tcPr>
                      <w:p>
                        <w:pPr>
                          <w:pStyle w:val="TableParagraph"/>
                          <w:spacing w:before="8"/>
                          <w:rPr>
                            <w:sz w:val="11"/>
                          </w:rPr>
                        </w:pPr>
                      </w:p>
                      <w:p>
                        <w:pPr>
                          <w:pStyle w:val="TableParagraph"/>
                          <w:spacing w:line="134" w:lineRule="exact"/>
                          <w:ind w:left="28"/>
                          <w:rPr>
                            <w:sz w:val="12"/>
                          </w:rPr>
                        </w:pPr>
                        <w:r>
                          <w:rPr>
                            <w:w w:val="125"/>
                            <w:sz w:val="12"/>
                          </w:rPr>
                          <w:t>2020</w:t>
                        </w:r>
                      </w:p>
                    </w:tc>
                    <w:tc>
                      <w:tcPr>
                        <w:tcW w:w="1840" w:type="dxa"/>
                      </w:tcPr>
                      <w:p>
                        <w:pPr>
                          <w:pStyle w:val="TableParagraph"/>
                          <w:spacing w:before="8"/>
                          <w:rPr>
                            <w:sz w:val="11"/>
                          </w:rPr>
                        </w:pPr>
                      </w:p>
                      <w:p>
                        <w:pPr>
                          <w:pStyle w:val="TableParagraph"/>
                          <w:spacing w:line="134" w:lineRule="exact"/>
                          <w:ind w:left="594"/>
                          <w:rPr>
                            <w:sz w:val="12"/>
                          </w:rPr>
                        </w:pPr>
                        <w:r>
                          <w:rPr>
                            <w:w w:val="110"/>
                            <w:sz w:val="12"/>
                          </w:rPr>
                          <w:t>The Netherlands</w:t>
                        </w:r>
                      </w:p>
                    </w:tc>
                    <w:tc>
                      <w:tcPr>
                        <w:tcW w:w="1581" w:type="dxa"/>
                      </w:tcPr>
                      <w:p>
                        <w:pPr>
                          <w:pStyle w:val="TableParagraph"/>
                          <w:spacing w:before="8"/>
                          <w:rPr>
                            <w:sz w:val="11"/>
                          </w:rPr>
                        </w:pPr>
                      </w:p>
                      <w:p>
                        <w:pPr>
                          <w:pStyle w:val="TableParagraph"/>
                          <w:spacing w:line="134" w:lineRule="exact"/>
                          <w:ind w:left="246"/>
                          <w:rPr>
                            <w:sz w:val="12"/>
                          </w:rPr>
                        </w:pPr>
                        <w:r>
                          <w:rPr>
                            <w:sz w:val="12"/>
                          </w:rPr>
                          <w:t>RCT</w:t>
                        </w:r>
                      </w:p>
                    </w:tc>
                    <w:tc>
                      <w:tcPr>
                        <w:tcW w:w="1507" w:type="dxa"/>
                      </w:tcPr>
                      <w:p>
                        <w:pPr>
                          <w:pStyle w:val="TableParagraph"/>
                          <w:spacing w:before="8"/>
                          <w:rPr>
                            <w:sz w:val="11"/>
                          </w:rPr>
                        </w:pPr>
                      </w:p>
                      <w:p>
                        <w:pPr>
                          <w:pStyle w:val="TableParagraph"/>
                          <w:spacing w:line="134" w:lineRule="exact"/>
                          <w:ind w:left="156"/>
                          <w:rPr>
                            <w:sz w:val="12"/>
                          </w:rPr>
                        </w:pPr>
                        <w:r>
                          <w:rPr>
                            <w:w w:val="105"/>
                            <w:sz w:val="12"/>
                          </w:rPr>
                          <w:t>Hip</w:t>
                        </w:r>
                      </w:p>
                    </w:tc>
                    <w:tc>
                      <w:tcPr>
                        <w:tcW w:w="1470" w:type="dxa"/>
                      </w:tcPr>
                      <w:p>
                        <w:pPr>
                          <w:pStyle w:val="TableParagraph"/>
                          <w:spacing w:before="8"/>
                          <w:rPr>
                            <w:sz w:val="11"/>
                          </w:rPr>
                        </w:pPr>
                      </w:p>
                      <w:p>
                        <w:pPr>
                          <w:pStyle w:val="TableParagraph"/>
                          <w:spacing w:line="134" w:lineRule="exact"/>
                          <w:ind w:left="305"/>
                          <w:rPr>
                            <w:sz w:val="12"/>
                          </w:rPr>
                        </w:pPr>
                        <w:r>
                          <w:rPr>
                            <w:w w:val="125"/>
                            <w:sz w:val="12"/>
                          </w:rPr>
                          <w:t>535</w:t>
                        </w:r>
                      </w:p>
                    </w:tc>
                    <w:tc>
                      <w:tcPr>
                        <w:tcW w:w="1580" w:type="dxa"/>
                      </w:tcPr>
                      <w:p>
                        <w:pPr>
                          <w:pStyle w:val="TableParagraph"/>
                          <w:spacing w:line="123" w:lineRule="exact"/>
                          <w:ind w:left="161"/>
                          <w:rPr>
                            <w:sz w:val="12"/>
                          </w:rPr>
                        </w:pPr>
                        <w:r>
                          <w:rPr>
                            <w:w w:val="110"/>
                            <w:sz w:val="12"/>
                          </w:rPr>
                          <w:t>dressing</w:t>
                        </w:r>
                      </w:p>
                      <w:p>
                        <w:pPr>
                          <w:pStyle w:val="TableParagraph"/>
                          <w:spacing w:line="134" w:lineRule="exact" w:before="22"/>
                          <w:ind w:left="161"/>
                          <w:rPr>
                            <w:sz w:val="12"/>
                          </w:rPr>
                        </w:pPr>
                        <w:r>
                          <w:rPr>
                            <w:w w:val="110"/>
                            <w:sz w:val="12"/>
                          </w:rPr>
                          <w:t>Staples vs absorbable</w:t>
                        </w:r>
                      </w:p>
                    </w:tc>
                    <w:tc>
                      <w:tcPr>
                        <w:tcW w:w="3014" w:type="dxa"/>
                      </w:tcPr>
                      <w:p>
                        <w:pPr>
                          <w:pStyle w:val="TableParagraph"/>
                          <w:spacing w:before="8"/>
                          <w:rPr>
                            <w:sz w:val="11"/>
                          </w:rPr>
                        </w:pPr>
                      </w:p>
                      <w:p>
                        <w:pPr>
                          <w:pStyle w:val="TableParagraph"/>
                          <w:spacing w:line="134" w:lineRule="exact"/>
                          <w:ind w:left="73"/>
                          <w:rPr>
                            <w:sz w:val="12"/>
                          </w:rPr>
                        </w:pPr>
                        <w:r>
                          <w:rPr>
                            <w:w w:val="110"/>
                            <w:sz w:val="12"/>
                          </w:rPr>
                          <w:t>SSI was de</w:t>
                        </w:r>
                        <w:r>
                          <w:rPr>
                            <w:rFonts w:ascii="Times New Roman" w:hAnsi="Times New Roman"/>
                            <w:w w:val="110"/>
                            <w:sz w:val="12"/>
                          </w:rPr>
                          <w:t>ﬁ</w:t>
                        </w:r>
                        <w:r>
                          <w:rPr>
                            <w:w w:val="110"/>
                            <w:sz w:val="12"/>
                          </w:rPr>
                          <w:t>ned as an infection involving only</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4" w:lineRule="exact" w:before="17"/>
                          <w:ind w:left="161"/>
                          <w:rPr>
                            <w:sz w:val="12"/>
                          </w:rPr>
                        </w:pPr>
                        <w:r>
                          <w:rPr>
                            <w:w w:val="115"/>
                            <w:sz w:val="12"/>
                          </w:rPr>
                          <w:t>sutures</w:t>
                        </w:r>
                      </w:p>
                    </w:tc>
                    <w:tc>
                      <w:tcPr>
                        <w:tcW w:w="3014" w:type="dxa"/>
                      </w:tcPr>
                      <w:p>
                        <w:pPr>
                          <w:pStyle w:val="TableParagraph"/>
                          <w:spacing w:line="134" w:lineRule="exact" w:before="17"/>
                          <w:ind w:left="73"/>
                          <w:rPr>
                            <w:sz w:val="12"/>
                          </w:rPr>
                        </w:pPr>
                        <w:r>
                          <w:rPr>
                            <w:w w:val="115"/>
                            <w:sz w:val="12"/>
                          </w:rPr>
                          <w:t>the skin or subcutaneous tissue of the incision</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7"/>
                          <w:ind w:left="73"/>
                          <w:rPr>
                            <w:sz w:val="12"/>
                          </w:rPr>
                        </w:pPr>
                        <w:r>
                          <w:rPr>
                            <w:w w:val="115"/>
                            <w:sz w:val="12"/>
                          </w:rPr>
                          <w:t>occurring within 30 d of the operation; AND at</w:t>
                        </w:r>
                      </w:p>
                    </w:tc>
                  </w:tr>
                  <w:tr>
                    <w:trPr>
                      <w:trHeight w:val="169"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7"/>
                          <w:ind w:left="73"/>
                          <w:rPr>
                            <w:sz w:val="12"/>
                          </w:rPr>
                        </w:pPr>
                        <w:r>
                          <w:rPr>
                            <w:w w:val="115"/>
                            <w:sz w:val="12"/>
                          </w:rPr>
                          <w:t>least 1 of the following: (1) purulent drainage,</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8"/>
                          <w:ind w:left="73"/>
                          <w:rPr>
                            <w:sz w:val="12"/>
                          </w:rPr>
                        </w:pPr>
                        <w:r>
                          <w:rPr>
                            <w:w w:val="115"/>
                            <w:sz w:val="12"/>
                          </w:rPr>
                          <w:t>with or without laboratory con</w:t>
                        </w:r>
                        <w:r>
                          <w:rPr>
                            <w:rFonts w:ascii="Times New Roman" w:hAnsi="Times New Roman"/>
                            <w:w w:val="115"/>
                            <w:sz w:val="12"/>
                          </w:rPr>
                          <w:t>ﬁ</w:t>
                        </w:r>
                        <w:r>
                          <w:rPr>
                            <w:w w:val="115"/>
                            <w:sz w:val="12"/>
                          </w:rPr>
                          <w:t>rmation, from</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8"/>
                          <w:ind w:left="73"/>
                          <w:rPr>
                            <w:sz w:val="12"/>
                          </w:rPr>
                        </w:pPr>
                        <w:r>
                          <w:rPr>
                            <w:w w:val="115"/>
                            <w:sz w:val="12"/>
                          </w:rPr>
                          <w:t>the super</w:t>
                        </w:r>
                        <w:r>
                          <w:rPr>
                            <w:rFonts w:ascii="Times New Roman" w:hAnsi="Times New Roman"/>
                            <w:w w:val="115"/>
                            <w:sz w:val="12"/>
                          </w:rPr>
                          <w:t>ﬁ</w:t>
                        </w:r>
                        <w:r>
                          <w:rPr>
                            <w:w w:val="115"/>
                            <w:sz w:val="12"/>
                          </w:rPr>
                          <w:t>cial incision; (2) organisms isolated</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8"/>
                          <w:ind w:left="73"/>
                          <w:rPr>
                            <w:sz w:val="12"/>
                          </w:rPr>
                        </w:pPr>
                        <w:r>
                          <w:rPr>
                            <w:w w:val="115"/>
                            <w:sz w:val="12"/>
                          </w:rPr>
                          <w:t>from an aseptically obtained culture of </w:t>
                        </w:r>
                        <w:r>
                          <w:rPr>
                            <w:rFonts w:ascii="Times New Roman" w:hAnsi="Times New Roman"/>
                            <w:w w:val="115"/>
                            <w:sz w:val="12"/>
                          </w:rPr>
                          <w:t>ﬂ</w:t>
                        </w:r>
                        <w:r>
                          <w:rPr>
                            <w:w w:val="115"/>
                            <w:sz w:val="12"/>
                          </w:rPr>
                          <w:t>uid or</w:t>
                        </w:r>
                      </w:p>
                    </w:tc>
                  </w:tr>
                  <w:tr>
                    <w:trPr>
                      <w:trHeight w:val="172"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8"/>
                          <w:ind w:left="73"/>
                          <w:rPr>
                            <w:sz w:val="12"/>
                          </w:rPr>
                        </w:pPr>
                        <w:r>
                          <w:rPr>
                            <w:w w:val="115"/>
                            <w:sz w:val="12"/>
                          </w:rPr>
                          <w:t>tissue from the super</w:t>
                        </w:r>
                        <w:r>
                          <w:rPr>
                            <w:rFonts w:ascii="Times New Roman" w:hAnsi="Times New Roman"/>
                            <w:w w:val="115"/>
                            <w:sz w:val="12"/>
                          </w:rPr>
                          <w:t>ﬁ</w:t>
                        </w:r>
                        <w:r>
                          <w:rPr>
                            <w:w w:val="115"/>
                            <w:sz w:val="12"/>
                          </w:rPr>
                          <w:t>cial incision; (3) at least</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7"/>
                          <w:ind w:left="73"/>
                          <w:rPr>
                            <w:sz w:val="12"/>
                          </w:rPr>
                        </w:pPr>
                        <w:r>
                          <w:rPr>
                            <w:w w:val="115"/>
                            <w:sz w:val="12"/>
                          </w:rPr>
                          <w:t>1 of the following signs or symptoms of</w:t>
                        </w:r>
                      </w:p>
                    </w:tc>
                  </w:tr>
                  <w:tr>
                    <w:trPr>
                      <w:trHeight w:val="169"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7"/>
                          <w:ind w:left="73"/>
                          <w:rPr>
                            <w:sz w:val="12"/>
                          </w:rPr>
                        </w:pPr>
                        <w:r>
                          <w:rPr>
                            <w:w w:val="115"/>
                            <w:sz w:val="12"/>
                          </w:rPr>
                          <w:t>infection: pain or tenderness, localized</w:t>
                        </w:r>
                      </w:p>
                    </w:tc>
                  </w:tr>
                  <w:tr>
                    <w:trPr>
                      <w:trHeight w:val="172"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8"/>
                          <w:ind w:left="73"/>
                          <w:rPr>
                            <w:sz w:val="12"/>
                          </w:rPr>
                        </w:pPr>
                        <w:r>
                          <w:rPr>
                            <w:w w:val="115"/>
                            <w:sz w:val="12"/>
                          </w:rPr>
                          <w:t>swelling, redness, or heat and super</w:t>
                        </w:r>
                        <w:r>
                          <w:rPr>
                            <w:rFonts w:ascii="Times New Roman" w:hAnsi="Times New Roman"/>
                            <w:w w:val="115"/>
                            <w:sz w:val="12"/>
                          </w:rPr>
                          <w:t>ﬁ</w:t>
                        </w:r>
                        <w:r>
                          <w:rPr>
                            <w:w w:val="115"/>
                            <w:sz w:val="12"/>
                          </w:rPr>
                          <w:t>cial</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7"/>
                          <w:ind w:left="73"/>
                          <w:rPr>
                            <w:sz w:val="12"/>
                          </w:rPr>
                        </w:pPr>
                        <w:r>
                          <w:rPr>
                            <w:w w:val="115"/>
                            <w:sz w:val="12"/>
                          </w:rPr>
                          <w:t>incision deliberately opened by surgeon, unless</w:t>
                        </w:r>
                      </w:p>
                    </w:tc>
                  </w:tr>
                  <w:tr>
                    <w:trPr>
                      <w:trHeight w:val="169"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7"/>
                          <w:ind w:left="73"/>
                          <w:rPr>
                            <w:sz w:val="12"/>
                          </w:rPr>
                        </w:pPr>
                        <w:r>
                          <w:rPr>
                            <w:w w:val="115"/>
                            <w:sz w:val="12"/>
                          </w:rPr>
                          <w:t>incision is culture-negative; (4) diagnosis of</w:t>
                        </w:r>
                      </w:p>
                    </w:tc>
                  </w:tr>
                  <w:tr>
                    <w:trPr>
                      <w:trHeight w:val="173"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5" w:lineRule="exact" w:before="18"/>
                          <w:ind w:left="73"/>
                          <w:rPr>
                            <w:sz w:val="12"/>
                          </w:rPr>
                        </w:pPr>
                        <w:r>
                          <w:rPr>
                            <w:w w:val="115"/>
                            <w:sz w:val="12"/>
                          </w:rPr>
                          <w:t>super</w:t>
                        </w:r>
                        <w:r>
                          <w:rPr>
                            <w:rFonts w:ascii="Times New Roman" w:hAnsi="Times New Roman"/>
                            <w:w w:val="115"/>
                            <w:sz w:val="12"/>
                          </w:rPr>
                          <w:t>ﬁ</w:t>
                        </w:r>
                        <w:r>
                          <w:rPr>
                            <w:w w:val="115"/>
                            <w:sz w:val="12"/>
                          </w:rPr>
                          <w:t>cial incisional SSI made by the surgeon</w:t>
                        </w:r>
                      </w:p>
                    </w:tc>
                  </w:tr>
                  <w:tr>
                    <w:trPr>
                      <w:trHeight w:val="170"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3" w:lineRule="exact" w:before="17"/>
                          <w:ind w:left="73"/>
                          <w:rPr>
                            <w:sz w:val="12"/>
                          </w:rPr>
                        </w:pPr>
                        <w:r>
                          <w:rPr>
                            <w:w w:val="115"/>
                            <w:sz w:val="12"/>
                          </w:rPr>
                          <w:t>or attending physician.</w:t>
                        </w:r>
                      </w:p>
                    </w:tc>
                  </w:tr>
                  <w:tr>
                    <w:trPr>
                      <w:trHeight w:val="172" w:hRule="atLeast"/>
                    </w:trPr>
                    <w:tc>
                      <w:tcPr>
                        <w:tcW w:w="1583" w:type="dxa"/>
                      </w:tcPr>
                      <w:p>
                        <w:pPr>
                          <w:pStyle w:val="TableParagraph"/>
                          <w:spacing w:line="134" w:lineRule="exact" w:before="18"/>
                          <w:ind w:left="120"/>
                          <w:rPr>
                            <w:sz w:val="12"/>
                          </w:rPr>
                        </w:pPr>
                        <w:r>
                          <w:rPr>
                            <w:w w:val="115"/>
                            <w:sz w:val="12"/>
                          </w:rPr>
                          <w:t>Snyder et al. [</w:t>
                        </w:r>
                        <w:hyperlink w:history="true" w:anchor="_bookmark29">
                          <w:r>
                            <w:rPr>
                              <w:color w:val="007FAC"/>
                              <w:w w:val="115"/>
                              <w:sz w:val="12"/>
                            </w:rPr>
                            <w:t>18</w:t>
                          </w:r>
                        </w:hyperlink>
                        <w:r>
                          <w:rPr>
                            <w:w w:val="115"/>
                            <w:sz w:val="12"/>
                          </w:rPr>
                          <w:t>]</w:t>
                        </w:r>
                      </w:p>
                    </w:tc>
                    <w:tc>
                      <w:tcPr>
                        <w:tcW w:w="925" w:type="dxa"/>
                      </w:tcPr>
                      <w:p>
                        <w:pPr>
                          <w:pStyle w:val="TableParagraph"/>
                          <w:spacing w:line="134" w:lineRule="exact" w:before="18"/>
                          <w:ind w:left="28"/>
                          <w:rPr>
                            <w:sz w:val="12"/>
                          </w:rPr>
                        </w:pPr>
                        <w:r>
                          <w:rPr>
                            <w:w w:val="125"/>
                            <w:sz w:val="12"/>
                          </w:rPr>
                          <w:t>2020</w:t>
                        </w:r>
                      </w:p>
                    </w:tc>
                    <w:tc>
                      <w:tcPr>
                        <w:tcW w:w="1840" w:type="dxa"/>
                      </w:tcPr>
                      <w:p>
                        <w:pPr>
                          <w:pStyle w:val="TableParagraph"/>
                          <w:spacing w:line="134" w:lineRule="exact" w:before="18"/>
                          <w:ind w:left="594"/>
                          <w:rPr>
                            <w:sz w:val="12"/>
                          </w:rPr>
                        </w:pPr>
                        <w:r>
                          <w:rPr>
                            <w:sz w:val="12"/>
                          </w:rPr>
                          <w:t>USA</w:t>
                        </w:r>
                      </w:p>
                    </w:tc>
                    <w:tc>
                      <w:tcPr>
                        <w:tcW w:w="1581" w:type="dxa"/>
                      </w:tcPr>
                      <w:p>
                        <w:pPr>
                          <w:pStyle w:val="TableParagraph"/>
                          <w:spacing w:line="134" w:lineRule="exact" w:before="18"/>
                          <w:ind w:left="246"/>
                          <w:rPr>
                            <w:sz w:val="12"/>
                          </w:rPr>
                        </w:pPr>
                        <w:r>
                          <w:rPr>
                            <w:w w:val="110"/>
                            <w:sz w:val="12"/>
                          </w:rPr>
                          <w:t>Observational</w:t>
                        </w:r>
                      </w:p>
                    </w:tc>
                    <w:tc>
                      <w:tcPr>
                        <w:tcW w:w="1507" w:type="dxa"/>
                      </w:tcPr>
                      <w:p>
                        <w:pPr>
                          <w:pStyle w:val="TableParagraph"/>
                          <w:spacing w:line="134" w:lineRule="exact" w:before="18"/>
                          <w:ind w:left="156"/>
                          <w:rPr>
                            <w:sz w:val="12"/>
                          </w:rPr>
                        </w:pPr>
                        <w:r>
                          <w:rPr>
                            <w:w w:val="115"/>
                            <w:sz w:val="12"/>
                          </w:rPr>
                          <w:t>Mixed hip and knee</w:t>
                        </w:r>
                      </w:p>
                    </w:tc>
                    <w:tc>
                      <w:tcPr>
                        <w:tcW w:w="1470" w:type="dxa"/>
                      </w:tcPr>
                      <w:p>
                        <w:pPr>
                          <w:pStyle w:val="TableParagraph"/>
                          <w:spacing w:line="135" w:lineRule="exact" w:before="17"/>
                          <w:ind w:left="140"/>
                          <w:rPr>
                            <w:sz w:val="12"/>
                          </w:rPr>
                        </w:pPr>
                        <w:r>
                          <w:rPr>
                            <w:rFonts w:ascii="Lucida Sans"/>
                            <w:w w:val="125"/>
                            <w:sz w:val="12"/>
                          </w:rPr>
                          <w:t>&gt;</w:t>
                        </w:r>
                        <w:r>
                          <w:rPr>
                            <w:w w:val="125"/>
                            <w:sz w:val="12"/>
                          </w:rPr>
                          <w:t>2000</w:t>
                        </w:r>
                      </w:p>
                    </w:tc>
                    <w:tc>
                      <w:tcPr>
                        <w:tcW w:w="1580" w:type="dxa"/>
                      </w:tcPr>
                      <w:p>
                        <w:pPr>
                          <w:pStyle w:val="TableParagraph"/>
                          <w:spacing w:line="134" w:lineRule="exact" w:before="18"/>
                          <w:ind w:left="161"/>
                          <w:rPr>
                            <w:sz w:val="12"/>
                          </w:rPr>
                        </w:pPr>
                        <w:r>
                          <w:rPr>
                            <w:w w:val="115"/>
                            <w:sz w:val="12"/>
                          </w:rPr>
                          <w:t>Single-arm barbed</w:t>
                        </w:r>
                      </w:p>
                    </w:tc>
                    <w:tc>
                      <w:tcPr>
                        <w:tcW w:w="3014" w:type="dxa"/>
                      </w:tcPr>
                      <w:p>
                        <w:pPr>
                          <w:pStyle w:val="TableParagraph"/>
                          <w:spacing w:line="134" w:lineRule="exact" w:before="18"/>
                          <w:ind w:left="73"/>
                          <w:rPr>
                            <w:sz w:val="12"/>
                          </w:rPr>
                        </w:pPr>
                        <w:r>
                          <w:rPr>
                            <w:w w:val="115"/>
                            <w:sz w:val="12"/>
                          </w:rPr>
                          <w:t>De</w:t>
                        </w:r>
                        <w:r>
                          <w:rPr>
                            <w:rFonts w:ascii="Times New Roman" w:hAnsi="Times New Roman"/>
                            <w:w w:val="115"/>
                            <w:sz w:val="12"/>
                          </w:rPr>
                          <w:t>ﬁ</w:t>
                        </w:r>
                        <w:r>
                          <w:rPr>
                            <w:w w:val="115"/>
                            <w:sz w:val="12"/>
                          </w:rPr>
                          <w:t>nition not reported.</w:t>
                        </w:r>
                      </w:p>
                    </w:tc>
                  </w:tr>
                  <w:tr>
                    <w:trPr>
                      <w:trHeight w:val="300" w:hRule="atLeast"/>
                    </w:trPr>
                    <w:tc>
                      <w:tcPr>
                        <w:tcW w:w="1583" w:type="dxa"/>
                      </w:tcPr>
                      <w:p>
                        <w:pPr>
                          <w:pStyle w:val="TableParagraph"/>
                          <w:rPr>
                            <w:rFonts w:ascii="Times New Roman"/>
                            <w:sz w:val="12"/>
                          </w:rPr>
                        </w:pPr>
                      </w:p>
                    </w:tc>
                    <w:tc>
                      <w:tcPr>
                        <w:tcW w:w="925" w:type="dxa"/>
                      </w:tcPr>
                      <w:p>
                        <w:pPr>
                          <w:pStyle w:val="TableParagraph"/>
                          <w:rPr>
                            <w:rFonts w:ascii="Times New Roman"/>
                            <w:sz w:val="12"/>
                          </w:rPr>
                        </w:pPr>
                      </w:p>
                    </w:tc>
                    <w:tc>
                      <w:tcPr>
                        <w:tcW w:w="1840" w:type="dxa"/>
                      </w:tcPr>
                      <w:p>
                        <w:pPr>
                          <w:pStyle w:val="TableParagraph"/>
                          <w:rPr>
                            <w:rFonts w:ascii="Times New Roman"/>
                            <w:sz w:val="12"/>
                          </w:rPr>
                        </w:pPr>
                      </w:p>
                    </w:tc>
                    <w:tc>
                      <w:tcPr>
                        <w:tcW w:w="1581" w:type="dxa"/>
                      </w:tcPr>
                      <w:p>
                        <w:pPr>
                          <w:pStyle w:val="TableParagraph"/>
                          <w:rPr>
                            <w:rFonts w:ascii="Times New Roman"/>
                            <w:sz w:val="12"/>
                          </w:rPr>
                        </w:pPr>
                      </w:p>
                    </w:tc>
                    <w:tc>
                      <w:tcPr>
                        <w:tcW w:w="1507" w:type="dxa"/>
                      </w:tcPr>
                      <w:p>
                        <w:pPr>
                          <w:pStyle w:val="TableParagraph"/>
                          <w:rPr>
                            <w:rFonts w:ascii="Times New Roman"/>
                            <w:sz w:val="12"/>
                          </w:rPr>
                        </w:pPr>
                      </w:p>
                    </w:tc>
                    <w:tc>
                      <w:tcPr>
                        <w:tcW w:w="1470" w:type="dxa"/>
                      </w:tcPr>
                      <w:p>
                        <w:pPr>
                          <w:pStyle w:val="TableParagraph"/>
                          <w:rPr>
                            <w:rFonts w:ascii="Times New Roman"/>
                            <w:sz w:val="12"/>
                          </w:rPr>
                        </w:pPr>
                      </w:p>
                    </w:tc>
                    <w:tc>
                      <w:tcPr>
                        <w:tcW w:w="1580" w:type="dxa"/>
                      </w:tcPr>
                      <w:p>
                        <w:pPr>
                          <w:pStyle w:val="TableParagraph"/>
                          <w:spacing w:before="11"/>
                          <w:ind w:left="161"/>
                          <w:rPr>
                            <w:rFonts w:ascii="Century Gothic" w:hAnsi="Century Gothic"/>
                            <w:sz w:val="12"/>
                          </w:rPr>
                        </w:pPr>
                        <w:r>
                          <w:rPr>
                            <w:w w:val="115"/>
                            <w:sz w:val="12"/>
                          </w:rPr>
                          <w:t>suture and TSA </w:t>
                        </w:r>
                        <w:r>
                          <w:rPr>
                            <w:rFonts w:ascii="Century Gothic" w:hAnsi="Century Gothic"/>
                            <w:w w:val="115"/>
                            <w:sz w:val="12"/>
                          </w:rPr>
                          <w:t>þ</w:t>
                        </w:r>
                      </w:p>
                    </w:tc>
                    <w:tc>
                      <w:tcPr>
                        <w:tcW w:w="3014" w:type="dxa"/>
                      </w:tcPr>
                      <w:p>
                        <w:pPr>
                          <w:pStyle w:val="TableParagraph"/>
                          <w:rPr>
                            <w:rFonts w:ascii="Times New Roman"/>
                            <w:sz w:val="12"/>
                          </w:rPr>
                        </w:pPr>
                      </w:p>
                    </w:tc>
                  </w:tr>
                  <w:tr>
                    <w:trPr>
                      <w:trHeight w:val="211" w:hRule="atLeast"/>
                    </w:trPr>
                    <w:tc>
                      <w:tcPr>
                        <w:tcW w:w="1583" w:type="dxa"/>
                      </w:tcPr>
                      <w:p>
                        <w:pPr>
                          <w:pStyle w:val="TableParagraph"/>
                          <w:spacing w:line="133" w:lineRule="exact" w:before="58"/>
                          <w:ind w:left="120"/>
                          <w:rPr>
                            <w:sz w:val="12"/>
                          </w:rPr>
                        </w:pPr>
                        <w:r>
                          <w:rPr>
                            <w:w w:val="115"/>
                            <w:sz w:val="12"/>
                          </w:rPr>
                          <w:t>Sundaram et al. [</w:t>
                        </w:r>
                        <w:hyperlink w:history="true" w:anchor="_bookmark42">
                          <w:r>
                            <w:rPr>
                              <w:color w:val="007FAC"/>
                              <w:w w:val="115"/>
                              <w:sz w:val="12"/>
                            </w:rPr>
                            <w:t>31</w:t>
                          </w:r>
                        </w:hyperlink>
                        <w:r>
                          <w:rPr>
                            <w:w w:val="115"/>
                            <w:sz w:val="12"/>
                          </w:rPr>
                          <w:t>]</w:t>
                        </w:r>
                      </w:p>
                    </w:tc>
                    <w:tc>
                      <w:tcPr>
                        <w:tcW w:w="925" w:type="dxa"/>
                      </w:tcPr>
                      <w:p>
                        <w:pPr>
                          <w:pStyle w:val="TableParagraph"/>
                          <w:spacing w:line="133" w:lineRule="exact" w:before="58"/>
                          <w:ind w:left="28"/>
                          <w:rPr>
                            <w:sz w:val="12"/>
                          </w:rPr>
                        </w:pPr>
                        <w:r>
                          <w:rPr>
                            <w:w w:val="125"/>
                            <w:sz w:val="12"/>
                          </w:rPr>
                          <w:t>2020</w:t>
                        </w:r>
                      </w:p>
                    </w:tc>
                    <w:tc>
                      <w:tcPr>
                        <w:tcW w:w="1840" w:type="dxa"/>
                      </w:tcPr>
                      <w:p>
                        <w:pPr>
                          <w:pStyle w:val="TableParagraph"/>
                          <w:spacing w:line="133" w:lineRule="exact" w:before="58"/>
                          <w:ind w:left="594"/>
                          <w:rPr>
                            <w:sz w:val="12"/>
                          </w:rPr>
                        </w:pPr>
                        <w:r>
                          <w:rPr>
                            <w:sz w:val="12"/>
                          </w:rPr>
                          <w:t>USA</w:t>
                        </w:r>
                      </w:p>
                    </w:tc>
                    <w:tc>
                      <w:tcPr>
                        <w:tcW w:w="1581" w:type="dxa"/>
                      </w:tcPr>
                      <w:p>
                        <w:pPr>
                          <w:pStyle w:val="TableParagraph"/>
                          <w:spacing w:line="133" w:lineRule="exact" w:before="58"/>
                          <w:ind w:left="246"/>
                          <w:rPr>
                            <w:sz w:val="12"/>
                          </w:rPr>
                        </w:pPr>
                        <w:r>
                          <w:rPr>
                            <w:sz w:val="12"/>
                          </w:rPr>
                          <w:t>RCT</w:t>
                        </w:r>
                      </w:p>
                    </w:tc>
                    <w:tc>
                      <w:tcPr>
                        <w:tcW w:w="1507" w:type="dxa"/>
                      </w:tcPr>
                      <w:p>
                        <w:pPr>
                          <w:pStyle w:val="TableParagraph"/>
                          <w:spacing w:line="133" w:lineRule="exact" w:before="58"/>
                          <w:ind w:left="156"/>
                          <w:rPr>
                            <w:sz w:val="12"/>
                          </w:rPr>
                        </w:pPr>
                        <w:r>
                          <w:rPr>
                            <w:w w:val="110"/>
                            <w:sz w:val="12"/>
                          </w:rPr>
                          <w:t>Knee</w:t>
                        </w:r>
                      </w:p>
                    </w:tc>
                    <w:tc>
                      <w:tcPr>
                        <w:tcW w:w="1470" w:type="dxa"/>
                      </w:tcPr>
                      <w:p>
                        <w:pPr>
                          <w:pStyle w:val="TableParagraph"/>
                          <w:spacing w:line="133" w:lineRule="exact" w:before="58"/>
                          <w:ind w:left="381"/>
                          <w:rPr>
                            <w:sz w:val="12"/>
                          </w:rPr>
                        </w:pPr>
                        <w:r>
                          <w:rPr>
                            <w:w w:val="125"/>
                            <w:sz w:val="12"/>
                          </w:rPr>
                          <w:t>60</w:t>
                        </w:r>
                      </w:p>
                    </w:tc>
                    <w:tc>
                      <w:tcPr>
                        <w:tcW w:w="1580" w:type="dxa"/>
                      </w:tcPr>
                      <w:p>
                        <w:pPr>
                          <w:pStyle w:val="TableParagraph"/>
                          <w:spacing w:line="133" w:lineRule="exact" w:before="58"/>
                          <w:ind w:left="161"/>
                          <w:rPr>
                            <w:sz w:val="12"/>
                          </w:rPr>
                        </w:pPr>
                        <w:r>
                          <w:rPr>
                            <w:w w:val="110"/>
                            <w:sz w:val="12"/>
                          </w:rPr>
                          <w:t>Barbed sutures vs</w:t>
                        </w:r>
                      </w:p>
                    </w:tc>
                    <w:tc>
                      <w:tcPr>
                        <w:tcW w:w="3014" w:type="dxa"/>
                      </w:tcPr>
                      <w:p>
                        <w:pPr>
                          <w:pStyle w:val="TableParagraph"/>
                          <w:spacing w:line="133" w:lineRule="exact" w:before="58"/>
                          <w:ind w:left="73"/>
                          <w:rPr>
                            <w:sz w:val="12"/>
                          </w:rPr>
                        </w:pPr>
                        <w:r>
                          <w:rPr>
                            <w:w w:val="115"/>
                            <w:sz w:val="12"/>
                          </w:rPr>
                          <w:t>Super</w:t>
                        </w:r>
                        <w:r>
                          <w:rPr>
                            <w:rFonts w:ascii="Times New Roman" w:hAnsi="Times New Roman"/>
                            <w:w w:val="115"/>
                            <w:sz w:val="12"/>
                          </w:rPr>
                          <w:t>ﬁ</w:t>
                        </w:r>
                        <w:r>
                          <w:rPr>
                            <w:w w:val="115"/>
                            <w:sz w:val="12"/>
                          </w:rPr>
                          <w:t>cial wound infections were de</w:t>
                        </w:r>
                        <w:r>
                          <w:rPr>
                            <w:rFonts w:ascii="Times New Roman" w:hAnsi="Times New Roman"/>
                            <w:w w:val="115"/>
                            <w:sz w:val="12"/>
                          </w:rPr>
                          <w:t>ﬁ</w:t>
                        </w:r>
                        <w:r>
                          <w:rPr>
                            <w:w w:val="115"/>
                            <w:sz w:val="12"/>
                          </w:rPr>
                          <w:t>ed as</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spacing w:line="133" w:lineRule="exact" w:before="18"/>
                          <w:ind w:left="161"/>
                          <w:rPr>
                            <w:sz w:val="12"/>
                          </w:rPr>
                        </w:pPr>
                        <w:r>
                          <w:rPr>
                            <w:w w:val="115"/>
                            <w:sz w:val="12"/>
                          </w:rPr>
                          <w:t>traditional sutures</w:t>
                        </w:r>
                      </w:p>
                    </w:tc>
                    <w:tc>
                      <w:tcPr>
                        <w:tcW w:w="3014" w:type="dxa"/>
                      </w:tcPr>
                      <w:p>
                        <w:pPr>
                          <w:pStyle w:val="TableParagraph"/>
                          <w:spacing w:line="133" w:lineRule="exact" w:before="18"/>
                          <w:ind w:left="73"/>
                          <w:rPr>
                            <w:sz w:val="12"/>
                          </w:rPr>
                        </w:pPr>
                        <w:r>
                          <w:rPr>
                            <w:w w:val="115"/>
                            <w:sz w:val="12"/>
                          </w:rPr>
                          <w:t>infections of the super</w:t>
                        </w:r>
                        <w:r>
                          <w:rPr>
                            <w:rFonts w:ascii="Times New Roman" w:hAnsi="Times New Roman"/>
                            <w:w w:val="115"/>
                            <w:sz w:val="12"/>
                          </w:rPr>
                          <w:t>ﬁ</w:t>
                        </w:r>
                        <w:r>
                          <w:rPr>
                            <w:w w:val="115"/>
                            <w:sz w:val="12"/>
                          </w:rPr>
                          <w:t>cial surface of the</w:t>
                        </w:r>
                      </w:p>
                    </w:tc>
                  </w:tr>
                  <w:tr>
                    <w:trPr>
                      <w:trHeight w:val="173"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5" w:lineRule="exact" w:before="18"/>
                          <w:ind w:left="73"/>
                          <w:rPr>
                            <w:sz w:val="12"/>
                          </w:rPr>
                        </w:pPr>
                        <w:r>
                          <w:rPr>
                            <w:w w:val="115"/>
                            <w:sz w:val="12"/>
                          </w:rPr>
                          <w:t>wound with no physical examination </w:t>
                        </w:r>
                        <w:r>
                          <w:rPr>
                            <w:rFonts w:ascii="Times New Roman" w:hAnsi="Times New Roman"/>
                            <w:w w:val="115"/>
                            <w:sz w:val="12"/>
                          </w:rPr>
                          <w:t>ﬁ</w:t>
                        </w:r>
                        <w:r>
                          <w:rPr>
                            <w:w w:val="115"/>
                            <w:sz w:val="12"/>
                          </w:rPr>
                          <w:t>ndings</w:t>
                        </w:r>
                      </w:p>
                    </w:tc>
                  </w:tr>
                  <w:tr>
                    <w:trPr>
                      <w:trHeight w:val="171" w:hRule="atLeast"/>
                    </w:trPr>
                    <w:tc>
                      <w:tcPr>
                        <w:tcW w:w="1583" w:type="dxa"/>
                      </w:tcPr>
                      <w:p>
                        <w:pPr>
                          <w:pStyle w:val="TableParagraph"/>
                          <w:rPr>
                            <w:rFonts w:ascii="Times New Roman"/>
                            <w:sz w:val="10"/>
                          </w:rPr>
                        </w:pPr>
                      </w:p>
                    </w:tc>
                    <w:tc>
                      <w:tcPr>
                        <w:tcW w:w="925" w:type="dxa"/>
                      </w:tcPr>
                      <w:p>
                        <w:pPr>
                          <w:pStyle w:val="TableParagraph"/>
                          <w:rPr>
                            <w:rFonts w:ascii="Times New Roman"/>
                            <w:sz w:val="10"/>
                          </w:rPr>
                        </w:pPr>
                      </w:p>
                    </w:tc>
                    <w:tc>
                      <w:tcPr>
                        <w:tcW w:w="1840" w:type="dxa"/>
                      </w:tcPr>
                      <w:p>
                        <w:pPr>
                          <w:pStyle w:val="TableParagraph"/>
                          <w:rPr>
                            <w:rFonts w:ascii="Times New Roman"/>
                            <w:sz w:val="10"/>
                          </w:rPr>
                        </w:pPr>
                      </w:p>
                    </w:tc>
                    <w:tc>
                      <w:tcPr>
                        <w:tcW w:w="1581" w:type="dxa"/>
                      </w:tcPr>
                      <w:p>
                        <w:pPr>
                          <w:pStyle w:val="TableParagraph"/>
                          <w:rPr>
                            <w:rFonts w:ascii="Times New Roman"/>
                            <w:sz w:val="10"/>
                          </w:rPr>
                        </w:pPr>
                      </w:p>
                    </w:tc>
                    <w:tc>
                      <w:tcPr>
                        <w:tcW w:w="1507" w:type="dxa"/>
                      </w:tcPr>
                      <w:p>
                        <w:pPr>
                          <w:pStyle w:val="TableParagraph"/>
                          <w:rPr>
                            <w:rFonts w:ascii="Times New Roman"/>
                            <w:sz w:val="10"/>
                          </w:rPr>
                        </w:pPr>
                      </w:p>
                    </w:tc>
                    <w:tc>
                      <w:tcPr>
                        <w:tcW w:w="1470" w:type="dxa"/>
                      </w:tcPr>
                      <w:p>
                        <w:pPr>
                          <w:pStyle w:val="TableParagraph"/>
                          <w:rPr>
                            <w:rFonts w:ascii="Times New Roman"/>
                            <w:sz w:val="10"/>
                          </w:rPr>
                        </w:pPr>
                      </w:p>
                    </w:tc>
                    <w:tc>
                      <w:tcPr>
                        <w:tcW w:w="1580" w:type="dxa"/>
                      </w:tcPr>
                      <w:p>
                        <w:pPr>
                          <w:pStyle w:val="TableParagraph"/>
                          <w:rPr>
                            <w:rFonts w:ascii="Times New Roman"/>
                            <w:sz w:val="10"/>
                          </w:rPr>
                        </w:pPr>
                      </w:p>
                    </w:tc>
                    <w:tc>
                      <w:tcPr>
                        <w:tcW w:w="3014" w:type="dxa"/>
                      </w:tcPr>
                      <w:p>
                        <w:pPr>
                          <w:pStyle w:val="TableParagraph"/>
                          <w:spacing w:line="134" w:lineRule="exact" w:before="17"/>
                          <w:ind w:left="73"/>
                          <w:rPr>
                            <w:sz w:val="12"/>
                          </w:rPr>
                        </w:pPr>
                        <w:r>
                          <w:rPr>
                            <w:w w:val="115"/>
                            <w:sz w:val="12"/>
                          </w:rPr>
                          <w:t>or clinical progression associated with deep</w:t>
                        </w:r>
                      </w:p>
                    </w:tc>
                  </w:tr>
                  <w:tr>
                    <w:trPr>
                      <w:trHeight w:val="209" w:hRule="atLeast"/>
                    </w:trPr>
                    <w:tc>
                      <w:tcPr>
                        <w:tcW w:w="1583" w:type="dxa"/>
                        <w:tcBorders>
                          <w:bottom w:val="single" w:sz="6" w:space="0" w:color="000000"/>
                        </w:tcBorders>
                      </w:tcPr>
                      <w:p>
                        <w:pPr>
                          <w:pStyle w:val="TableParagraph"/>
                          <w:rPr>
                            <w:rFonts w:ascii="Times New Roman"/>
                            <w:sz w:val="12"/>
                          </w:rPr>
                        </w:pPr>
                      </w:p>
                    </w:tc>
                    <w:tc>
                      <w:tcPr>
                        <w:tcW w:w="925" w:type="dxa"/>
                        <w:tcBorders>
                          <w:bottom w:val="single" w:sz="6" w:space="0" w:color="000000"/>
                        </w:tcBorders>
                      </w:tcPr>
                      <w:p>
                        <w:pPr>
                          <w:pStyle w:val="TableParagraph"/>
                          <w:rPr>
                            <w:rFonts w:ascii="Times New Roman"/>
                            <w:sz w:val="12"/>
                          </w:rPr>
                        </w:pPr>
                      </w:p>
                    </w:tc>
                    <w:tc>
                      <w:tcPr>
                        <w:tcW w:w="1840" w:type="dxa"/>
                        <w:tcBorders>
                          <w:bottom w:val="single" w:sz="6" w:space="0" w:color="000000"/>
                        </w:tcBorders>
                      </w:tcPr>
                      <w:p>
                        <w:pPr>
                          <w:pStyle w:val="TableParagraph"/>
                          <w:rPr>
                            <w:rFonts w:ascii="Times New Roman"/>
                            <w:sz w:val="12"/>
                          </w:rPr>
                        </w:pPr>
                      </w:p>
                    </w:tc>
                    <w:tc>
                      <w:tcPr>
                        <w:tcW w:w="1581" w:type="dxa"/>
                        <w:tcBorders>
                          <w:bottom w:val="single" w:sz="6" w:space="0" w:color="000000"/>
                        </w:tcBorders>
                      </w:tcPr>
                      <w:p>
                        <w:pPr>
                          <w:pStyle w:val="TableParagraph"/>
                          <w:rPr>
                            <w:rFonts w:ascii="Times New Roman"/>
                            <w:sz w:val="12"/>
                          </w:rPr>
                        </w:pPr>
                      </w:p>
                    </w:tc>
                    <w:tc>
                      <w:tcPr>
                        <w:tcW w:w="1507" w:type="dxa"/>
                        <w:tcBorders>
                          <w:bottom w:val="single" w:sz="6" w:space="0" w:color="000000"/>
                        </w:tcBorders>
                      </w:tcPr>
                      <w:p>
                        <w:pPr>
                          <w:pStyle w:val="TableParagraph"/>
                          <w:rPr>
                            <w:rFonts w:ascii="Times New Roman"/>
                            <w:sz w:val="12"/>
                          </w:rPr>
                        </w:pPr>
                      </w:p>
                    </w:tc>
                    <w:tc>
                      <w:tcPr>
                        <w:tcW w:w="1470" w:type="dxa"/>
                        <w:tcBorders>
                          <w:bottom w:val="single" w:sz="6" w:space="0" w:color="000000"/>
                        </w:tcBorders>
                      </w:tcPr>
                      <w:p>
                        <w:pPr>
                          <w:pStyle w:val="TableParagraph"/>
                          <w:rPr>
                            <w:rFonts w:ascii="Times New Roman"/>
                            <w:sz w:val="12"/>
                          </w:rPr>
                        </w:pPr>
                      </w:p>
                    </w:tc>
                    <w:tc>
                      <w:tcPr>
                        <w:tcW w:w="1580" w:type="dxa"/>
                        <w:tcBorders>
                          <w:bottom w:val="single" w:sz="6" w:space="0" w:color="000000"/>
                        </w:tcBorders>
                      </w:tcPr>
                      <w:p>
                        <w:pPr>
                          <w:pStyle w:val="TableParagraph"/>
                          <w:rPr>
                            <w:rFonts w:ascii="Times New Roman"/>
                            <w:sz w:val="12"/>
                          </w:rPr>
                        </w:pPr>
                      </w:p>
                    </w:tc>
                    <w:tc>
                      <w:tcPr>
                        <w:tcW w:w="3014" w:type="dxa"/>
                        <w:tcBorders>
                          <w:bottom w:val="single" w:sz="6" w:space="0" w:color="000000"/>
                        </w:tcBorders>
                      </w:tcPr>
                      <w:p>
                        <w:pPr>
                          <w:pStyle w:val="TableParagraph"/>
                          <w:spacing w:before="17"/>
                          <w:ind w:left="73"/>
                          <w:rPr>
                            <w:sz w:val="12"/>
                          </w:rPr>
                        </w:pPr>
                        <w:r>
                          <w:rPr>
                            <w:w w:val="115"/>
                            <w:sz w:val="12"/>
                          </w:rPr>
                          <w:t>infection.</w:t>
                        </w:r>
                      </w:p>
                    </w:tc>
                  </w:tr>
                </w:tbl>
                <w:p>
                  <w:pPr>
                    <w:pStyle w:val="BodyText"/>
                  </w:pPr>
                </w:p>
              </w:txbxContent>
            </v:textbox>
            <w10:wrap type="none"/>
          </v:shape>
        </w:pict>
      </w:r>
      <w:bookmarkStart w:name="_bookmark9" w:id="10"/>
      <w:bookmarkEnd w:id="10"/>
      <w:r>
        <w:rPr/>
      </w:r>
      <w:bookmarkStart w:name="_bookmark8" w:id="11"/>
      <w:bookmarkEnd w:id="11"/>
      <w:r>
        <w:rPr/>
      </w:r>
      <w:bookmarkStart w:name="_bookmark7" w:id="12"/>
      <w:bookmarkEnd w:id="12"/>
      <w:r>
        <w:rPr/>
      </w:r>
      <w:bookmarkStart w:name="_bookmark6" w:id="13"/>
      <w:bookmarkEnd w:id="13"/>
      <w:r>
        <w:rPr/>
      </w:r>
      <w:bookmarkStart w:name="_bookmark5" w:id="14"/>
      <w:bookmarkEnd w:id="14"/>
      <w:r>
        <w:rPr/>
      </w:r>
      <w:r>
        <w:rPr>
          <w:w w:val="120"/>
          <w:sz w:val="12"/>
        </w:rPr>
        <w:t>Table 1 (</w:t>
      </w:r>
      <w:r>
        <w:rPr>
          <w:i/>
          <w:w w:val="120"/>
          <w:sz w:val="12"/>
        </w:rPr>
        <w:t>continued </w:t>
      </w:r>
      <w:r>
        <w:rPr>
          <w:w w:val="120"/>
          <w:sz w:val="12"/>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rPr>
          <w:sz w:val="11"/>
        </w:rPr>
      </w:pPr>
    </w:p>
    <w:p>
      <w:pPr>
        <w:spacing w:before="0"/>
        <w:ind w:left="9579" w:right="0" w:firstLine="0"/>
        <w:jc w:val="left"/>
        <w:rPr>
          <w:sz w:val="12"/>
        </w:rPr>
      </w:pPr>
      <w:r>
        <w:rPr>
          <w:w w:val="110"/>
          <w:sz w:val="12"/>
        </w:rPr>
        <w:t>vs  silver</w:t>
      </w:r>
      <w:r>
        <w:rPr>
          <w:spacing w:val="10"/>
          <w:w w:val="110"/>
          <w:sz w:val="12"/>
        </w:rPr>
        <w:t> </w:t>
      </w:r>
      <w:r>
        <w:rPr>
          <w:w w:val="110"/>
          <w:sz w:val="12"/>
        </w:rPr>
        <w:t>impregnated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rPr>
          <w:sz w:val="13"/>
        </w:rPr>
      </w:pPr>
    </w:p>
    <w:p>
      <w:pPr>
        <w:spacing w:before="0"/>
        <w:ind w:left="9579" w:right="0" w:firstLine="0"/>
        <w:jc w:val="left"/>
        <w:rPr>
          <w:sz w:val="12"/>
        </w:rPr>
      </w:pPr>
      <w:r>
        <w:rPr>
          <w:w w:val="110"/>
          <w:sz w:val="12"/>
        </w:rPr>
        <w:t>vs  silver</w:t>
      </w:r>
      <w:r>
        <w:rPr>
          <w:spacing w:val="10"/>
          <w:w w:val="110"/>
          <w:sz w:val="12"/>
        </w:rPr>
        <w:t> </w:t>
      </w:r>
      <w:r>
        <w:rPr>
          <w:w w:val="110"/>
          <w:sz w:val="12"/>
        </w:rPr>
        <w:t>impregnated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124"/>
        <w:ind w:left="9579" w:right="0" w:firstLine="0"/>
        <w:jc w:val="left"/>
        <w:rPr>
          <w:sz w:val="12"/>
        </w:rPr>
      </w:pPr>
      <w:r>
        <w:rPr>
          <w:w w:val="115"/>
          <w:sz w:val="12"/>
        </w:rPr>
        <w:t>polyester mesh</w:t>
      </w:r>
    </w:p>
    <w:p>
      <w:pPr>
        <w:pStyle w:val="BodyText"/>
      </w:pPr>
    </w:p>
    <w:p>
      <w:pPr>
        <w:pStyle w:val="BodyText"/>
      </w:pPr>
    </w:p>
    <w:p>
      <w:pPr>
        <w:pStyle w:val="BodyText"/>
      </w:pPr>
    </w:p>
    <w:p>
      <w:pPr>
        <w:pStyle w:val="BodyText"/>
      </w:pPr>
    </w:p>
    <w:p>
      <w:pPr>
        <w:pStyle w:val="BodyText"/>
        <w:spacing w:before="1"/>
        <w:rPr>
          <w:sz w:val="14"/>
        </w:rPr>
      </w:pPr>
    </w:p>
    <w:p>
      <w:pPr>
        <w:spacing w:line="145" w:lineRule="exact" w:before="1"/>
        <w:ind w:left="511" w:right="0" w:firstLine="0"/>
        <w:jc w:val="left"/>
        <w:rPr>
          <w:sz w:val="12"/>
        </w:rPr>
      </w:pPr>
      <w:r>
        <w:rPr>
          <w:w w:val="110"/>
          <w:sz w:val="12"/>
        </w:rPr>
        <w:t>IV, intravenous.</w:t>
      </w:r>
    </w:p>
    <w:p>
      <w:pPr>
        <w:spacing w:line="171" w:lineRule="exact" w:before="0"/>
        <w:ind w:left="629" w:right="0" w:firstLine="0"/>
        <w:jc w:val="left"/>
        <w:rPr>
          <w:sz w:val="12"/>
        </w:rPr>
      </w:pPr>
      <w:r>
        <w:rPr>
          <w:w w:val="115"/>
          <w:position w:val="6"/>
          <w:sz w:val="9"/>
        </w:rPr>
        <w:t>a </w:t>
      </w:r>
      <w:r>
        <w:rPr>
          <w:w w:val="115"/>
          <w:sz w:val="12"/>
        </w:rPr>
        <w:t>Ting et al., 2012 stated that "No patient developed </w:t>
      </w:r>
      <w:r>
        <w:rPr>
          <w:rFonts w:ascii="Arial" w:hAnsi="Arial"/>
          <w:w w:val="115"/>
          <w:sz w:val="12"/>
        </w:rPr>
        <w:t>…</w:t>
      </w:r>
      <w:r>
        <w:rPr>
          <w:rFonts w:ascii="Lucida Sans" w:hAnsi="Lucida Sans"/>
          <w:w w:val="115"/>
          <w:sz w:val="12"/>
        </w:rPr>
        <w:t>” “</w:t>
      </w:r>
      <w:r>
        <w:rPr>
          <w:w w:val="115"/>
          <w:sz w:val="12"/>
        </w:rPr>
        <w:t>deep periprosthetic joint infection after discharge,</w:t>
      </w:r>
      <w:r>
        <w:rPr>
          <w:rFonts w:ascii="Lucida Sans" w:hAnsi="Lucida Sans"/>
          <w:w w:val="115"/>
          <w:sz w:val="12"/>
        </w:rPr>
        <w:t>” </w:t>
      </w:r>
      <w:r>
        <w:rPr>
          <w:w w:val="115"/>
          <w:sz w:val="12"/>
        </w:rPr>
        <w:t>implying that "deep infection" and "PJI" are used interchangeably in this study.</w:t>
      </w:r>
    </w:p>
    <w:p>
      <w:pPr>
        <w:spacing w:line="171" w:lineRule="exact" w:before="0"/>
        <w:ind w:left="622" w:right="0" w:firstLine="0"/>
        <w:jc w:val="left"/>
        <w:rPr>
          <w:sz w:val="12"/>
        </w:rPr>
      </w:pPr>
      <w:r>
        <w:rPr>
          <w:w w:val="115"/>
          <w:position w:val="6"/>
          <w:sz w:val="9"/>
        </w:rPr>
        <w:t>b </w:t>
      </w:r>
      <w:r>
        <w:rPr>
          <w:w w:val="115"/>
          <w:sz w:val="12"/>
        </w:rPr>
        <w:t>Sah et al., 2015 cites the Ting et al., 2012 study which mentions periprosthetic infection, but no other mentions of PJI.</w:t>
      </w:r>
    </w:p>
    <w:p>
      <w:pPr>
        <w:spacing w:line="171" w:lineRule="exact" w:before="0"/>
        <w:ind w:left="633" w:right="0" w:firstLine="0"/>
        <w:jc w:val="left"/>
        <w:rPr>
          <w:sz w:val="12"/>
        </w:rPr>
      </w:pPr>
      <w:r>
        <w:rPr>
          <w:w w:val="115"/>
          <w:position w:val="6"/>
          <w:sz w:val="9"/>
        </w:rPr>
        <w:t>c </w:t>
      </w:r>
      <w:r>
        <w:rPr>
          <w:w w:val="115"/>
          <w:sz w:val="12"/>
        </w:rPr>
        <w:t>Chow et al., 2016 mentioned PJI without further de</w:t>
      </w:r>
      <w:r>
        <w:rPr>
          <w:rFonts w:ascii="Times New Roman" w:hAnsi="Times New Roman"/>
          <w:w w:val="115"/>
          <w:sz w:val="12"/>
        </w:rPr>
        <w:t>ﬁ</w:t>
      </w:r>
      <w:r>
        <w:rPr>
          <w:w w:val="115"/>
          <w:sz w:val="12"/>
        </w:rPr>
        <w:t>nition.</w:t>
      </w:r>
    </w:p>
    <w:p>
      <w:pPr>
        <w:spacing w:line="171" w:lineRule="exact" w:before="0"/>
        <w:ind w:left="620" w:right="0" w:firstLine="0"/>
        <w:jc w:val="left"/>
        <w:rPr>
          <w:rFonts w:ascii="Lucida Sans" w:hAnsi="Lucida Sans"/>
          <w:sz w:val="12"/>
        </w:rPr>
      </w:pPr>
      <w:r>
        <w:rPr>
          <w:w w:val="115"/>
          <w:position w:val="6"/>
          <w:sz w:val="9"/>
        </w:rPr>
        <w:t>d </w:t>
      </w:r>
      <w:r>
        <w:rPr>
          <w:w w:val="115"/>
          <w:sz w:val="12"/>
        </w:rPr>
        <w:t>Lin et al., 2018 used the term </w:t>
      </w:r>
      <w:r>
        <w:rPr>
          <w:rFonts w:ascii="Lucida Sans" w:hAnsi="Lucida Sans"/>
          <w:w w:val="115"/>
          <w:sz w:val="12"/>
        </w:rPr>
        <w:t>“</w:t>
      </w:r>
      <w:r>
        <w:rPr>
          <w:w w:val="115"/>
          <w:sz w:val="12"/>
        </w:rPr>
        <w:t>deep PJI.</w:t>
      </w:r>
      <w:r>
        <w:rPr>
          <w:rFonts w:ascii="Lucida Sans" w:hAnsi="Lucida Sans"/>
          <w:w w:val="115"/>
          <w:sz w:val="12"/>
        </w:rPr>
        <w:t>”</w:t>
      </w:r>
    </w:p>
    <w:p>
      <w:pPr>
        <w:spacing w:line="176" w:lineRule="exact" w:before="0"/>
        <w:ind w:left="628" w:right="0" w:firstLine="0"/>
        <w:jc w:val="left"/>
        <w:rPr>
          <w:sz w:val="12"/>
        </w:rPr>
      </w:pPr>
      <w:r>
        <w:rPr>
          <w:w w:val="115"/>
          <w:position w:val="6"/>
          <w:sz w:val="9"/>
        </w:rPr>
        <w:t>e </w:t>
      </w:r>
      <w:r>
        <w:rPr>
          <w:w w:val="115"/>
          <w:sz w:val="12"/>
        </w:rPr>
        <w:t>The introduction of Rui et al., 2018 mentions "deep periprosthetic joint infection", but does not use that term to describe deep infections in the main text.</w:t>
      </w:r>
    </w:p>
    <w:p>
      <w:pPr>
        <w:spacing w:after="0" w:line="176" w:lineRule="exact"/>
        <w:jc w:val="left"/>
        <w:rPr>
          <w:sz w:val="12"/>
        </w:rPr>
        <w:sectPr>
          <w:headerReference w:type="default" r:id="rId32"/>
          <w:footerReference w:type="default" r:id="rId33"/>
          <w:pgSz w:w="15880" w:h="11910" w:orient="landscape"/>
          <w:pgMar w:header="0" w:footer="0" w:top="0" w:bottom="0" w:left="520" w:right="1220"/>
        </w:sectPr>
      </w:pPr>
    </w:p>
    <w:p>
      <w:pPr>
        <w:tabs>
          <w:tab w:pos="10711" w:val="right" w:leader="none"/>
        </w:tabs>
        <w:spacing w:before="99"/>
        <w:ind w:left="3851" w:right="0" w:firstLine="0"/>
        <w:jc w:val="left"/>
        <w:rPr>
          <w:sz w:val="12"/>
        </w:rPr>
      </w:pPr>
      <w:bookmarkStart w:name="Discussion" w:id="15"/>
      <w:bookmarkEnd w:id="15"/>
      <w:r>
        <w:rPr/>
      </w:r>
      <w:r>
        <w:rPr>
          <w:i/>
          <w:w w:val="110"/>
          <w:sz w:val="12"/>
        </w:rPr>
        <w:t>M.A. Snyder et al. / Arthroplasty Today xxx</w:t>
      </w:r>
      <w:r>
        <w:rPr>
          <w:i/>
          <w:spacing w:val="8"/>
          <w:w w:val="110"/>
          <w:sz w:val="12"/>
        </w:rPr>
        <w:t> </w:t>
      </w:r>
      <w:r>
        <w:rPr>
          <w:i/>
          <w:w w:val="110"/>
          <w:sz w:val="12"/>
        </w:rPr>
        <w:t>(2021)</w:t>
      </w:r>
      <w:r>
        <w:rPr>
          <w:i/>
          <w:spacing w:val="10"/>
          <w:w w:val="110"/>
          <w:sz w:val="12"/>
        </w:rPr>
        <w:t> </w:t>
      </w:r>
      <w:r>
        <w:rPr>
          <w:i/>
          <w:spacing w:val="-3"/>
          <w:w w:val="110"/>
          <w:sz w:val="12"/>
        </w:rPr>
        <w:t>1</w:t>
      </w:r>
      <w:r>
        <w:rPr>
          <w:rFonts w:ascii="Lucida Sans"/>
          <w:spacing w:val="-3"/>
          <w:w w:val="110"/>
          <w:sz w:val="12"/>
        </w:rPr>
        <w:t>e</w:t>
      </w:r>
      <w:r>
        <w:rPr>
          <w:i/>
          <w:spacing w:val="-3"/>
          <w:w w:val="110"/>
          <w:sz w:val="12"/>
        </w:rPr>
        <w:t>10.e7</w:t>
        <w:tab/>
      </w:r>
      <w:r>
        <w:rPr>
          <w:w w:val="110"/>
          <w:sz w:val="12"/>
        </w:rPr>
        <w:t>7</w:t>
      </w:r>
    </w:p>
    <w:p>
      <w:pPr>
        <w:spacing w:after="0"/>
        <w:jc w:val="left"/>
        <w:rPr>
          <w:sz w:val="12"/>
        </w:rPr>
        <w:sectPr>
          <w:headerReference w:type="default" r:id="rId34"/>
          <w:footerReference w:type="default" r:id="rId35"/>
          <w:pgSz w:w="11910" w:h="15880"/>
          <w:pgMar w:header="210" w:footer="165" w:top="840" w:bottom="360" w:left="540" w:right="540"/>
        </w:sectPr>
      </w:pPr>
    </w:p>
    <w:p>
      <w:pPr>
        <w:pStyle w:val="BodyText"/>
        <w:spacing w:before="8"/>
      </w:pPr>
    </w:p>
    <w:p>
      <w:pPr>
        <w:pStyle w:val="BodyText"/>
        <w:spacing w:line="252" w:lineRule="auto"/>
        <w:ind w:left="310"/>
        <w:jc w:val="both"/>
      </w:pPr>
      <w:r>
        <w:rPr>
          <w:w w:val="105"/>
        </w:rPr>
        <w:t>patients. Adverse event rates were generally </w:t>
      </w:r>
      <w:r>
        <w:rPr>
          <w:spacing w:val="-3"/>
          <w:w w:val="105"/>
        </w:rPr>
        <w:t>low, </w:t>
      </w:r>
      <w:r>
        <w:rPr>
          <w:w w:val="105"/>
        </w:rPr>
        <w:t>with deep </w:t>
      </w:r>
      <w:r>
        <w:rPr>
          <w:spacing w:val="-4"/>
          <w:w w:val="105"/>
        </w:rPr>
        <w:t>SSI </w:t>
      </w:r>
      <w:r>
        <w:rPr>
          <w:w w:val="105"/>
        </w:rPr>
        <w:t>ranging</w:t>
      </w:r>
      <w:r>
        <w:rPr>
          <w:spacing w:val="-5"/>
          <w:w w:val="105"/>
        </w:rPr>
        <w:t> </w:t>
      </w:r>
      <w:r>
        <w:rPr>
          <w:w w:val="105"/>
        </w:rPr>
        <w:t>from</w:t>
      </w:r>
      <w:r>
        <w:rPr>
          <w:spacing w:val="-7"/>
          <w:w w:val="105"/>
        </w:rPr>
        <w:t> </w:t>
      </w:r>
      <w:r>
        <w:rPr>
          <w:w w:val="105"/>
        </w:rPr>
        <w:t>0%</w:t>
      </w:r>
      <w:r>
        <w:rPr>
          <w:spacing w:val="-4"/>
          <w:w w:val="105"/>
        </w:rPr>
        <w:t> </w:t>
      </w:r>
      <w:r>
        <w:rPr>
          <w:w w:val="105"/>
        </w:rPr>
        <w:t>to</w:t>
      </w:r>
      <w:r>
        <w:rPr>
          <w:spacing w:val="-6"/>
          <w:w w:val="105"/>
        </w:rPr>
        <w:t> </w:t>
      </w:r>
      <w:r>
        <w:rPr>
          <w:w w:val="105"/>
        </w:rPr>
        <w:t>2.2%,</w:t>
      </w:r>
      <w:r>
        <w:rPr>
          <w:spacing w:val="-6"/>
          <w:w w:val="105"/>
        </w:rPr>
        <w:t> </w:t>
      </w:r>
      <w:r>
        <w:rPr>
          <w:w w:val="105"/>
        </w:rPr>
        <w:t>super</w:t>
      </w:r>
      <w:r>
        <w:rPr>
          <w:rFonts w:ascii="Times New Roman" w:hAnsi="Times New Roman"/>
          <w:w w:val="105"/>
        </w:rPr>
        <w:t>ﬁ</w:t>
      </w:r>
      <w:r>
        <w:rPr>
          <w:w w:val="105"/>
        </w:rPr>
        <w:t>cial</w:t>
      </w:r>
      <w:r>
        <w:rPr>
          <w:spacing w:val="-5"/>
          <w:w w:val="105"/>
        </w:rPr>
        <w:t> </w:t>
      </w:r>
      <w:r>
        <w:rPr>
          <w:w w:val="105"/>
        </w:rPr>
        <w:t>SSI</w:t>
      </w:r>
      <w:r>
        <w:rPr>
          <w:spacing w:val="-4"/>
          <w:w w:val="105"/>
        </w:rPr>
        <w:t> </w:t>
      </w:r>
      <w:r>
        <w:rPr>
          <w:w w:val="105"/>
        </w:rPr>
        <w:t>ranging</w:t>
      </w:r>
      <w:r>
        <w:rPr>
          <w:spacing w:val="-5"/>
          <w:w w:val="105"/>
        </w:rPr>
        <w:t> </w:t>
      </w:r>
      <w:r>
        <w:rPr>
          <w:w w:val="105"/>
        </w:rPr>
        <w:t>from</w:t>
      </w:r>
      <w:r>
        <w:rPr>
          <w:spacing w:val="-7"/>
          <w:w w:val="105"/>
        </w:rPr>
        <w:t> </w:t>
      </w:r>
      <w:r>
        <w:rPr>
          <w:w w:val="105"/>
        </w:rPr>
        <w:t>0%</w:t>
      </w:r>
      <w:r>
        <w:rPr>
          <w:spacing w:val="-4"/>
          <w:w w:val="105"/>
        </w:rPr>
        <w:t> </w:t>
      </w:r>
      <w:r>
        <w:rPr>
          <w:w w:val="105"/>
        </w:rPr>
        <w:t>to</w:t>
      </w:r>
      <w:r>
        <w:rPr>
          <w:spacing w:val="-6"/>
          <w:w w:val="105"/>
        </w:rPr>
        <w:t> </w:t>
      </w:r>
      <w:r>
        <w:rPr>
          <w:w w:val="105"/>
        </w:rPr>
        <w:t>3%,</w:t>
      </w:r>
      <w:r>
        <w:rPr>
          <w:spacing w:val="-6"/>
          <w:w w:val="105"/>
        </w:rPr>
        <w:t> </w:t>
      </w:r>
      <w:r>
        <w:rPr>
          <w:spacing w:val="-4"/>
          <w:w w:val="105"/>
        </w:rPr>
        <w:t>and </w:t>
      </w:r>
      <w:r>
        <w:rPr>
          <w:w w:val="105"/>
        </w:rPr>
        <w:t>wound dehiscence ranging from 2.2% to 3% (Prolonged </w:t>
      </w:r>
      <w:r>
        <w:rPr>
          <w:spacing w:val="-3"/>
          <w:w w:val="105"/>
        </w:rPr>
        <w:t>wound </w:t>
      </w:r>
      <w:r>
        <w:rPr>
          <w:w w:val="105"/>
        </w:rPr>
        <w:t>drainage was not reported.). Closure categories using barbed </w:t>
      </w:r>
      <w:r>
        <w:rPr>
          <w:spacing w:val="-4"/>
          <w:w w:val="105"/>
        </w:rPr>
        <w:t>su- </w:t>
      </w:r>
      <w:r>
        <w:rPr>
          <w:w w:val="105"/>
        </w:rPr>
        <w:t>tures for deeper tissue closure in single (#4) or multiple layers </w:t>
      </w:r>
      <w:r>
        <w:rPr>
          <w:spacing w:val="-3"/>
          <w:w w:val="105"/>
        </w:rPr>
        <w:t>(#5) </w:t>
      </w:r>
      <w:r>
        <w:rPr>
          <w:w w:val="105"/>
        </w:rPr>
        <w:t>were evenly studied in </w:t>
      </w:r>
      <w:r>
        <w:rPr>
          <w:spacing w:val="-3"/>
          <w:w w:val="105"/>
        </w:rPr>
        <w:t>1349 </w:t>
      </w:r>
      <w:r>
        <w:rPr>
          <w:w w:val="105"/>
        </w:rPr>
        <w:t>and 1300 patients, respectively. The use of barbed sutures for a single deep tissue layer reported a </w:t>
      </w:r>
      <w:r>
        <w:rPr>
          <w:spacing w:val="-5"/>
          <w:w w:val="105"/>
        </w:rPr>
        <w:t>low </w:t>
      </w:r>
      <w:r>
        <w:rPr>
          <w:w w:val="105"/>
        </w:rPr>
        <w:t>adverse event range for deep SSI (0% to 0.5%) and a wide range for super</w:t>
      </w:r>
      <w:r>
        <w:rPr>
          <w:rFonts w:ascii="Times New Roman" w:hAnsi="Times New Roman"/>
          <w:w w:val="105"/>
        </w:rPr>
        <w:t>ﬁ</w:t>
      </w:r>
      <w:r>
        <w:rPr>
          <w:w w:val="105"/>
        </w:rPr>
        <w:t>cial SSI (0% to 33%). The use of barbed sutures for multiple deep</w:t>
      </w:r>
      <w:r>
        <w:rPr>
          <w:spacing w:val="-3"/>
          <w:w w:val="105"/>
        </w:rPr>
        <w:t> </w:t>
      </w:r>
      <w:r>
        <w:rPr>
          <w:w w:val="105"/>
        </w:rPr>
        <w:t>layer</w:t>
      </w:r>
      <w:r>
        <w:rPr>
          <w:spacing w:val="-4"/>
          <w:w w:val="105"/>
        </w:rPr>
        <w:t> </w:t>
      </w:r>
      <w:r>
        <w:rPr>
          <w:w w:val="105"/>
        </w:rPr>
        <w:t>closure</w:t>
      </w:r>
      <w:r>
        <w:rPr>
          <w:spacing w:val="-4"/>
          <w:w w:val="105"/>
        </w:rPr>
        <w:t> </w:t>
      </w:r>
      <w:r>
        <w:rPr>
          <w:w w:val="105"/>
        </w:rPr>
        <w:t>reported</w:t>
      </w:r>
      <w:r>
        <w:rPr>
          <w:spacing w:val="-2"/>
          <w:w w:val="105"/>
        </w:rPr>
        <w:t> </w:t>
      </w:r>
      <w:r>
        <w:rPr>
          <w:w w:val="105"/>
        </w:rPr>
        <w:t>a</w:t>
      </w:r>
      <w:r>
        <w:rPr>
          <w:spacing w:val="-2"/>
          <w:w w:val="105"/>
        </w:rPr>
        <w:t> </w:t>
      </w:r>
      <w:r>
        <w:rPr>
          <w:w w:val="105"/>
        </w:rPr>
        <w:t>range</w:t>
      </w:r>
      <w:r>
        <w:rPr>
          <w:spacing w:val="-2"/>
          <w:w w:val="105"/>
        </w:rPr>
        <w:t> </w:t>
      </w:r>
      <w:r>
        <w:rPr>
          <w:w w:val="105"/>
        </w:rPr>
        <w:t>of</w:t>
      </w:r>
      <w:r>
        <w:rPr>
          <w:spacing w:val="-2"/>
          <w:w w:val="105"/>
        </w:rPr>
        <w:t> </w:t>
      </w:r>
      <w:r>
        <w:rPr>
          <w:w w:val="105"/>
        </w:rPr>
        <w:t>0%</w:t>
      </w:r>
      <w:r>
        <w:rPr>
          <w:spacing w:val="-2"/>
          <w:w w:val="105"/>
        </w:rPr>
        <w:t> </w:t>
      </w:r>
      <w:r>
        <w:rPr>
          <w:w w:val="105"/>
        </w:rPr>
        <w:t>to</w:t>
      </w:r>
      <w:r>
        <w:rPr>
          <w:spacing w:val="-2"/>
          <w:w w:val="105"/>
        </w:rPr>
        <w:t> </w:t>
      </w:r>
      <w:r>
        <w:rPr>
          <w:spacing w:val="-3"/>
          <w:w w:val="105"/>
        </w:rPr>
        <w:t>2.1%</w:t>
      </w:r>
      <w:r>
        <w:rPr>
          <w:spacing w:val="-4"/>
          <w:w w:val="105"/>
        </w:rPr>
        <w:t> </w:t>
      </w:r>
      <w:r>
        <w:rPr>
          <w:w w:val="105"/>
        </w:rPr>
        <w:t>for</w:t>
      </w:r>
      <w:r>
        <w:rPr>
          <w:spacing w:val="-3"/>
          <w:w w:val="105"/>
        </w:rPr>
        <w:t> </w:t>
      </w:r>
      <w:r>
        <w:rPr>
          <w:w w:val="105"/>
        </w:rPr>
        <w:t>deep</w:t>
      </w:r>
      <w:r>
        <w:rPr>
          <w:spacing w:val="-2"/>
          <w:w w:val="105"/>
        </w:rPr>
        <w:t> </w:t>
      </w:r>
      <w:r>
        <w:rPr>
          <w:w w:val="105"/>
        </w:rPr>
        <w:t>SSI</w:t>
      </w:r>
      <w:r>
        <w:rPr>
          <w:spacing w:val="-2"/>
          <w:w w:val="105"/>
        </w:rPr>
        <w:t> </w:t>
      </w:r>
      <w:r>
        <w:rPr>
          <w:w w:val="105"/>
        </w:rPr>
        <w:t>and</w:t>
      </w:r>
      <w:r>
        <w:rPr>
          <w:spacing w:val="-2"/>
          <w:w w:val="105"/>
        </w:rPr>
        <w:t> </w:t>
      </w:r>
      <w:r>
        <w:rPr>
          <w:w w:val="105"/>
        </w:rPr>
        <w:t>a range of 0% to 9.8% for super</w:t>
      </w:r>
      <w:r>
        <w:rPr>
          <w:rFonts w:ascii="Times New Roman" w:hAnsi="Times New Roman"/>
          <w:w w:val="105"/>
        </w:rPr>
        <w:t>ﬁ</w:t>
      </w:r>
      <w:r>
        <w:rPr>
          <w:w w:val="105"/>
        </w:rPr>
        <w:t>cial SSI. For wound dehiscence, </w:t>
      </w:r>
      <w:r>
        <w:rPr>
          <w:spacing w:val="-11"/>
          <w:w w:val="105"/>
        </w:rPr>
        <w:t>a </w:t>
      </w:r>
      <w:r>
        <w:rPr>
          <w:w w:val="105"/>
        </w:rPr>
        <w:t>range of 0% to 8.2% was</w:t>
      </w:r>
      <w:r>
        <w:rPr>
          <w:spacing w:val="36"/>
          <w:w w:val="105"/>
        </w:rPr>
        <w:t> </w:t>
      </w:r>
      <w:r>
        <w:rPr>
          <w:w w:val="105"/>
        </w:rPr>
        <w:t>reported.</w:t>
      </w:r>
    </w:p>
    <w:p>
      <w:pPr>
        <w:pStyle w:val="BodyText"/>
        <w:spacing w:line="252" w:lineRule="auto" w:before="5"/>
        <w:ind w:left="310" w:firstLine="239"/>
        <w:jc w:val="both"/>
      </w:pPr>
      <w:r>
        <w:rPr>
          <w:w w:val="105"/>
        </w:rPr>
        <w:t>When comparing rates of adverse events between </w:t>
      </w:r>
      <w:r>
        <w:rPr>
          <w:spacing w:val="-3"/>
          <w:w w:val="105"/>
        </w:rPr>
        <w:t>procedures,</w:t>
      </w:r>
      <w:r>
        <w:rPr>
          <w:spacing w:val="36"/>
          <w:w w:val="105"/>
        </w:rPr>
        <w:t> </w:t>
      </w:r>
      <w:r>
        <w:rPr>
          <w:w w:val="105"/>
        </w:rPr>
        <w:t>there</w:t>
      </w:r>
      <w:r>
        <w:rPr>
          <w:spacing w:val="-8"/>
          <w:w w:val="105"/>
        </w:rPr>
        <w:t> </w:t>
      </w:r>
      <w:r>
        <w:rPr>
          <w:w w:val="105"/>
        </w:rPr>
        <w:t>appeared</w:t>
      </w:r>
      <w:r>
        <w:rPr>
          <w:spacing w:val="-9"/>
          <w:w w:val="105"/>
        </w:rPr>
        <w:t> </w:t>
      </w:r>
      <w:r>
        <w:rPr>
          <w:w w:val="105"/>
        </w:rPr>
        <w:t>to</w:t>
      </w:r>
      <w:r>
        <w:rPr>
          <w:spacing w:val="-9"/>
          <w:w w:val="105"/>
        </w:rPr>
        <w:t> </w:t>
      </w:r>
      <w:r>
        <w:rPr>
          <w:w w:val="105"/>
        </w:rPr>
        <w:t>be</w:t>
      </w:r>
      <w:r>
        <w:rPr>
          <w:spacing w:val="-8"/>
          <w:w w:val="105"/>
        </w:rPr>
        <w:t> </w:t>
      </w:r>
      <w:r>
        <w:rPr>
          <w:w w:val="105"/>
        </w:rPr>
        <w:t>no</w:t>
      </w:r>
      <w:r>
        <w:rPr>
          <w:spacing w:val="-8"/>
          <w:w w:val="105"/>
        </w:rPr>
        <w:t> </w:t>
      </w:r>
      <w:r>
        <w:rPr>
          <w:w w:val="105"/>
        </w:rPr>
        <w:t>obvious</w:t>
      </w:r>
      <w:r>
        <w:rPr>
          <w:spacing w:val="-8"/>
          <w:w w:val="105"/>
        </w:rPr>
        <w:t> </w:t>
      </w:r>
      <w:r>
        <w:rPr>
          <w:w w:val="105"/>
        </w:rPr>
        <w:t>differences</w:t>
      </w:r>
      <w:r>
        <w:rPr>
          <w:spacing w:val="-8"/>
          <w:w w:val="105"/>
        </w:rPr>
        <w:t> </w:t>
      </w:r>
      <w:r>
        <w:rPr>
          <w:w w:val="105"/>
        </w:rPr>
        <w:t>between</w:t>
      </w:r>
      <w:r>
        <w:rPr>
          <w:spacing w:val="-12"/>
          <w:w w:val="105"/>
        </w:rPr>
        <w:t> </w:t>
      </w:r>
      <w:r>
        <w:rPr>
          <w:w w:val="105"/>
        </w:rPr>
        <w:t>TKA</w:t>
      </w:r>
      <w:r>
        <w:rPr>
          <w:spacing w:val="-9"/>
          <w:w w:val="105"/>
        </w:rPr>
        <w:t> </w:t>
      </w:r>
      <w:r>
        <w:rPr>
          <w:w w:val="105"/>
        </w:rPr>
        <w:t>and</w:t>
      </w:r>
      <w:r>
        <w:rPr>
          <w:spacing w:val="-8"/>
          <w:w w:val="105"/>
        </w:rPr>
        <w:t> </w:t>
      </w:r>
      <w:r>
        <w:rPr>
          <w:w w:val="105"/>
        </w:rPr>
        <w:t>THA. The</w:t>
      </w:r>
      <w:r>
        <w:rPr>
          <w:spacing w:val="-4"/>
          <w:w w:val="105"/>
        </w:rPr>
        <w:t> </w:t>
      </w:r>
      <w:r>
        <w:rPr>
          <w:w w:val="105"/>
        </w:rPr>
        <w:t>ranges</w:t>
      </w:r>
      <w:r>
        <w:rPr>
          <w:spacing w:val="-5"/>
          <w:w w:val="105"/>
        </w:rPr>
        <w:t> </w:t>
      </w:r>
      <w:r>
        <w:rPr>
          <w:w w:val="105"/>
        </w:rPr>
        <w:t>of</w:t>
      </w:r>
      <w:r>
        <w:rPr>
          <w:spacing w:val="-4"/>
          <w:w w:val="105"/>
        </w:rPr>
        <w:t> </w:t>
      </w:r>
      <w:r>
        <w:rPr>
          <w:w w:val="105"/>
        </w:rPr>
        <w:t>deep</w:t>
      </w:r>
      <w:r>
        <w:rPr>
          <w:spacing w:val="-4"/>
          <w:w w:val="105"/>
        </w:rPr>
        <w:t> </w:t>
      </w:r>
      <w:r>
        <w:rPr>
          <w:w w:val="105"/>
        </w:rPr>
        <w:t>SSI</w:t>
      </w:r>
      <w:r>
        <w:rPr>
          <w:spacing w:val="-4"/>
          <w:w w:val="105"/>
        </w:rPr>
        <w:t> </w:t>
      </w:r>
      <w:r>
        <w:rPr>
          <w:w w:val="105"/>
        </w:rPr>
        <w:t>rates</w:t>
      </w:r>
      <w:r>
        <w:rPr>
          <w:spacing w:val="-5"/>
          <w:w w:val="105"/>
        </w:rPr>
        <w:t> </w:t>
      </w:r>
      <w:r>
        <w:rPr>
          <w:w w:val="105"/>
        </w:rPr>
        <w:t>overlapped</w:t>
      </w:r>
      <w:r>
        <w:rPr>
          <w:spacing w:val="-3"/>
          <w:w w:val="105"/>
        </w:rPr>
        <w:t> </w:t>
      </w:r>
      <w:r>
        <w:rPr>
          <w:w w:val="105"/>
        </w:rPr>
        <w:t>across</w:t>
      </w:r>
      <w:r>
        <w:rPr>
          <w:spacing w:val="-4"/>
          <w:w w:val="105"/>
        </w:rPr>
        <w:t> </w:t>
      </w:r>
      <w:r>
        <w:rPr>
          <w:w w:val="105"/>
        </w:rPr>
        <w:t>procedure</w:t>
      </w:r>
      <w:r>
        <w:rPr>
          <w:spacing w:val="-4"/>
          <w:w w:val="105"/>
        </w:rPr>
        <w:t> </w:t>
      </w:r>
      <w:r>
        <w:rPr>
          <w:w w:val="105"/>
        </w:rPr>
        <w:t>types</w:t>
      </w:r>
      <w:r>
        <w:rPr>
          <w:spacing w:val="-3"/>
          <w:w w:val="105"/>
        </w:rPr>
        <w:t> </w:t>
      </w:r>
      <w:r>
        <w:rPr>
          <w:spacing w:val="-5"/>
          <w:w w:val="105"/>
        </w:rPr>
        <w:t>and </w:t>
      </w:r>
      <w:r>
        <w:rPr>
          <w:w w:val="105"/>
        </w:rPr>
        <w:t>ranged</w:t>
      </w:r>
      <w:r>
        <w:rPr>
          <w:spacing w:val="-13"/>
          <w:w w:val="105"/>
        </w:rPr>
        <w:t> </w:t>
      </w:r>
      <w:r>
        <w:rPr>
          <w:w w:val="105"/>
        </w:rPr>
        <w:t>from</w:t>
      </w:r>
      <w:r>
        <w:rPr>
          <w:spacing w:val="-14"/>
          <w:w w:val="105"/>
        </w:rPr>
        <w:t> </w:t>
      </w:r>
      <w:r>
        <w:rPr>
          <w:w w:val="105"/>
        </w:rPr>
        <w:t>0%</w:t>
      </w:r>
      <w:r>
        <w:rPr>
          <w:spacing w:val="-11"/>
          <w:w w:val="105"/>
        </w:rPr>
        <w:t> </w:t>
      </w:r>
      <w:r>
        <w:rPr>
          <w:w w:val="105"/>
        </w:rPr>
        <w:t>to</w:t>
      </w:r>
      <w:r>
        <w:rPr>
          <w:spacing w:val="-12"/>
          <w:w w:val="105"/>
        </w:rPr>
        <w:t> </w:t>
      </w:r>
      <w:r>
        <w:rPr>
          <w:spacing w:val="-3"/>
          <w:w w:val="105"/>
        </w:rPr>
        <w:t>2.1%</w:t>
      </w:r>
      <w:r>
        <w:rPr>
          <w:spacing w:val="-11"/>
          <w:w w:val="105"/>
        </w:rPr>
        <w:t> </w:t>
      </w:r>
      <w:r>
        <w:rPr>
          <w:w w:val="105"/>
        </w:rPr>
        <w:t>for</w:t>
      </w:r>
      <w:r>
        <w:rPr>
          <w:spacing w:val="-13"/>
          <w:w w:val="105"/>
        </w:rPr>
        <w:t> </w:t>
      </w:r>
      <w:r>
        <w:rPr>
          <w:w w:val="105"/>
        </w:rPr>
        <w:t>TKA,</w:t>
      </w:r>
      <w:r>
        <w:rPr>
          <w:spacing w:val="-12"/>
          <w:w w:val="105"/>
        </w:rPr>
        <w:t> </w:t>
      </w:r>
      <w:r>
        <w:rPr>
          <w:w w:val="105"/>
        </w:rPr>
        <w:t>0%</w:t>
      </w:r>
      <w:r>
        <w:rPr>
          <w:spacing w:val="-12"/>
          <w:w w:val="105"/>
        </w:rPr>
        <w:t> </w:t>
      </w:r>
      <w:r>
        <w:rPr>
          <w:w w:val="105"/>
        </w:rPr>
        <w:t>to</w:t>
      </w:r>
      <w:r>
        <w:rPr>
          <w:spacing w:val="-13"/>
          <w:w w:val="105"/>
        </w:rPr>
        <w:t> </w:t>
      </w:r>
      <w:r>
        <w:rPr>
          <w:w w:val="105"/>
        </w:rPr>
        <w:t>2.0%</w:t>
      </w:r>
      <w:r>
        <w:rPr>
          <w:spacing w:val="-12"/>
          <w:w w:val="105"/>
        </w:rPr>
        <w:t> </w:t>
      </w:r>
      <w:r>
        <w:rPr>
          <w:w w:val="105"/>
        </w:rPr>
        <w:t>for</w:t>
      </w:r>
      <w:r>
        <w:rPr>
          <w:spacing w:val="-12"/>
          <w:w w:val="105"/>
        </w:rPr>
        <w:t> </w:t>
      </w:r>
      <w:r>
        <w:rPr>
          <w:w w:val="105"/>
        </w:rPr>
        <w:t>THA,</w:t>
      </w:r>
      <w:r>
        <w:rPr>
          <w:spacing w:val="-11"/>
          <w:w w:val="105"/>
        </w:rPr>
        <w:t> </w:t>
      </w:r>
      <w:r>
        <w:rPr>
          <w:w w:val="105"/>
        </w:rPr>
        <w:t>and</w:t>
      </w:r>
      <w:r>
        <w:rPr>
          <w:spacing w:val="-13"/>
          <w:w w:val="105"/>
        </w:rPr>
        <w:t> </w:t>
      </w:r>
      <w:r>
        <w:rPr>
          <w:w w:val="105"/>
        </w:rPr>
        <w:t>0%</w:t>
      </w:r>
      <w:r>
        <w:rPr>
          <w:spacing w:val="-12"/>
          <w:w w:val="105"/>
        </w:rPr>
        <w:t> </w:t>
      </w:r>
      <w:r>
        <w:rPr>
          <w:w w:val="105"/>
        </w:rPr>
        <w:t>to</w:t>
      </w:r>
      <w:r>
        <w:rPr>
          <w:spacing w:val="-13"/>
          <w:w w:val="105"/>
        </w:rPr>
        <w:t> </w:t>
      </w:r>
      <w:r>
        <w:rPr>
          <w:w w:val="105"/>
        </w:rPr>
        <w:t>3.9% for mixed TKA/THA studies. Super</w:t>
      </w:r>
      <w:r>
        <w:rPr>
          <w:rFonts w:ascii="Times New Roman" w:hAnsi="Times New Roman"/>
          <w:w w:val="105"/>
        </w:rPr>
        <w:t>ﬁ</w:t>
      </w:r>
      <w:r>
        <w:rPr>
          <w:w w:val="105"/>
        </w:rPr>
        <w:t>cial SSI rates were </w:t>
      </w:r>
      <w:r>
        <w:rPr>
          <w:spacing w:val="-3"/>
          <w:w w:val="105"/>
        </w:rPr>
        <w:t>usually </w:t>
      </w:r>
      <w:r>
        <w:rPr>
          <w:w w:val="105"/>
        </w:rPr>
        <w:t>higher</w:t>
      </w:r>
      <w:r>
        <w:rPr>
          <w:spacing w:val="-10"/>
          <w:w w:val="105"/>
        </w:rPr>
        <w:t> </w:t>
      </w:r>
      <w:r>
        <w:rPr>
          <w:w w:val="105"/>
        </w:rPr>
        <w:t>than</w:t>
      </w:r>
      <w:r>
        <w:rPr>
          <w:spacing w:val="-9"/>
          <w:w w:val="105"/>
        </w:rPr>
        <w:t> </w:t>
      </w:r>
      <w:r>
        <w:rPr>
          <w:w w:val="105"/>
        </w:rPr>
        <w:t>deep</w:t>
      </w:r>
      <w:r>
        <w:rPr>
          <w:spacing w:val="-8"/>
          <w:w w:val="105"/>
        </w:rPr>
        <w:t> </w:t>
      </w:r>
      <w:r>
        <w:rPr>
          <w:w w:val="105"/>
        </w:rPr>
        <w:t>SSI</w:t>
      </w:r>
      <w:r>
        <w:rPr>
          <w:spacing w:val="-9"/>
          <w:w w:val="105"/>
        </w:rPr>
        <w:t> </w:t>
      </w:r>
      <w:r>
        <w:rPr>
          <w:w w:val="105"/>
        </w:rPr>
        <w:t>rates</w:t>
      </w:r>
      <w:r>
        <w:rPr>
          <w:spacing w:val="-10"/>
          <w:w w:val="105"/>
        </w:rPr>
        <w:t> </w:t>
      </w:r>
      <w:r>
        <w:rPr>
          <w:w w:val="105"/>
        </w:rPr>
        <w:t>and</w:t>
      </w:r>
      <w:r>
        <w:rPr>
          <w:spacing w:val="-9"/>
          <w:w w:val="105"/>
        </w:rPr>
        <w:t> </w:t>
      </w:r>
      <w:r>
        <w:rPr>
          <w:w w:val="105"/>
        </w:rPr>
        <w:t>ranged</w:t>
      </w:r>
      <w:r>
        <w:rPr>
          <w:spacing w:val="-10"/>
          <w:w w:val="105"/>
        </w:rPr>
        <w:t> </w:t>
      </w:r>
      <w:r>
        <w:rPr>
          <w:w w:val="105"/>
        </w:rPr>
        <w:t>from</w:t>
      </w:r>
      <w:r>
        <w:rPr>
          <w:spacing w:val="-10"/>
          <w:w w:val="105"/>
        </w:rPr>
        <w:t> </w:t>
      </w:r>
      <w:r>
        <w:rPr>
          <w:w w:val="105"/>
        </w:rPr>
        <w:t>0%</w:t>
      </w:r>
      <w:r>
        <w:rPr>
          <w:spacing w:val="-9"/>
          <w:w w:val="105"/>
        </w:rPr>
        <w:t> </w:t>
      </w:r>
      <w:r>
        <w:rPr>
          <w:w w:val="105"/>
        </w:rPr>
        <w:t>to</w:t>
      </w:r>
      <w:r>
        <w:rPr>
          <w:spacing w:val="-8"/>
          <w:w w:val="105"/>
        </w:rPr>
        <w:t> </w:t>
      </w:r>
      <w:r>
        <w:rPr>
          <w:w w:val="105"/>
        </w:rPr>
        <w:t>33.0%</w:t>
      </w:r>
      <w:r>
        <w:rPr>
          <w:spacing w:val="-10"/>
          <w:w w:val="105"/>
        </w:rPr>
        <w:t> </w:t>
      </w:r>
      <w:r>
        <w:rPr>
          <w:w w:val="105"/>
        </w:rPr>
        <w:t>for</w:t>
      </w:r>
      <w:r>
        <w:rPr>
          <w:spacing w:val="-9"/>
          <w:w w:val="105"/>
        </w:rPr>
        <w:t> </w:t>
      </w:r>
      <w:r>
        <w:rPr>
          <w:w w:val="105"/>
        </w:rPr>
        <w:t>TKA,</w:t>
      </w:r>
      <w:r>
        <w:rPr>
          <w:spacing w:val="-9"/>
          <w:w w:val="105"/>
        </w:rPr>
        <w:t> </w:t>
      </w:r>
      <w:r>
        <w:rPr>
          <w:w w:val="105"/>
        </w:rPr>
        <w:t>0% to </w:t>
      </w:r>
      <w:r>
        <w:rPr>
          <w:spacing w:val="-4"/>
          <w:w w:val="105"/>
        </w:rPr>
        <w:t>12.1% </w:t>
      </w:r>
      <w:r>
        <w:rPr>
          <w:w w:val="105"/>
        </w:rPr>
        <w:t>for THA, and 0% to </w:t>
      </w:r>
      <w:r>
        <w:rPr>
          <w:spacing w:val="-3"/>
          <w:w w:val="105"/>
        </w:rPr>
        <w:t>10.3% </w:t>
      </w:r>
      <w:r>
        <w:rPr>
          <w:w w:val="105"/>
        </w:rPr>
        <w:t>for mixed TKA/THA studies. Prolonged wound drainage and wound dehiscence were </w:t>
      </w:r>
      <w:r>
        <w:rPr>
          <w:spacing w:val="-4"/>
          <w:w w:val="105"/>
        </w:rPr>
        <w:t>less </w:t>
      </w:r>
      <w:r>
        <w:rPr>
          <w:w w:val="105"/>
        </w:rPr>
        <w:t>commonly reported than SSI across procedure types. </w:t>
      </w:r>
      <w:r>
        <w:rPr>
          <w:spacing w:val="-3"/>
          <w:w w:val="105"/>
        </w:rPr>
        <w:t>Prolonged </w:t>
      </w:r>
      <w:r>
        <w:rPr>
          <w:w w:val="105"/>
        </w:rPr>
        <w:t>wound</w:t>
      </w:r>
      <w:r>
        <w:rPr>
          <w:spacing w:val="-10"/>
          <w:w w:val="105"/>
        </w:rPr>
        <w:t> </w:t>
      </w:r>
      <w:r>
        <w:rPr>
          <w:w w:val="105"/>
        </w:rPr>
        <w:t>drainage</w:t>
      </w:r>
      <w:r>
        <w:rPr>
          <w:spacing w:val="-12"/>
          <w:w w:val="105"/>
        </w:rPr>
        <w:t> </w:t>
      </w:r>
      <w:r>
        <w:rPr>
          <w:w w:val="105"/>
        </w:rPr>
        <w:t>rates</w:t>
      </w:r>
      <w:r>
        <w:rPr>
          <w:spacing w:val="-10"/>
          <w:w w:val="105"/>
        </w:rPr>
        <w:t> </w:t>
      </w:r>
      <w:r>
        <w:rPr>
          <w:w w:val="105"/>
        </w:rPr>
        <w:t>ranged</w:t>
      </w:r>
      <w:r>
        <w:rPr>
          <w:spacing w:val="-10"/>
          <w:w w:val="105"/>
        </w:rPr>
        <w:t> </w:t>
      </w:r>
      <w:r>
        <w:rPr>
          <w:w w:val="105"/>
        </w:rPr>
        <w:t>from</w:t>
      </w:r>
      <w:r>
        <w:rPr>
          <w:spacing w:val="-10"/>
          <w:w w:val="105"/>
        </w:rPr>
        <w:t> </w:t>
      </w:r>
      <w:r>
        <w:rPr>
          <w:w w:val="105"/>
        </w:rPr>
        <w:t>0%</w:t>
      </w:r>
      <w:r>
        <w:rPr>
          <w:spacing w:val="-11"/>
          <w:w w:val="105"/>
        </w:rPr>
        <w:t> </w:t>
      </w:r>
      <w:r>
        <w:rPr>
          <w:w w:val="105"/>
        </w:rPr>
        <w:t>to</w:t>
      </w:r>
      <w:r>
        <w:rPr>
          <w:spacing w:val="-11"/>
          <w:w w:val="105"/>
        </w:rPr>
        <w:t> </w:t>
      </w:r>
      <w:r>
        <w:rPr>
          <w:w w:val="105"/>
        </w:rPr>
        <w:t>37%</w:t>
      </w:r>
      <w:r>
        <w:rPr>
          <w:spacing w:val="-10"/>
          <w:w w:val="105"/>
        </w:rPr>
        <w:t> </w:t>
      </w:r>
      <w:r>
        <w:rPr>
          <w:w w:val="105"/>
        </w:rPr>
        <w:t>for</w:t>
      </w:r>
      <w:r>
        <w:rPr>
          <w:spacing w:val="-10"/>
          <w:w w:val="105"/>
        </w:rPr>
        <w:t> </w:t>
      </w:r>
      <w:r>
        <w:rPr>
          <w:w w:val="105"/>
        </w:rPr>
        <w:t>TKA,</w:t>
      </w:r>
      <w:r>
        <w:rPr>
          <w:spacing w:val="-9"/>
          <w:w w:val="105"/>
        </w:rPr>
        <w:t> </w:t>
      </w:r>
      <w:r>
        <w:rPr>
          <w:w w:val="105"/>
        </w:rPr>
        <w:t>0.9%</w:t>
      </w:r>
      <w:r>
        <w:rPr>
          <w:spacing w:val="-11"/>
          <w:w w:val="105"/>
        </w:rPr>
        <w:t> </w:t>
      </w:r>
      <w:r>
        <w:rPr>
          <w:w w:val="105"/>
        </w:rPr>
        <w:t>to</w:t>
      </w:r>
      <w:r>
        <w:rPr>
          <w:spacing w:val="-11"/>
          <w:w w:val="105"/>
        </w:rPr>
        <w:t> </w:t>
      </w:r>
      <w:r>
        <w:rPr>
          <w:spacing w:val="-5"/>
          <w:w w:val="105"/>
        </w:rPr>
        <w:t>51.3% </w:t>
      </w:r>
      <w:r>
        <w:rPr>
          <w:w w:val="105"/>
        </w:rPr>
        <w:t>for THA, and 0% to </w:t>
      </w:r>
      <w:r>
        <w:rPr>
          <w:spacing w:val="-4"/>
          <w:w w:val="105"/>
        </w:rPr>
        <w:t>1.7% </w:t>
      </w:r>
      <w:r>
        <w:rPr>
          <w:w w:val="105"/>
        </w:rPr>
        <w:t>for mixed TKA/THA studies. </w:t>
      </w:r>
      <w:r>
        <w:rPr>
          <w:spacing w:val="-5"/>
          <w:w w:val="105"/>
        </w:rPr>
        <w:t>Wound </w:t>
      </w:r>
      <w:r>
        <w:rPr>
          <w:w w:val="105"/>
        </w:rPr>
        <w:t>dehiscence rates ranged from 0% to </w:t>
      </w:r>
      <w:r>
        <w:rPr>
          <w:spacing w:val="-7"/>
          <w:w w:val="105"/>
        </w:rPr>
        <w:t>11.0% </w:t>
      </w:r>
      <w:r>
        <w:rPr>
          <w:w w:val="105"/>
        </w:rPr>
        <w:t>for TKA, 0% to </w:t>
      </w:r>
      <w:r>
        <w:rPr>
          <w:spacing w:val="-4"/>
          <w:w w:val="105"/>
        </w:rPr>
        <w:t>1.9% </w:t>
      </w:r>
      <w:r>
        <w:rPr>
          <w:w w:val="105"/>
        </w:rPr>
        <w:t>for THA,</w:t>
      </w:r>
      <w:r>
        <w:rPr>
          <w:spacing w:val="-21"/>
          <w:w w:val="105"/>
        </w:rPr>
        <w:t> </w:t>
      </w:r>
      <w:r>
        <w:rPr>
          <w:w w:val="105"/>
        </w:rPr>
        <w:t>and</w:t>
      </w:r>
      <w:r>
        <w:rPr>
          <w:spacing w:val="-21"/>
          <w:w w:val="105"/>
        </w:rPr>
        <w:t> </w:t>
      </w:r>
      <w:r>
        <w:rPr>
          <w:w w:val="105"/>
        </w:rPr>
        <w:t>0.6%</w:t>
      </w:r>
      <w:r>
        <w:rPr>
          <w:spacing w:val="-21"/>
          <w:w w:val="105"/>
        </w:rPr>
        <w:t> </w:t>
      </w:r>
      <w:r>
        <w:rPr>
          <w:w w:val="105"/>
        </w:rPr>
        <w:t>to</w:t>
      </w:r>
      <w:r>
        <w:rPr>
          <w:spacing w:val="-20"/>
          <w:w w:val="105"/>
        </w:rPr>
        <w:t> </w:t>
      </w:r>
      <w:r>
        <w:rPr>
          <w:w w:val="105"/>
        </w:rPr>
        <w:t>8.2%</w:t>
      </w:r>
      <w:r>
        <w:rPr>
          <w:spacing w:val="-21"/>
          <w:w w:val="105"/>
        </w:rPr>
        <w:t> </w:t>
      </w:r>
      <w:r>
        <w:rPr>
          <w:w w:val="105"/>
        </w:rPr>
        <w:t>for</w:t>
      </w:r>
      <w:r>
        <w:rPr>
          <w:spacing w:val="-21"/>
          <w:w w:val="105"/>
        </w:rPr>
        <w:t> </w:t>
      </w:r>
      <w:r>
        <w:rPr>
          <w:w w:val="105"/>
        </w:rPr>
        <w:t>mixed</w:t>
      </w:r>
      <w:r>
        <w:rPr>
          <w:spacing w:val="-21"/>
          <w:w w:val="105"/>
        </w:rPr>
        <w:t> </w:t>
      </w:r>
      <w:r>
        <w:rPr>
          <w:w w:val="105"/>
        </w:rPr>
        <w:t>TKA/THA</w:t>
      </w:r>
      <w:r>
        <w:rPr>
          <w:spacing w:val="-20"/>
          <w:w w:val="105"/>
        </w:rPr>
        <w:t> </w:t>
      </w:r>
      <w:r>
        <w:rPr>
          <w:w w:val="105"/>
        </w:rPr>
        <w:t>studies.</w:t>
      </w:r>
      <w:r>
        <w:rPr>
          <w:spacing w:val="-21"/>
          <w:w w:val="105"/>
        </w:rPr>
        <w:t> </w:t>
      </w:r>
      <w:r>
        <w:rPr>
          <w:w w:val="105"/>
        </w:rPr>
        <w:t>For</w:t>
      </w:r>
      <w:r>
        <w:rPr>
          <w:spacing w:val="-22"/>
          <w:w w:val="105"/>
        </w:rPr>
        <w:t> </w:t>
      </w:r>
      <w:r>
        <w:rPr>
          <w:w w:val="105"/>
        </w:rPr>
        <w:t>most</w:t>
      </w:r>
      <w:r>
        <w:rPr>
          <w:spacing w:val="-21"/>
          <w:w w:val="105"/>
        </w:rPr>
        <w:t> </w:t>
      </w:r>
      <w:r>
        <w:rPr>
          <w:w w:val="105"/>
        </w:rPr>
        <w:t>studies that reported prolonged wound drainage and wound dehiscence, the rates ranged from 0% to </w:t>
      </w:r>
      <w:r>
        <w:rPr>
          <w:spacing w:val="-3"/>
          <w:w w:val="105"/>
        </w:rPr>
        <w:t>10%, </w:t>
      </w:r>
      <w:r>
        <w:rPr>
          <w:w w:val="105"/>
        </w:rPr>
        <w:t>but there were a few studies with much higher rates of prolonged wound drainage for TKA [</w:t>
      </w:r>
      <w:hyperlink w:history="true" w:anchor="_bookmark31">
        <w:r>
          <w:rPr>
            <w:color w:val="007FAC"/>
            <w:w w:val="105"/>
          </w:rPr>
          <w:t>20</w:t>
        </w:r>
      </w:hyperlink>
      <w:r>
        <w:rPr>
          <w:w w:val="105"/>
        </w:rPr>
        <w:t>] and THA</w:t>
      </w:r>
      <w:r>
        <w:rPr>
          <w:spacing w:val="6"/>
          <w:w w:val="105"/>
        </w:rPr>
        <w:t> </w:t>
      </w:r>
      <w:r>
        <w:rPr>
          <w:w w:val="105"/>
        </w:rPr>
        <w:t>[</w:t>
      </w:r>
      <w:hyperlink w:history="true" w:anchor="_bookmark35">
        <w:r>
          <w:rPr>
            <w:color w:val="007FAC"/>
            <w:w w:val="105"/>
          </w:rPr>
          <w:t>24</w:t>
        </w:r>
      </w:hyperlink>
      <w:r>
        <w:rPr>
          <w:w w:val="105"/>
        </w:rPr>
        <w:t>,</w:t>
      </w:r>
      <w:hyperlink w:history="true" w:anchor="_bookmark37">
        <w:r>
          <w:rPr>
            <w:color w:val="007FAC"/>
            <w:w w:val="105"/>
          </w:rPr>
          <w:t>26</w:t>
        </w:r>
      </w:hyperlink>
      <w:r>
        <w:rPr>
          <w:w w:val="105"/>
        </w:rPr>
        <w:t>].</w:t>
      </w:r>
    </w:p>
    <w:p>
      <w:pPr>
        <w:pStyle w:val="BodyText"/>
        <w:spacing w:line="252" w:lineRule="auto" w:before="8"/>
        <w:ind w:left="310" w:firstLine="239"/>
        <w:jc w:val="both"/>
      </w:pPr>
      <w:r>
        <w:rPr>
          <w:w w:val="105"/>
        </w:rPr>
        <w:t>When reviewing adverse event rates across categories and techniques based only on RCTs, </w:t>
      </w:r>
      <w:r>
        <w:rPr>
          <w:rFonts w:ascii="Times New Roman" w:hAnsi="Times New Roman"/>
          <w:w w:val="105"/>
        </w:rPr>
        <w:t>ﬁ</w:t>
      </w:r>
      <w:r>
        <w:rPr>
          <w:w w:val="105"/>
        </w:rPr>
        <w:t>ndings generally aligned with the wider study inclusion set (</w:t>
      </w:r>
      <w:hyperlink w:history="true" w:anchor="_bookmark112">
        <w:r>
          <w:rPr>
            <w:color w:val="007FAC"/>
            <w:w w:val="105"/>
          </w:rPr>
          <w:t>Appendix D</w:t>
        </w:r>
      </w:hyperlink>
      <w:r>
        <w:rPr>
          <w:w w:val="105"/>
        </w:rPr>
        <w:t>); however, data were not available for certain categories (eg, #6, multilayer barbed sutures with TSA and polyester mesh) and techniques (eg, #18 multilayer barbed suture and TSA alone).</w:t>
      </w:r>
    </w:p>
    <w:p>
      <w:pPr>
        <w:pStyle w:val="BodyText"/>
        <w:spacing w:before="12"/>
      </w:pPr>
    </w:p>
    <w:p>
      <w:pPr>
        <w:pStyle w:val="BodyText"/>
        <w:ind w:left="310"/>
      </w:pPr>
      <w:r>
        <w:rPr>
          <w:w w:val="110"/>
        </w:rPr>
        <w:t>Discussion</w:t>
      </w:r>
    </w:p>
    <w:p>
      <w:pPr>
        <w:pStyle w:val="BodyText"/>
        <w:spacing w:before="8"/>
        <w:rPr>
          <w:sz w:val="17"/>
        </w:rPr>
      </w:pPr>
    </w:p>
    <w:p>
      <w:pPr>
        <w:pStyle w:val="BodyText"/>
        <w:spacing w:line="252" w:lineRule="auto"/>
        <w:ind w:left="310" w:firstLine="239"/>
        <w:jc w:val="both"/>
      </w:pPr>
      <w:r>
        <w:rPr>
          <w:w w:val="105"/>
        </w:rPr>
        <w:t>In summary, the methods of wound closure across tissue layers varied highly, with 6 primary closure categories and 22 unique technique combinations noted in the literature. These </w:t>
      </w:r>
      <w:r>
        <w:rPr>
          <w:rFonts w:ascii="Times New Roman" w:hAnsi="Times New Roman"/>
          <w:w w:val="105"/>
        </w:rPr>
        <w:t>ﬁ</w:t>
      </w:r>
      <w:r>
        <w:rPr>
          <w:w w:val="105"/>
        </w:rPr>
        <w:t>ndings highlight the substantial variability that exists in wound closure methods for hip and knee arthroplasties, with varying rates in adverse events. In addition, this review identi</w:t>
      </w:r>
      <w:r>
        <w:rPr>
          <w:rFonts w:ascii="Times New Roman" w:hAnsi="Times New Roman"/>
          <w:w w:val="105"/>
        </w:rPr>
        <w:t>ﬁ</w:t>
      </w:r>
      <w:r>
        <w:rPr>
          <w:w w:val="105"/>
        </w:rPr>
        <w:t>ed considerable heterogeneity across studies for the level of detail used to describe closure, the population evaluated, and de</w:t>
      </w:r>
      <w:r>
        <w:rPr>
          <w:rFonts w:ascii="Times New Roman" w:hAnsi="Times New Roman"/>
          <w:w w:val="105"/>
        </w:rPr>
        <w:t>ﬁ</w:t>
      </w:r>
      <w:r>
        <w:rPr>
          <w:w w:val="105"/>
        </w:rPr>
        <w:t>nitions used when reporting outcomes. Therefore, comparison between closure tech- niques or categories has been limited to a qualitative summary as meta-analyses were deemed to be inappropriate. Overall, each of the identi</w:t>
      </w:r>
      <w:r>
        <w:rPr>
          <w:rFonts w:ascii="Times New Roman" w:hAnsi="Times New Roman"/>
          <w:w w:val="105"/>
        </w:rPr>
        <w:t>ﬁ</w:t>
      </w:r>
      <w:r>
        <w:rPr>
          <w:w w:val="105"/>
        </w:rPr>
        <w:t>ed categories for closure methods reported low rates of adverse events, with many reporting zero incidences. In addition, there appeared to be no obvious differences between studies evaluating TKA, THA, or mixed procedures for rates of adverse events. However, some differences were observed between adverse event ranges by categories of wound closure which are highlighted in the following sections.</w:t>
      </w:r>
    </w:p>
    <w:p>
      <w:pPr>
        <w:pStyle w:val="BodyText"/>
        <w:spacing w:line="252" w:lineRule="auto" w:before="9"/>
        <w:ind w:left="310" w:right="1" w:firstLine="239"/>
        <w:jc w:val="both"/>
      </w:pPr>
      <w:r>
        <w:rPr>
          <w:w w:val="105"/>
        </w:rPr>
        <w:t>SSIs were the most common wound complications reported in the studies included in this review. Conventional closure methods, with traditional sutures for deep tissue layers and sutures, staples, or TSA for super</w:t>
      </w:r>
      <w:r>
        <w:rPr>
          <w:rFonts w:ascii="Times New Roman" w:hAnsi="Times New Roman"/>
          <w:w w:val="105"/>
        </w:rPr>
        <w:t>ﬁ</w:t>
      </w:r>
      <w:r>
        <w:rPr>
          <w:w w:val="105"/>
        </w:rPr>
        <w:t>cial closure (category #1), had high variability in the rate of deep SSI (0% to 3.9%) and super</w:t>
      </w:r>
      <w:r>
        <w:rPr>
          <w:rFonts w:ascii="Times New Roman" w:hAnsi="Times New Roman"/>
          <w:w w:val="105"/>
        </w:rPr>
        <w:t>ﬁ</w:t>
      </w:r>
      <w:r>
        <w:rPr>
          <w:w w:val="105"/>
        </w:rPr>
        <w:t>cial SSI (0% to 14.8%). Wound closure categories which reported very low SSI rates with very narrow ranges included the category of multilayer antimi- crobial sutures (category #2), as well as the category of barbed sutures for deep tissue layers with TSA and polyester mesh for skin</w:t>
      </w:r>
    </w:p>
    <w:p>
      <w:pPr>
        <w:pStyle w:val="BodyText"/>
        <w:spacing w:before="7"/>
      </w:pPr>
      <w:r>
        <w:rPr/>
        <w:br w:type="column"/>
      </w:r>
      <w:r>
        <w:rPr/>
      </w:r>
    </w:p>
    <w:p>
      <w:pPr>
        <w:pStyle w:val="BodyText"/>
        <w:spacing w:line="252" w:lineRule="auto" w:before="1"/>
        <w:ind w:left="310" w:right="110"/>
        <w:jc w:val="both"/>
      </w:pPr>
      <w:r>
        <w:rPr>
          <w:w w:val="105"/>
        </w:rPr>
        <w:t>layer (category #6). Across these 2 categories, over </w:t>
      </w:r>
      <w:r>
        <w:rPr>
          <w:spacing w:val="2"/>
          <w:w w:val="105"/>
        </w:rPr>
        <w:t>3000 </w:t>
      </w:r>
      <w:r>
        <w:rPr>
          <w:w w:val="105"/>
        </w:rPr>
        <w:t>patients were studied, the risk of deep SSI ranged from 0% to </w:t>
      </w:r>
      <w:r>
        <w:rPr>
          <w:spacing w:val="-6"/>
          <w:w w:val="105"/>
        </w:rPr>
        <w:t>1.1%, </w:t>
      </w:r>
      <w:r>
        <w:rPr>
          <w:w w:val="105"/>
        </w:rPr>
        <w:t>and the risk</w:t>
      </w:r>
      <w:r>
        <w:rPr>
          <w:spacing w:val="-7"/>
          <w:w w:val="105"/>
        </w:rPr>
        <w:t> </w:t>
      </w:r>
      <w:r>
        <w:rPr>
          <w:w w:val="105"/>
        </w:rPr>
        <w:t>of</w:t>
      </w:r>
      <w:r>
        <w:rPr>
          <w:spacing w:val="-7"/>
          <w:w w:val="105"/>
        </w:rPr>
        <w:t> </w:t>
      </w:r>
      <w:r>
        <w:rPr>
          <w:w w:val="105"/>
        </w:rPr>
        <w:t>super</w:t>
      </w:r>
      <w:r>
        <w:rPr>
          <w:rFonts w:ascii="Times New Roman" w:hAnsi="Times New Roman"/>
          <w:w w:val="105"/>
        </w:rPr>
        <w:t>ﬁ</w:t>
      </w:r>
      <w:r>
        <w:rPr>
          <w:w w:val="105"/>
        </w:rPr>
        <w:t>cial</w:t>
      </w:r>
      <w:r>
        <w:rPr>
          <w:spacing w:val="-7"/>
          <w:w w:val="105"/>
        </w:rPr>
        <w:t> </w:t>
      </w:r>
      <w:r>
        <w:rPr>
          <w:w w:val="105"/>
        </w:rPr>
        <w:t>SSI</w:t>
      </w:r>
      <w:r>
        <w:rPr>
          <w:spacing w:val="-7"/>
          <w:w w:val="105"/>
        </w:rPr>
        <w:t> </w:t>
      </w:r>
      <w:r>
        <w:rPr>
          <w:w w:val="105"/>
        </w:rPr>
        <w:t>ranged</w:t>
      </w:r>
      <w:r>
        <w:rPr>
          <w:spacing w:val="-7"/>
          <w:w w:val="105"/>
        </w:rPr>
        <w:t> </w:t>
      </w:r>
      <w:r>
        <w:rPr>
          <w:w w:val="105"/>
        </w:rPr>
        <w:t>from</w:t>
      </w:r>
      <w:r>
        <w:rPr>
          <w:spacing w:val="-9"/>
          <w:w w:val="105"/>
        </w:rPr>
        <w:t> </w:t>
      </w:r>
      <w:r>
        <w:rPr>
          <w:w w:val="105"/>
        </w:rPr>
        <w:t>0%</w:t>
      </w:r>
      <w:r>
        <w:rPr>
          <w:spacing w:val="-7"/>
          <w:w w:val="105"/>
        </w:rPr>
        <w:t> </w:t>
      </w:r>
      <w:r>
        <w:rPr>
          <w:w w:val="105"/>
        </w:rPr>
        <w:t>to</w:t>
      </w:r>
      <w:r>
        <w:rPr>
          <w:spacing w:val="-8"/>
          <w:w w:val="105"/>
        </w:rPr>
        <w:t> </w:t>
      </w:r>
      <w:r>
        <w:rPr>
          <w:spacing w:val="-3"/>
          <w:w w:val="105"/>
        </w:rPr>
        <w:t>1.3%.</w:t>
      </w:r>
      <w:r>
        <w:rPr>
          <w:spacing w:val="-7"/>
          <w:w w:val="105"/>
        </w:rPr>
        <w:t> </w:t>
      </w:r>
      <w:r>
        <w:rPr>
          <w:w w:val="105"/>
        </w:rPr>
        <w:t>For</w:t>
      </w:r>
      <w:r>
        <w:rPr>
          <w:spacing w:val="-6"/>
          <w:w w:val="105"/>
        </w:rPr>
        <w:t> </w:t>
      </w:r>
      <w:r>
        <w:rPr>
          <w:w w:val="105"/>
        </w:rPr>
        <w:t>super</w:t>
      </w:r>
      <w:r>
        <w:rPr>
          <w:rFonts w:ascii="Times New Roman" w:hAnsi="Times New Roman"/>
          <w:w w:val="105"/>
        </w:rPr>
        <w:t>ﬁ</w:t>
      </w:r>
      <w:r>
        <w:rPr>
          <w:w w:val="105"/>
        </w:rPr>
        <w:t>cial</w:t>
      </w:r>
      <w:r>
        <w:rPr>
          <w:spacing w:val="-8"/>
          <w:w w:val="105"/>
        </w:rPr>
        <w:t> </w:t>
      </w:r>
      <w:r>
        <w:rPr>
          <w:w w:val="105"/>
        </w:rPr>
        <w:t>SSI,</w:t>
      </w:r>
      <w:r>
        <w:rPr>
          <w:spacing w:val="-6"/>
          <w:w w:val="105"/>
        </w:rPr>
        <w:t> </w:t>
      </w:r>
      <w:r>
        <w:rPr>
          <w:w w:val="105"/>
        </w:rPr>
        <w:t>the closure category with high variability in rates was barbed sutures for a single layer with traditional skin closure (0% to 33%) </w:t>
      </w:r>
      <w:r>
        <w:rPr>
          <w:spacing w:val="-3"/>
          <w:w w:val="105"/>
        </w:rPr>
        <w:t>(category </w:t>
      </w:r>
      <w:r>
        <w:rPr>
          <w:w w:val="105"/>
        </w:rPr>
        <w:t>#4), although sample size may have contributed to this large </w:t>
      </w:r>
      <w:r>
        <w:rPr>
          <w:spacing w:val="-4"/>
          <w:w w:val="105"/>
        </w:rPr>
        <w:t>range </w:t>
      </w:r>
      <w:r>
        <w:rPr>
          <w:w w:val="105"/>
        </w:rPr>
        <w:t>as the studies reporting the higher rates included only </w:t>
      </w:r>
      <w:r>
        <w:rPr>
          <w:spacing w:val="-7"/>
          <w:w w:val="105"/>
        </w:rPr>
        <w:t>18 </w:t>
      </w:r>
      <w:r>
        <w:rPr>
          <w:w w:val="105"/>
        </w:rPr>
        <w:t>to 36 patients in each treatment arm with various infection de</w:t>
      </w:r>
      <w:r>
        <w:rPr>
          <w:rFonts w:ascii="Times New Roman" w:hAnsi="Times New Roman"/>
          <w:w w:val="105"/>
        </w:rPr>
        <w:t>ﬁ</w:t>
      </w:r>
      <w:r>
        <w:rPr>
          <w:w w:val="105"/>
        </w:rPr>
        <w:t>nitions </w:t>
      </w:r>
      <w:r>
        <w:rPr>
          <w:spacing w:val="-4"/>
          <w:w w:val="105"/>
        </w:rPr>
        <w:t>[</w:t>
      </w:r>
      <w:hyperlink w:history="true" w:anchor="_bookmark30">
        <w:r>
          <w:rPr>
            <w:color w:val="007FAC"/>
            <w:spacing w:val="-4"/>
            <w:w w:val="105"/>
          </w:rPr>
          <w:t>19</w:t>
        </w:r>
      </w:hyperlink>
      <w:r>
        <w:rPr>
          <w:spacing w:val="-4"/>
          <w:w w:val="105"/>
        </w:rPr>
        <w:t>,</w:t>
      </w:r>
      <w:hyperlink w:history="true" w:anchor="_bookmark32">
        <w:r>
          <w:rPr>
            <w:color w:val="007FAC"/>
            <w:spacing w:val="-4"/>
            <w:w w:val="105"/>
          </w:rPr>
          <w:t>21</w:t>
        </w:r>
      </w:hyperlink>
      <w:r>
        <w:rPr>
          <w:spacing w:val="-4"/>
          <w:w w:val="105"/>
        </w:rPr>
        <w:t>,</w:t>
      </w:r>
      <w:hyperlink w:history="true" w:anchor="_bookmark48">
        <w:r>
          <w:rPr>
            <w:color w:val="007FAC"/>
            <w:spacing w:val="-4"/>
            <w:w w:val="105"/>
          </w:rPr>
          <w:t>37</w:t>
        </w:r>
      </w:hyperlink>
      <w:r>
        <w:rPr>
          <w:spacing w:val="-4"/>
          <w:w w:val="105"/>
        </w:rPr>
        <w:t>]. </w:t>
      </w:r>
      <w:r>
        <w:rPr>
          <w:w w:val="105"/>
        </w:rPr>
        <w:t>Collectively, these </w:t>
      </w:r>
      <w:r>
        <w:rPr>
          <w:rFonts w:ascii="Times New Roman" w:hAnsi="Times New Roman"/>
          <w:w w:val="105"/>
        </w:rPr>
        <w:t>ﬁ</w:t>
      </w:r>
      <w:r>
        <w:rPr>
          <w:w w:val="105"/>
        </w:rPr>
        <w:t>ndings are important as SSIs are a serious adverse event that contributes to increased hospital </w:t>
      </w:r>
      <w:r>
        <w:rPr>
          <w:spacing w:val="-5"/>
          <w:w w:val="105"/>
        </w:rPr>
        <w:t>stay, </w:t>
      </w:r>
      <w:r>
        <w:rPr>
          <w:w w:val="105"/>
        </w:rPr>
        <w:t>early</w:t>
      </w:r>
      <w:r>
        <w:rPr>
          <w:spacing w:val="12"/>
          <w:w w:val="105"/>
        </w:rPr>
        <w:t> </w:t>
      </w:r>
      <w:r>
        <w:rPr>
          <w:w w:val="105"/>
        </w:rPr>
        <w:t>readmission</w:t>
      </w:r>
      <w:r>
        <w:rPr>
          <w:spacing w:val="14"/>
          <w:w w:val="105"/>
        </w:rPr>
        <w:t> </w:t>
      </w:r>
      <w:r>
        <w:rPr>
          <w:w w:val="105"/>
        </w:rPr>
        <w:t>rates,</w:t>
      </w:r>
      <w:r>
        <w:rPr>
          <w:spacing w:val="13"/>
          <w:w w:val="105"/>
        </w:rPr>
        <w:t> </w:t>
      </w:r>
      <w:r>
        <w:rPr>
          <w:w w:val="105"/>
        </w:rPr>
        <w:t>mortality,</w:t>
      </w:r>
      <w:r>
        <w:rPr>
          <w:spacing w:val="13"/>
          <w:w w:val="105"/>
        </w:rPr>
        <w:t> </w:t>
      </w:r>
      <w:r>
        <w:rPr>
          <w:w w:val="105"/>
        </w:rPr>
        <w:t>and</w:t>
      </w:r>
      <w:r>
        <w:rPr>
          <w:spacing w:val="14"/>
          <w:w w:val="105"/>
        </w:rPr>
        <w:t> </w:t>
      </w:r>
      <w:r>
        <w:rPr>
          <w:w w:val="105"/>
        </w:rPr>
        <w:t>excess</w:t>
      </w:r>
      <w:r>
        <w:rPr>
          <w:spacing w:val="14"/>
          <w:w w:val="105"/>
        </w:rPr>
        <w:t> </w:t>
      </w:r>
      <w:r>
        <w:rPr>
          <w:w w:val="105"/>
        </w:rPr>
        <w:t>hospital</w:t>
      </w:r>
      <w:r>
        <w:rPr>
          <w:spacing w:val="14"/>
          <w:w w:val="105"/>
        </w:rPr>
        <w:t> </w:t>
      </w:r>
      <w:r>
        <w:rPr>
          <w:w w:val="105"/>
        </w:rPr>
        <w:t>costs</w:t>
      </w:r>
      <w:r>
        <w:rPr>
          <w:spacing w:val="14"/>
          <w:w w:val="105"/>
        </w:rPr>
        <w:t> </w:t>
      </w:r>
      <w:r>
        <w:rPr>
          <w:w w:val="105"/>
        </w:rPr>
        <w:t>[</w:t>
      </w:r>
      <w:hyperlink w:history="true" w:anchor="_bookmark66">
        <w:r>
          <w:rPr>
            <w:color w:val="007FAC"/>
            <w:w w:val="105"/>
          </w:rPr>
          <w:t>55</w:t>
        </w:r>
      </w:hyperlink>
      <w:r>
        <w:rPr>
          <w:w w:val="105"/>
        </w:rPr>
        <w:t>].</w:t>
      </w:r>
    </w:p>
    <w:p>
      <w:pPr>
        <w:pStyle w:val="BodyText"/>
        <w:spacing w:line="252" w:lineRule="auto" w:before="4"/>
        <w:ind w:left="310" w:right="110" w:firstLine="239"/>
        <w:jc w:val="both"/>
      </w:pPr>
      <w:r>
        <w:rPr>
          <w:w w:val="105"/>
        </w:rPr>
        <w:t>Prolonged wound drainage was one of the least reported out- comes across included studies; however, rates were the highest of the outcomes studied (up to 51%). The majority of the data reporting prolonged drainage came from the category of </w:t>
      </w:r>
      <w:r>
        <w:rPr>
          <w:spacing w:val="-3"/>
          <w:w w:val="105"/>
        </w:rPr>
        <w:t>conven- </w:t>
      </w:r>
      <w:r>
        <w:rPr>
          <w:w w:val="105"/>
        </w:rPr>
        <w:t>tional wound closure methods (category #1), with drainage rates ranging from 0% to </w:t>
      </w:r>
      <w:r>
        <w:rPr>
          <w:spacing w:val="-3"/>
          <w:w w:val="105"/>
        </w:rPr>
        <w:t>51%. </w:t>
      </w:r>
      <w:r>
        <w:rPr>
          <w:w w:val="105"/>
        </w:rPr>
        <w:t>Other wound closure categories typically reported prolonged wound drainage rates of </w:t>
      </w:r>
      <w:r>
        <w:rPr>
          <w:spacing w:val="-4"/>
          <w:w w:val="105"/>
        </w:rPr>
        <w:t>10% </w:t>
      </w:r>
      <w:r>
        <w:rPr>
          <w:w w:val="105"/>
        </w:rPr>
        <w:t>or less; however, data were not available for several techniques. Reductions in pro- longed drainage is an important factor in wound healing as it has been found to be a key risk factor for infection, with up to </w:t>
      </w:r>
      <w:r>
        <w:rPr>
          <w:spacing w:val="-4"/>
          <w:w w:val="105"/>
        </w:rPr>
        <w:t>12 </w:t>
      </w:r>
      <w:r>
        <w:rPr>
          <w:w w:val="105"/>
        </w:rPr>
        <w:t>times higher risk of infection associated with prolonged drainage lasting greater than 5 days [</w:t>
      </w:r>
      <w:hyperlink w:history="true" w:anchor="_bookmark67">
        <w:r>
          <w:rPr>
            <w:color w:val="007FAC"/>
            <w:w w:val="105"/>
          </w:rPr>
          <w:t>56</w:t>
        </w:r>
      </w:hyperlink>
      <w:r>
        <w:rPr>
          <w:w w:val="105"/>
        </w:rPr>
        <w:t>]. Similarly, wound dehiscence was poorly reported across identi</w:t>
      </w:r>
      <w:r>
        <w:rPr>
          <w:rFonts w:ascii="Times New Roman" w:hAnsi="Times New Roman"/>
          <w:w w:val="105"/>
        </w:rPr>
        <w:t>ﬁ</w:t>
      </w:r>
      <w:r>
        <w:rPr>
          <w:w w:val="105"/>
        </w:rPr>
        <w:t>ed studies. Across closure categories,</w:t>
      </w:r>
      <w:r>
        <w:rPr>
          <w:spacing w:val="-31"/>
          <w:w w:val="105"/>
        </w:rPr>
        <w:t> </w:t>
      </w:r>
      <w:r>
        <w:rPr>
          <w:w w:val="105"/>
        </w:rPr>
        <w:t>wound dehiscence rates generally ranged between 0% and </w:t>
      </w:r>
      <w:r>
        <w:rPr>
          <w:spacing w:val="-3"/>
          <w:w w:val="105"/>
        </w:rPr>
        <w:t>10%; </w:t>
      </w:r>
      <w:r>
        <w:rPr>
          <w:w w:val="105"/>
        </w:rPr>
        <w:t>however, there were limitations in data reporting for several techniques. It is noted that 2 of the 6 categories (ie, antimicrobial sutures [#2] and multilayer barbed sutures with TSA and polyester mesh [#6]) re- ported rates of 0% from 2 studies. Overall, these </w:t>
      </w:r>
      <w:r>
        <w:rPr>
          <w:rFonts w:ascii="Times New Roman" w:hAnsi="Times New Roman"/>
          <w:w w:val="105"/>
        </w:rPr>
        <w:t>ﬁ</w:t>
      </w:r>
      <w:r>
        <w:rPr>
          <w:w w:val="105"/>
        </w:rPr>
        <w:t>ndings highlight an important area for future study as wound dehiscence is a</w:t>
      </w:r>
      <w:r>
        <w:rPr>
          <w:spacing w:val="-25"/>
          <w:w w:val="105"/>
        </w:rPr>
        <w:t> </w:t>
      </w:r>
      <w:r>
        <w:rPr>
          <w:w w:val="105"/>
        </w:rPr>
        <w:t>serious adverse event that can lead to other complications, including risk</w:t>
      </w:r>
      <w:r>
        <w:rPr>
          <w:spacing w:val="-19"/>
          <w:w w:val="105"/>
        </w:rPr>
        <w:t> </w:t>
      </w:r>
      <w:r>
        <w:rPr>
          <w:w w:val="105"/>
        </w:rPr>
        <w:t>of early readmission [</w:t>
      </w:r>
      <w:hyperlink w:history="true" w:anchor="_bookmark68">
        <w:r>
          <w:rPr>
            <w:color w:val="007FAC"/>
            <w:w w:val="105"/>
          </w:rPr>
          <w:t>57</w:t>
        </w:r>
      </w:hyperlink>
      <w:r>
        <w:rPr>
          <w:w w:val="105"/>
        </w:rPr>
        <w:t>]. Both wound dehiscence and prolonged drainage are important considerations that delay wound healing [</w:t>
      </w:r>
      <w:hyperlink w:history="true" w:anchor="_bookmark61">
        <w:r>
          <w:rPr>
            <w:color w:val="007FAC"/>
            <w:w w:val="105"/>
          </w:rPr>
          <w:t>50</w:t>
        </w:r>
      </w:hyperlink>
      <w:r>
        <w:rPr>
          <w:w w:val="105"/>
        </w:rPr>
        <w:t>,</w:t>
      </w:r>
      <w:hyperlink w:history="true" w:anchor="_bookmark64">
        <w:r>
          <w:rPr>
            <w:color w:val="007FAC"/>
            <w:w w:val="105"/>
          </w:rPr>
          <w:t>52</w:t>
        </w:r>
      </w:hyperlink>
      <w:r>
        <w:rPr>
          <w:w w:val="105"/>
        </w:rPr>
        <w:t>]. Delayed wound healing has been noted to be a leading risk factor</w:t>
      </w:r>
      <w:r>
        <w:rPr>
          <w:spacing w:val="-7"/>
          <w:w w:val="105"/>
        </w:rPr>
        <w:t> </w:t>
      </w:r>
      <w:r>
        <w:rPr>
          <w:w w:val="105"/>
        </w:rPr>
        <w:t>for</w:t>
      </w:r>
      <w:r>
        <w:rPr>
          <w:spacing w:val="-6"/>
          <w:w w:val="105"/>
        </w:rPr>
        <w:t> </w:t>
      </w:r>
      <w:r>
        <w:rPr>
          <w:w w:val="105"/>
        </w:rPr>
        <w:t>PJI/SSI,</w:t>
      </w:r>
      <w:r>
        <w:rPr>
          <w:spacing w:val="-5"/>
          <w:w w:val="105"/>
        </w:rPr>
        <w:t> </w:t>
      </w:r>
      <w:r>
        <w:rPr>
          <w:w w:val="105"/>
        </w:rPr>
        <w:t>patient</w:t>
      </w:r>
      <w:r>
        <w:rPr>
          <w:spacing w:val="-6"/>
          <w:w w:val="105"/>
        </w:rPr>
        <w:t> </w:t>
      </w:r>
      <w:r>
        <w:rPr>
          <w:w w:val="105"/>
        </w:rPr>
        <w:t>morbidity,</w:t>
      </w:r>
      <w:r>
        <w:rPr>
          <w:spacing w:val="-4"/>
          <w:w w:val="105"/>
        </w:rPr>
        <w:t> </w:t>
      </w:r>
      <w:r>
        <w:rPr>
          <w:w w:val="105"/>
        </w:rPr>
        <w:t>and</w:t>
      </w:r>
      <w:r>
        <w:rPr>
          <w:spacing w:val="-6"/>
          <w:w w:val="105"/>
        </w:rPr>
        <w:t> </w:t>
      </w:r>
      <w:r>
        <w:rPr>
          <w:w w:val="105"/>
        </w:rPr>
        <w:t>increased</w:t>
      </w:r>
      <w:r>
        <w:rPr>
          <w:spacing w:val="-5"/>
          <w:w w:val="105"/>
        </w:rPr>
        <w:t> </w:t>
      </w:r>
      <w:r>
        <w:rPr>
          <w:w w:val="105"/>
        </w:rPr>
        <w:t>health-care</w:t>
      </w:r>
      <w:r>
        <w:rPr>
          <w:spacing w:val="-5"/>
          <w:w w:val="105"/>
        </w:rPr>
        <w:t> </w:t>
      </w:r>
      <w:r>
        <w:rPr>
          <w:w w:val="105"/>
        </w:rPr>
        <w:t>costs [</w:t>
      </w:r>
      <w:hyperlink w:history="true" w:anchor="_bookmark61">
        <w:r>
          <w:rPr>
            <w:color w:val="007FAC"/>
            <w:w w:val="105"/>
          </w:rPr>
          <w:t>50</w:t>
        </w:r>
      </w:hyperlink>
      <w:r>
        <w:rPr>
          <w:w w:val="105"/>
        </w:rPr>
        <w:t>,</w:t>
      </w:r>
      <w:hyperlink w:history="true" w:anchor="_bookmark64">
        <w:r>
          <w:rPr>
            <w:color w:val="007FAC"/>
            <w:w w:val="105"/>
          </w:rPr>
          <w:t>52</w:t>
        </w:r>
      </w:hyperlink>
      <w:r>
        <w:rPr>
          <w:w w:val="105"/>
        </w:rPr>
        <w:t>].</w:t>
      </w:r>
    </w:p>
    <w:p>
      <w:pPr>
        <w:pStyle w:val="BodyText"/>
        <w:spacing w:line="252" w:lineRule="auto" w:before="11"/>
        <w:ind w:left="310" w:right="110" w:firstLine="239"/>
        <w:jc w:val="both"/>
      </w:pPr>
      <w:r>
        <w:rPr>
          <w:w w:val="110"/>
        </w:rPr>
        <w:t>Results of this review highlight the need for use of consistent, uniform, and watertight multilayer closure methods to avoid adverse</w:t>
      </w:r>
      <w:r>
        <w:rPr>
          <w:spacing w:val="-28"/>
          <w:w w:val="110"/>
        </w:rPr>
        <w:t> </w:t>
      </w:r>
      <w:r>
        <w:rPr>
          <w:w w:val="110"/>
        </w:rPr>
        <w:t>events</w:t>
      </w:r>
      <w:r>
        <w:rPr>
          <w:spacing w:val="-27"/>
          <w:w w:val="110"/>
        </w:rPr>
        <w:t> </w:t>
      </w:r>
      <w:r>
        <w:rPr>
          <w:w w:val="110"/>
        </w:rPr>
        <w:t>and</w:t>
      </w:r>
      <w:r>
        <w:rPr>
          <w:spacing w:val="-27"/>
          <w:w w:val="110"/>
        </w:rPr>
        <w:t> </w:t>
      </w:r>
      <w:r>
        <w:rPr>
          <w:w w:val="110"/>
        </w:rPr>
        <w:t>unnecessary</w:t>
      </w:r>
      <w:r>
        <w:rPr>
          <w:spacing w:val="-27"/>
          <w:w w:val="110"/>
        </w:rPr>
        <w:t> </w:t>
      </w:r>
      <w:r>
        <w:rPr>
          <w:w w:val="110"/>
        </w:rPr>
        <w:t>readmissions.</w:t>
      </w:r>
      <w:r>
        <w:rPr>
          <w:spacing w:val="-28"/>
          <w:w w:val="110"/>
        </w:rPr>
        <w:t> </w:t>
      </w:r>
      <w:r>
        <w:rPr>
          <w:w w:val="110"/>
        </w:rPr>
        <w:t>Across</w:t>
      </w:r>
      <w:r>
        <w:rPr>
          <w:spacing w:val="-27"/>
          <w:w w:val="110"/>
        </w:rPr>
        <w:t> </w:t>
      </w:r>
      <w:r>
        <w:rPr>
          <w:w w:val="110"/>
        </w:rPr>
        <w:t>the</w:t>
      </w:r>
      <w:r>
        <w:rPr>
          <w:spacing w:val="-27"/>
          <w:w w:val="110"/>
        </w:rPr>
        <w:t> </w:t>
      </w:r>
      <w:r>
        <w:rPr>
          <w:w w:val="110"/>
        </w:rPr>
        <w:t>included studies, key categories reporting very low adverse event rates included</w:t>
      </w:r>
      <w:r>
        <w:rPr>
          <w:spacing w:val="-19"/>
          <w:w w:val="110"/>
        </w:rPr>
        <w:t> </w:t>
      </w:r>
      <w:r>
        <w:rPr>
          <w:w w:val="110"/>
        </w:rPr>
        <w:t>the</w:t>
      </w:r>
      <w:r>
        <w:rPr>
          <w:spacing w:val="-18"/>
          <w:w w:val="110"/>
        </w:rPr>
        <w:t> </w:t>
      </w:r>
      <w:r>
        <w:rPr>
          <w:w w:val="110"/>
        </w:rPr>
        <w:t>use</w:t>
      </w:r>
      <w:r>
        <w:rPr>
          <w:spacing w:val="-18"/>
          <w:w w:val="110"/>
        </w:rPr>
        <w:t> </w:t>
      </w:r>
      <w:r>
        <w:rPr>
          <w:w w:val="110"/>
        </w:rPr>
        <w:t>of</w:t>
      </w:r>
      <w:r>
        <w:rPr>
          <w:spacing w:val="-18"/>
          <w:w w:val="110"/>
        </w:rPr>
        <w:t> </w:t>
      </w:r>
      <w:r>
        <w:rPr>
          <w:w w:val="110"/>
        </w:rPr>
        <w:t>antimicrobial</w:t>
      </w:r>
      <w:r>
        <w:rPr>
          <w:spacing w:val="-18"/>
          <w:w w:val="110"/>
        </w:rPr>
        <w:t> </w:t>
      </w:r>
      <w:r>
        <w:rPr>
          <w:w w:val="110"/>
        </w:rPr>
        <w:t>sutures</w:t>
      </w:r>
      <w:r>
        <w:rPr>
          <w:spacing w:val="-17"/>
          <w:w w:val="110"/>
        </w:rPr>
        <w:t> </w:t>
      </w:r>
      <w:r>
        <w:rPr>
          <w:w w:val="110"/>
        </w:rPr>
        <w:t>(category</w:t>
      </w:r>
      <w:r>
        <w:rPr>
          <w:spacing w:val="-18"/>
          <w:w w:val="110"/>
        </w:rPr>
        <w:t> </w:t>
      </w:r>
      <w:r>
        <w:rPr>
          <w:w w:val="110"/>
        </w:rPr>
        <w:t>#2)</w:t>
      </w:r>
      <w:r>
        <w:rPr>
          <w:spacing w:val="-18"/>
          <w:w w:val="110"/>
        </w:rPr>
        <w:t> </w:t>
      </w:r>
      <w:r>
        <w:rPr>
          <w:w w:val="110"/>
        </w:rPr>
        <w:t>and</w:t>
      </w:r>
      <w:r>
        <w:rPr>
          <w:spacing w:val="-18"/>
          <w:w w:val="110"/>
        </w:rPr>
        <w:t> </w:t>
      </w:r>
      <w:r>
        <w:rPr>
          <w:w w:val="110"/>
        </w:rPr>
        <w:t>barbed sutures for deep tissue with TSA and polyester mesh for skin closure (category #6). The </w:t>
      </w:r>
      <w:r>
        <w:rPr>
          <w:rFonts w:ascii="Times New Roman" w:hAnsi="Times New Roman"/>
          <w:w w:val="110"/>
        </w:rPr>
        <w:t>ﬁ</w:t>
      </w:r>
      <w:r>
        <w:rPr>
          <w:w w:val="110"/>
        </w:rPr>
        <w:t>rst category of closure using antimi- crobial</w:t>
      </w:r>
      <w:r>
        <w:rPr>
          <w:spacing w:val="-15"/>
          <w:w w:val="110"/>
        </w:rPr>
        <w:t> </w:t>
      </w:r>
      <w:r>
        <w:rPr>
          <w:w w:val="110"/>
        </w:rPr>
        <w:t>sutures</w:t>
      </w:r>
      <w:r>
        <w:rPr>
          <w:spacing w:val="-14"/>
          <w:w w:val="110"/>
        </w:rPr>
        <w:t> </w:t>
      </w:r>
      <w:r>
        <w:rPr>
          <w:w w:val="110"/>
        </w:rPr>
        <w:t>is</w:t>
      </w:r>
      <w:r>
        <w:rPr>
          <w:spacing w:val="-15"/>
          <w:w w:val="110"/>
        </w:rPr>
        <w:t> </w:t>
      </w:r>
      <w:r>
        <w:rPr>
          <w:w w:val="110"/>
        </w:rPr>
        <w:t>aligned</w:t>
      </w:r>
      <w:r>
        <w:rPr>
          <w:spacing w:val="-15"/>
          <w:w w:val="110"/>
        </w:rPr>
        <w:t> </w:t>
      </w:r>
      <w:r>
        <w:rPr>
          <w:w w:val="110"/>
        </w:rPr>
        <w:t>with</w:t>
      </w:r>
      <w:r>
        <w:rPr>
          <w:spacing w:val="-15"/>
          <w:w w:val="110"/>
        </w:rPr>
        <w:t> </w:t>
      </w:r>
      <w:r>
        <w:rPr>
          <w:w w:val="110"/>
        </w:rPr>
        <w:t>the</w:t>
      </w:r>
      <w:r>
        <w:rPr>
          <w:spacing w:val="-16"/>
          <w:w w:val="110"/>
        </w:rPr>
        <w:t> </w:t>
      </w:r>
      <w:r>
        <w:rPr>
          <w:w w:val="110"/>
        </w:rPr>
        <w:t>wealth</w:t>
      </w:r>
      <w:r>
        <w:rPr>
          <w:spacing w:val="-15"/>
          <w:w w:val="110"/>
        </w:rPr>
        <w:t> </w:t>
      </w:r>
      <w:r>
        <w:rPr>
          <w:w w:val="110"/>
        </w:rPr>
        <w:t>of</w:t>
      </w:r>
      <w:r>
        <w:rPr>
          <w:spacing w:val="-14"/>
          <w:w w:val="110"/>
        </w:rPr>
        <w:t> </w:t>
      </w:r>
      <w:r>
        <w:rPr>
          <w:w w:val="110"/>
        </w:rPr>
        <w:t>evidence</w:t>
      </w:r>
      <w:r>
        <w:rPr>
          <w:spacing w:val="-15"/>
          <w:w w:val="110"/>
        </w:rPr>
        <w:t> </w:t>
      </w:r>
      <w:r>
        <w:rPr>
          <w:w w:val="110"/>
        </w:rPr>
        <w:t>highlighting their bene</w:t>
      </w:r>
      <w:r>
        <w:rPr>
          <w:rFonts w:ascii="Times New Roman" w:hAnsi="Times New Roman"/>
          <w:w w:val="110"/>
        </w:rPr>
        <w:t>ﬁ</w:t>
      </w:r>
      <w:r>
        <w:rPr>
          <w:w w:val="110"/>
        </w:rPr>
        <w:t>t in reducing the risk of SSI. This includes multiple, large,</w:t>
      </w:r>
      <w:r>
        <w:rPr>
          <w:spacing w:val="-19"/>
          <w:w w:val="110"/>
        </w:rPr>
        <w:t> </w:t>
      </w:r>
      <w:r>
        <w:rPr>
          <w:w w:val="110"/>
        </w:rPr>
        <w:t>meta-analyses</w:t>
      </w:r>
      <w:r>
        <w:rPr>
          <w:spacing w:val="-18"/>
          <w:w w:val="110"/>
        </w:rPr>
        <w:t> </w:t>
      </w:r>
      <w:r>
        <w:rPr>
          <w:w w:val="110"/>
        </w:rPr>
        <w:t>and</w:t>
      </w:r>
      <w:r>
        <w:rPr>
          <w:spacing w:val="-19"/>
          <w:w w:val="110"/>
        </w:rPr>
        <w:t> </w:t>
      </w:r>
      <w:r>
        <w:rPr>
          <w:w w:val="110"/>
        </w:rPr>
        <w:t>multinational</w:t>
      </w:r>
      <w:r>
        <w:rPr>
          <w:spacing w:val="-19"/>
          <w:w w:val="110"/>
        </w:rPr>
        <w:t> </w:t>
      </w:r>
      <w:r>
        <w:rPr>
          <w:w w:val="110"/>
        </w:rPr>
        <w:t>guidelines</w:t>
      </w:r>
      <w:r>
        <w:rPr>
          <w:spacing w:val="-18"/>
          <w:w w:val="110"/>
        </w:rPr>
        <w:t> </w:t>
      </w:r>
      <w:r>
        <w:rPr>
          <w:w w:val="110"/>
        </w:rPr>
        <w:t>recommending their</w:t>
      </w:r>
      <w:r>
        <w:rPr>
          <w:spacing w:val="-30"/>
          <w:w w:val="110"/>
        </w:rPr>
        <w:t> </w:t>
      </w:r>
      <w:r>
        <w:rPr>
          <w:w w:val="110"/>
        </w:rPr>
        <w:t>use</w:t>
      </w:r>
      <w:r>
        <w:rPr>
          <w:spacing w:val="-29"/>
          <w:w w:val="110"/>
        </w:rPr>
        <w:t> </w:t>
      </w:r>
      <w:r>
        <w:rPr>
          <w:w w:val="110"/>
        </w:rPr>
        <w:t>across</w:t>
      </w:r>
      <w:r>
        <w:rPr>
          <w:spacing w:val="-30"/>
          <w:w w:val="110"/>
        </w:rPr>
        <w:t> </w:t>
      </w:r>
      <w:r>
        <w:rPr>
          <w:w w:val="110"/>
        </w:rPr>
        <w:t>surgery</w:t>
      </w:r>
      <w:r>
        <w:rPr>
          <w:spacing w:val="-30"/>
          <w:w w:val="110"/>
        </w:rPr>
        <w:t> </w:t>
      </w:r>
      <w:r>
        <w:rPr>
          <w:w w:val="110"/>
        </w:rPr>
        <w:t>types</w:t>
      </w:r>
      <w:r>
        <w:rPr>
          <w:spacing w:val="-29"/>
          <w:w w:val="110"/>
        </w:rPr>
        <w:t> </w:t>
      </w:r>
      <w:r>
        <w:rPr>
          <w:w w:val="110"/>
        </w:rPr>
        <w:t>(ie,</w:t>
      </w:r>
      <w:r>
        <w:rPr>
          <w:spacing w:val="-30"/>
          <w:w w:val="110"/>
        </w:rPr>
        <w:t> </w:t>
      </w:r>
      <w:r>
        <w:rPr>
          <w:w w:val="110"/>
        </w:rPr>
        <w:t>World</w:t>
      </w:r>
      <w:r>
        <w:rPr>
          <w:spacing w:val="-30"/>
          <w:w w:val="110"/>
        </w:rPr>
        <w:t> </w:t>
      </w:r>
      <w:r>
        <w:rPr>
          <w:w w:val="110"/>
        </w:rPr>
        <w:t>Health</w:t>
      </w:r>
      <w:r>
        <w:rPr>
          <w:spacing w:val="-29"/>
          <w:w w:val="110"/>
        </w:rPr>
        <w:t> </w:t>
      </w:r>
      <w:r>
        <w:rPr>
          <w:w w:val="110"/>
        </w:rPr>
        <w:t>Organization,</w:t>
      </w:r>
      <w:r>
        <w:rPr>
          <w:spacing w:val="-30"/>
          <w:w w:val="110"/>
        </w:rPr>
        <w:t> </w:t>
      </w:r>
      <w:r>
        <w:rPr>
          <w:spacing w:val="-3"/>
          <w:w w:val="110"/>
        </w:rPr>
        <w:t>CDC, </w:t>
      </w:r>
      <w:r>
        <w:rPr>
          <w:w w:val="110"/>
        </w:rPr>
        <w:t>National Institute for Health and Care Excellence, and so forth) [</w:t>
      </w:r>
      <w:hyperlink w:history="true" w:anchor="_bookmark19">
        <w:r>
          <w:rPr>
            <w:color w:val="007FAC"/>
            <w:w w:val="110"/>
          </w:rPr>
          <w:t>8</w:t>
        </w:r>
      </w:hyperlink>
      <w:r>
        <w:rPr>
          <w:w w:val="110"/>
        </w:rPr>
        <w:t>,</w:t>
      </w:r>
      <w:hyperlink w:history="true" w:anchor="_bookmark69">
        <w:r>
          <w:rPr>
            <w:color w:val="007FAC"/>
            <w:w w:val="110"/>
          </w:rPr>
          <w:t>58</w:t>
        </w:r>
      </w:hyperlink>
      <w:r>
        <w:rPr>
          <w:rFonts w:ascii="Lucida Sans" w:hAnsi="Lucida Sans"/>
          <w:color w:val="007FAC"/>
          <w:w w:val="110"/>
        </w:rPr>
        <w:t>e</w:t>
      </w:r>
      <w:hyperlink w:history="true" w:anchor="_bookmark69">
        <w:r>
          <w:rPr>
            <w:color w:val="007FAC"/>
            <w:w w:val="110"/>
          </w:rPr>
          <w:t>61</w:t>
        </w:r>
      </w:hyperlink>
      <w:r>
        <w:rPr>
          <w:w w:val="110"/>
        </w:rPr>
        <w:t>].</w:t>
      </w:r>
      <w:r>
        <w:rPr>
          <w:spacing w:val="-4"/>
          <w:w w:val="110"/>
        </w:rPr>
        <w:t> </w:t>
      </w:r>
      <w:r>
        <w:rPr>
          <w:w w:val="110"/>
        </w:rPr>
        <w:t>For</w:t>
      </w:r>
      <w:r>
        <w:rPr>
          <w:spacing w:val="-4"/>
          <w:w w:val="110"/>
        </w:rPr>
        <w:t> </w:t>
      </w:r>
      <w:r>
        <w:rPr>
          <w:w w:val="110"/>
        </w:rPr>
        <w:t>the</w:t>
      </w:r>
      <w:r>
        <w:rPr>
          <w:spacing w:val="-3"/>
          <w:w w:val="110"/>
        </w:rPr>
        <w:t> </w:t>
      </w:r>
      <w:r>
        <w:rPr>
          <w:w w:val="110"/>
        </w:rPr>
        <w:t>second</w:t>
      </w:r>
      <w:r>
        <w:rPr>
          <w:spacing w:val="-3"/>
          <w:w w:val="110"/>
        </w:rPr>
        <w:t> </w:t>
      </w:r>
      <w:r>
        <w:rPr>
          <w:w w:val="110"/>
        </w:rPr>
        <w:t>category</w:t>
      </w:r>
      <w:r>
        <w:rPr>
          <w:spacing w:val="-5"/>
          <w:w w:val="110"/>
        </w:rPr>
        <w:t> </w:t>
      </w:r>
      <w:r>
        <w:rPr>
          <w:w w:val="110"/>
        </w:rPr>
        <w:t>of</w:t>
      </w:r>
      <w:r>
        <w:rPr>
          <w:spacing w:val="-3"/>
          <w:w w:val="110"/>
        </w:rPr>
        <w:t> </w:t>
      </w:r>
      <w:r>
        <w:rPr>
          <w:w w:val="110"/>
        </w:rPr>
        <w:t>closure</w:t>
      </w:r>
      <w:r>
        <w:rPr>
          <w:spacing w:val="-6"/>
          <w:w w:val="110"/>
        </w:rPr>
        <w:t> </w:t>
      </w:r>
      <w:r>
        <w:rPr>
          <w:w w:val="110"/>
        </w:rPr>
        <w:t>with</w:t>
      </w:r>
      <w:r>
        <w:rPr>
          <w:spacing w:val="-3"/>
          <w:w w:val="110"/>
        </w:rPr>
        <w:t> </w:t>
      </w:r>
      <w:r>
        <w:rPr>
          <w:w w:val="110"/>
        </w:rPr>
        <w:t>barbed</w:t>
      </w:r>
      <w:r>
        <w:rPr>
          <w:spacing w:val="-2"/>
          <w:w w:val="110"/>
        </w:rPr>
        <w:t> </w:t>
      </w:r>
      <w:r>
        <w:rPr>
          <w:w w:val="110"/>
        </w:rPr>
        <w:t>sutures for</w:t>
      </w:r>
      <w:r>
        <w:rPr>
          <w:spacing w:val="-9"/>
          <w:w w:val="110"/>
        </w:rPr>
        <w:t> </w:t>
      </w:r>
      <w:r>
        <w:rPr>
          <w:w w:val="110"/>
        </w:rPr>
        <w:t>deep</w:t>
      </w:r>
      <w:r>
        <w:rPr>
          <w:spacing w:val="-6"/>
          <w:w w:val="110"/>
        </w:rPr>
        <w:t> </w:t>
      </w:r>
      <w:r>
        <w:rPr>
          <w:w w:val="110"/>
        </w:rPr>
        <w:t>closure</w:t>
      </w:r>
      <w:r>
        <w:rPr>
          <w:spacing w:val="-8"/>
          <w:w w:val="110"/>
        </w:rPr>
        <w:t> </w:t>
      </w:r>
      <w:r>
        <w:rPr>
          <w:w w:val="110"/>
        </w:rPr>
        <w:t>and</w:t>
      </w:r>
      <w:r>
        <w:rPr>
          <w:spacing w:val="-6"/>
          <w:w w:val="110"/>
        </w:rPr>
        <w:t> </w:t>
      </w:r>
      <w:r>
        <w:rPr>
          <w:w w:val="110"/>
        </w:rPr>
        <w:t>TSA</w:t>
      </w:r>
      <w:r>
        <w:rPr>
          <w:spacing w:val="-11"/>
          <w:w w:val="110"/>
        </w:rPr>
        <w:t> </w:t>
      </w:r>
      <w:r>
        <w:rPr>
          <w:w w:val="110"/>
        </w:rPr>
        <w:t>with</w:t>
      </w:r>
      <w:r>
        <w:rPr>
          <w:spacing w:val="-7"/>
          <w:w w:val="110"/>
        </w:rPr>
        <w:t> </w:t>
      </w:r>
      <w:r>
        <w:rPr>
          <w:w w:val="110"/>
        </w:rPr>
        <w:t>polyester</w:t>
      </w:r>
      <w:r>
        <w:rPr>
          <w:spacing w:val="-9"/>
          <w:w w:val="110"/>
        </w:rPr>
        <w:t> </w:t>
      </w:r>
      <w:r>
        <w:rPr>
          <w:w w:val="110"/>
        </w:rPr>
        <w:t>mesh</w:t>
      </w:r>
      <w:r>
        <w:rPr>
          <w:spacing w:val="-6"/>
          <w:w w:val="110"/>
        </w:rPr>
        <w:t> </w:t>
      </w:r>
      <w:r>
        <w:rPr>
          <w:w w:val="110"/>
        </w:rPr>
        <w:t>for</w:t>
      </w:r>
      <w:r>
        <w:rPr>
          <w:spacing w:val="-7"/>
          <w:w w:val="110"/>
        </w:rPr>
        <w:t> </w:t>
      </w:r>
      <w:r>
        <w:rPr>
          <w:w w:val="110"/>
        </w:rPr>
        <w:t>super</w:t>
      </w:r>
      <w:r>
        <w:rPr>
          <w:rFonts w:ascii="Times New Roman" w:hAnsi="Times New Roman"/>
          <w:w w:val="110"/>
        </w:rPr>
        <w:t>ﬁ</w:t>
      </w:r>
      <w:r>
        <w:rPr>
          <w:w w:val="110"/>
        </w:rPr>
        <w:t>cial</w:t>
      </w:r>
      <w:r>
        <w:rPr>
          <w:spacing w:val="-6"/>
          <w:w w:val="110"/>
        </w:rPr>
        <w:t> </w:t>
      </w:r>
      <w:r>
        <w:rPr>
          <w:w w:val="110"/>
        </w:rPr>
        <w:t>skin </w:t>
      </w:r>
      <w:r>
        <w:rPr>
          <w:spacing w:val="-3"/>
          <w:w w:val="110"/>
        </w:rPr>
        <w:t>layer, </w:t>
      </w:r>
      <w:r>
        <w:rPr>
          <w:w w:val="110"/>
        </w:rPr>
        <w:t>the low rate of wound closure</w:t>
      </w:r>
      <w:r>
        <w:rPr>
          <w:rFonts w:ascii="Lucida Sans" w:hAnsi="Lucida Sans"/>
          <w:w w:val="110"/>
        </w:rPr>
        <w:t>e</w:t>
      </w:r>
      <w:r>
        <w:rPr>
          <w:w w:val="110"/>
        </w:rPr>
        <w:t>related adverse events observed</w:t>
      </w:r>
      <w:r>
        <w:rPr>
          <w:spacing w:val="-13"/>
          <w:w w:val="110"/>
        </w:rPr>
        <w:t> </w:t>
      </w:r>
      <w:r>
        <w:rPr>
          <w:w w:val="110"/>
        </w:rPr>
        <w:t>may</w:t>
      </w:r>
      <w:r>
        <w:rPr>
          <w:spacing w:val="-12"/>
          <w:w w:val="110"/>
        </w:rPr>
        <w:t> </w:t>
      </w:r>
      <w:r>
        <w:rPr>
          <w:w w:val="110"/>
        </w:rPr>
        <w:t>be</w:t>
      </w:r>
      <w:r>
        <w:rPr>
          <w:spacing w:val="-12"/>
          <w:w w:val="110"/>
        </w:rPr>
        <w:t> </w:t>
      </w:r>
      <w:r>
        <w:rPr>
          <w:w w:val="110"/>
        </w:rPr>
        <w:t>due</w:t>
      </w:r>
      <w:r>
        <w:rPr>
          <w:spacing w:val="-12"/>
          <w:w w:val="110"/>
        </w:rPr>
        <w:t> </w:t>
      </w:r>
      <w:r>
        <w:rPr>
          <w:w w:val="110"/>
        </w:rPr>
        <w:t>to</w:t>
      </w:r>
      <w:r>
        <w:rPr>
          <w:spacing w:val="-14"/>
          <w:w w:val="110"/>
        </w:rPr>
        <w:t> </w:t>
      </w:r>
      <w:r>
        <w:rPr>
          <w:w w:val="110"/>
        </w:rPr>
        <w:t>various</w:t>
      </w:r>
      <w:r>
        <w:rPr>
          <w:spacing w:val="-12"/>
          <w:w w:val="110"/>
        </w:rPr>
        <w:t> </w:t>
      </w:r>
      <w:r>
        <w:rPr>
          <w:w w:val="110"/>
        </w:rPr>
        <w:t>factors.</w:t>
      </w:r>
      <w:r>
        <w:rPr>
          <w:spacing w:val="-12"/>
          <w:w w:val="110"/>
        </w:rPr>
        <w:t> </w:t>
      </w:r>
      <w:r>
        <w:rPr>
          <w:w w:val="110"/>
        </w:rPr>
        <w:t>The</w:t>
      </w:r>
      <w:r>
        <w:rPr>
          <w:spacing w:val="-12"/>
          <w:w w:val="110"/>
        </w:rPr>
        <w:t> </w:t>
      </w:r>
      <w:r>
        <w:rPr>
          <w:w w:val="110"/>
        </w:rPr>
        <w:t>use</w:t>
      </w:r>
      <w:r>
        <w:rPr>
          <w:spacing w:val="-12"/>
          <w:w w:val="110"/>
        </w:rPr>
        <w:t> </w:t>
      </w:r>
      <w:r>
        <w:rPr>
          <w:w w:val="110"/>
        </w:rPr>
        <w:t>of</w:t>
      </w:r>
      <w:r>
        <w:rPr>
          <w:spacing w:val="-12"/>
          <w:w w:val="110"/>
        </w:rPr>
        <w:t> </w:t>
      </w:r>
      <w:r>
        <w:rPr>
          <w:w w:val="110"/>
        </w:rPr>
        <w:t>barbed</w:t>
      </w:r>
      <w:r>
        <w:rPr>
          <w:spacing w:val="-13"/>
          <w:w w:val="110"/>
        </w:rPr>
        <w:t> </w:t>
      </w:r>
      <w:r>
        <w:rPr>
          <w:w w:val="110"/>
        </w:rPr>
        <w:t>sutures for deep tissue closure may allow watertight closure of the</w:t>
      </w:r>
      <w:r>
        <w:rPr>
          <w:spacing w:val="-31"/>
          <w:w w:val="110"/>
        </w:rPr>
        <w:t> </w:t>
      </w:r>
      <w:r>
        <w:rPr>
          <w:w w:val="110"/>
        </w:rPr>
        <w:t>tissue over</w:t>
      </w:r>
      <w:r>
        <w:rPr>
          <w:spacing w:val="-6"/>
          <w:w w:val="110"/>
        </w:rPr>
        <w:t> </w:t>
      </w:r>
      <w:r>
        <w:rPr>
          <w:w w:val="110"/>
        </w:rPr>
        <w:t>a</w:t>
      </w:r>
      <w:r>
        <w:rPr>
          <w:spacing w:val="-2"/>
          <w:w w:val="110"/>
        </w:rPr>
        <w:t> </w:t>
      </w:r>
      <w:r>
        <w:rPr>
          <w:w w:val="110"/>
        </w:rPr>
        <w:t>shorter</w:t>
      </w:r>
      <w:r>
        <w:rPr>
          <w:spacing w:val="-4"/>
          <w:w w:val="110"/>
        </w:rPr>
        <w:t> </w:t>
      </w:r>
      <w:r>
        <w:rPr>
          <w:w w:val="110"/>
        </w:rPr>
        <w:t>operation</w:t>
      </w:r>
      <w:r>
        <w:rPr>
          <w:spacing w:val="-2"/>
          <w:w w:val="110"/>
        </w:rPr>
        <w:t> </w:t>
      </w:r>
      <w:r>
        <w:rPr>
          <w:w w:val="110"/>
        </w:rPr>
        <w:t>duration</w:t>
      </w:r>
      <w:r>
        <w:rPr>
          <w:spacing w:val="-3"/>
          <w:w w:val="110"/>
        </w:rPr>
        <w:t> </w:t>
      </w:r>
      <w:r>
        <w:rPr>
          <w:w w:val="110"/>
        </w:rPr>
        <w:t>due</w:t>
      </w:r>
      <w:r>
        <w:rPr>
          <w:spacing w:val="-2"/>
          <w:w w:val="110"/>
        </w:rPr>
        <w:t> </w:t>
      </w:r>
      <w:r>
        <w:rPr>
          <w:w w:val="110"/>
        </w:rPr>
        <w:t>to</w:t>
      </w:r>
      <w:r>
        <w:rPr>
          <w:spacing w:val="-3"/>
          <w:w w:val="110"/>
        </w:rPr>
        <w:t> </w:t>
      </w:r>
      <w:r>
        <w:rPr>
          <w:w w:val="110"/>
        </w:rPr>
        <w:t>their</w:t>
      </w:r>
      <w:r>
        <w:rPr>
          <w:spacing w:val="-5"/>
          <w:w w:val="110"/>
        </w:rPr>
        <w:t> </w:t>
      </w:r>
      <w:r>
        <w:rPr>
          <w:w w:val="110"/>
        </w:rPr>
        <w:t>ability</w:t>
      </w:r>
      <w:r>
        <w:rPr>
          <w:spacing w:val="-3"/>
          <w:w w:val="110"/>
        </w:rPr>
        <w:t> </w:t>
      </w:r>
      <w:r>
        <w:rPr>
          <w:w w:val="110"/>
        </w:rPr>
        <w:t>to</w:t>
      </w:r>
      <w:r>
        <w:rPr>
          <w:spacing w:val="-4"/>
          <w:w w:val="110"/>
        </w:rPr>
        <w:t> </w:t>
      </w:r>
      <w:r>
        <w:rPr>
          <w:w w:val="110"/>
        </w:rPr>
        <w:t>eliminate the need to tie surgical knots and knot-related complications </w:t>
      </w:r>
      <w:r>
        <w:rPr>
          <w:spacing w:val="-3"/>
          <w:w w:val="110"/>
        </w:rPr>
        <w:t>[</w:t>
      </w:r>
      <w:hyperlink w:history="true" w:anchor="_bookmark29">
        <w:r>
          <w:rPr>
            <w:color w:val="007FAC"/>
            <w:spacing w:val="-3"/>
            <w:w w:val="110"/>
          </w:rPr>
          <w:t>18</w:t>
        </w:r>
      </w:hyperlink>
      <w:r>
        <w:rPr>
          <w:spacing w:val="-3"/>
          <w:w w:val="110"/>
        </w:rPr>
        <w:t>,</w:t>
      </w:r>
      <w:hyperlink w:history="true" w:anchor="_bookmark42">
        <w:r>
          <w:rPr>
            <w:color w:val="007FAC"/>
            <w:spacing w:val="-3"/>
            <w:w w:val="110"/>
          </w:rPr>
          <w:t>31</w:t>
        </w:r>
      </w:hyperlink>
      <w:r>
        <w:rPr>
          <w:spacing w:val="-3"/>
          <w:w w:val="110"/>
        </w:rPr>
        <w:t>].</w:t>
      </w:r>
      <w:r>
        <w:rPr>
          <w:spacing w:val="-19"/>
          <w:w w:val="110"/>
        </w:rPr>
        <w:t> </w:t>
      </w:r>
      <w:r>
        <w:rPr>
          <w:w w:val="110"/>
        </w:rPr>
        <w:t>The</w:t>
      </w:r>
      <w:r>
        <w:rPr>
          <w:spacing w:val="-19"/>
          <w:w w:val="110"/>
        </w:rPr>
        <w:t> </w:t>
      </w:r>
      <w:r>
        <w:rPr>
          <w:w w:val="110"/>
        </w:rPr>
        <w:t>bene</w:t>
      </w:r>
      <w:r>
        <w:rPr>
          <w:rFonts w:ascii="Times New Roman" w:hAnsi="Times New Roman"/>
          <w:w w:val="110"/>
        </w:rPr>
        <w:t>ﬁ</w:t>
      </w:r>
      <w:r>
        <w:rPr>
          <w:w w:val="110"/>
        </w:rPr>
        <w:t>ts</w:t>
      </w:r>
      <w:r>
        <w:rPr>
          <w:spacing w:val="-19"/>
          <w:w w:val="110"/>
        </w:rPr>
        <w:t> </w:t>
      </w:r>
      <w:r>
        <w:rPr>
          <w:w w:val="110"/>
        </w:rPr>
        <w:t>of</w:t>
      </w:r>
      <w:r>
        <w:rPr>
          <w:spacing w:val="-19"/>
          <w:w w:val="110"/>
        </w:rPr>
        <w:t> </w:t>
      </w:r>
      <w:r>
        <w:rPr>
          <w:w w:val="110"/>
        </w:rPr>
        <w:t>TSA</w:t>
      </w:r>
      <w:r>
        <w:rPr>
          <w:spacing w:val="-23"/>
          <w:w w:val="110"/>
        </w:rPr>
        <w:t> </w:t>
      </w:r>
      <w:r>
        <w:rPr>
          <w:w w:val="110"/>
        </w:rPr>
        <w:t>with</w:t>
      </w:r>
      <w:r>
        <w:rPr>
          <w:spacing w:val="-19"/>
          <w:w w:val="110"/>
        </w:rPr>
        <w:t> </w:t>
      </w:r>
      <w:r>
        <w:rPr>
          <w:w w:val="110"/>
        </w:rPr>
        <w:t>polyester</w:t>
      </w:r>
      <w:r>
        <w:rPr>
          <w:spacing w:val="-18"/>
          <w:w w:val="110"/>
        </w:rPr>
        <w:t> </w:t>
      </w:r>
      <w:r>
        <w:rPr>
          <w:w w:val="110"/>
        </w:rPr>
        <w:t>mesh</w:t>
      </w:r>
      <w:r>
        <w:rPr>
          <w:spacing w:val="-19"/>
          <w:w w:val="110"/>
        </w:rPr>
        <w:t> </w:t>
      </w:r>
      <w:r>
        <w:rPr>
          <w:w w:val="110"/>
        </w:rPr>
        <w:t>for</w:t>
      </w:r>
      <w:r>
        <w:rPr>
          <w:spacing w:val="-19"/>
          <w:w w:val="110"/>
        </w:rPr>
        <w:t> </w:t>
      </w:r>
      <w:r>
        <w:rPr>
          <w:w w:val="110"/>
        </w:rPr>
        <w:t>super</w:t>
      </w:r>
      <w:r>
        <w:rPr>
          <w:rFonts w:ascii="Times New Roman" w:hAnsi="Times New Roman"/>
          <w:w w:val="110"/>
        </w:rPr>
        <w:t>ﬁ</w:t>
      </w:r>
      <w:r>
        <w:rPr>
          <w:w w:val="110"/>
        </w:rPr>
        <w:t>cial</w:t>
      </w:r>
      <w:r>
        <w:rPr>
          <w:spacing w:val="-19"/>
          <w:w w:val="110"/>
        </w:rPr>
        <w:t> </w:t>
      </w:r>
      <w:r>
        <w:rPr>
          <w:w w:val="110"/>
        </w:rPr>
        <w:t>skin closure</w:t>
      </w:r>
      <w:r>
        <w:rPr>
          <w:spacing w:val="-24"/>
          <w:w w:val="110"/>
        </w:rPr>
        <w:t> </w:t>
      </w:r>
      <w:r>
        <w:rPr>
          <w:w w:val="110"/>
        </w:rPr>
        <w:t>to</w:t>
      </w:r>
      <w:r>
        <w:rPr>
          <w:spacing w:val="-25"/>
          <w:w w:val="110"/>
        </w:rPr>
        <w:t> </w:t>
      </w:r>
      <w:r>
        <w:rPr>
          <w:w w:val="110"/>
        </w:rPr>
        <w:t>reduce</w:t>
      </w:r>
      <w:r>
        <w:rPr>
          <w:spacing w:val="-24"/>
          <w:w w:val="110"/>
        </w:rPr>
        <w:t> </w:t>
      </w:r>
      <w:r>
        <w:rPr>
          <w:w w:val="110"/>
        </w:rPr>
        <w:t>the</w:t>
      </w:r>
      <w:r>
        <w:rPr>
          <w:spacing w:val="-24"/>
          <w:w w:val="110"/>
        </w:rPr>
        <w:t> </w:t>
      </w:r>
      <w:r>
        <w:rPr>
          <w:w w:val="110"/>
        </w:rPr>
        <w:t>risk</w:t>
      </w:r>
      <w:r>
        <w:rPr>
          <w:spacing w:val="-24"/>
          <w:w w:val="110"/>
        </w:rPr>
        <w:t> </w:t>
      </w:r>
      <w:r>
        <w:rPr>
          <w:w w:val="110"/>
        </w:rPr>
        <w:t>of</w:t>
      </w:r>
      <w:r>
        <w:rPr>
          <w:spacing w:val="-23"/>
          <w:w w:val="110"/>
        </w:rPr>
        <w:t> </w:t>
      </w:r>
      <w:r>
        <w:rPr>
          <w:w w:val="110"/>
        </w:rPr>
        <w:t>adverse</w:t>
      </w:r>
      <w:r>
        <w:rPr>
          <w:spacing w:val="-23"/>
          <w:w w:val="110"/>
        </w:rPr>
        <w:t> </w:t>
      </w:r>
      <w:r>
        <w:rPr>
          <w:w w:val="110"/>
        </w:rPr>
        <w:t>events</w:t>
      </w:r>
      <w:r>
        <w:rPr>
          <w:spacing w:val="-23"/>
          <w:w w:val="110"/>
        </w:rPr>
        <w:t> </w:t>
      </w:r>
      <w:r>
        <w:rPr>
          <w:w w:val="110"/>
        </w:rPr>
        <w:t>may</w:t>
      </w:r>
      <w:r>
        <w:rPr>
          <w:spacing w:val="-24"/>
          <w:w w:val="110"/>
        </w:rPr>
        <w:t> </w:t>
      </w:r>
      <w:r>
        <w:rPr>
          <w:w w:val="110"/>
        </w:rPr>
        <w:t>include</w:t>
      </w:r>
      <w:r>
        <w:rPr>
          <w:spacing w:val="-24"/>
          <w:w w:val="110"/>
        </w:rPr>
        <w:t> </w:t>
      </w:r>
      <w:r>
        <w:rPr>
          <w:w w:val="110"/>
        </w:rPr>
        <w:t>its</w:t>
      </w:r>
      <w:r>
        <w:rPr>
          <w:spacing w:val="-23"/>
          <w:w w:val="110"/>
        </w:rPr>
        <w:t> </w:t>
      </w:r>
      <w:r>
        <w:rPr>
          <w:w w:val="110"/>
        </w:rPr>
        <w:t>strength (equivalent to 3-0 suture), tension-sharing properties </w:t>
      </w:r>
      <w:r>
        <w:rPr>
          <w:spacing w:val="-3"/>
          <w:w w:val="110"/>
        </w:rPr>
        <w:t>(evenly </w:t>
      </w:r>
      <w:r>
        <w:rPr>
          <w:w w:val="110"/>
        </w:rPr>
        <w:t>distributing</w:t>
      </w:r>
      <w:r>
        <w:rPr>
          <w:spacing w:val="-4"/>
          <w:w w:val="110"/>
        </w:rPr>
        <w:t> </w:t>
      </w:r>
      <w:r>
        <w:rPr>
          <w:w w:val="110"/>
        </w:rPr>
        <w:t>tension</w:t>
      </w:r>
      <w:r>
        <w:rPr>
          <w:spacing w:val="-3"/>
          <w:w w:val="110"/>
        </w:rPr>
        <w:t> </w:t>
      </w:r>
      <w:r>
        <w:rPr>
          <w:w w:val="110"/>
        </w:rPr>
        <w:t>across</w:t>
      </w:r>
      <w:r>
        <w:rPr>
          <w:spacing w:val="-5"/>
          <w:w w:val="110"/>
        </w:rPr>
        <w:t> </w:t>
      </w:r>
      <w:r>
        <w:rPr>
          <w:w w:val="110"/>
        </w:rPr>
        <w:t>the</w:t>
      </w:r>
      <w:r>
        <w:rPr>
          <w:spacing w:val="-5"/>
          <w:w w:val="110"/>
        </w:rPr>
        <w:t> </w:t>
      </w:r>
      <w:r>
        <w:rPr>
          <w:w w:val="110"/>
        </w:rPr>
        <w:t>width</w:t>
      </w:r>
      <w:r>
        <w:rPr>
          <w:spacing w:val="-3"/>
          <w:w w:val="110"/>
        </w:rPr>
        <w:t> </w:t>
      </w:r>
      <w:r>
        <w:rPr>
          <w:w w:val="110"/>
        </w:rPr>
        <w:t>of</w:t>
      </w:r>
      <w:r>
        <w:rPr>
          <w:spacing w:val="-1"/>
          <w:w w:val="110"/>
        </w:rPr>
        <w:t> </w:t>
      </w:r>
      <w:r>
        <w:rPr>
          <w:w w:val="110"/>
        </w:rPr>
        <w:t>the</w:t>
      </w:r>
      <w:r>
        <w:rPr>
          <w:spacing w:val="-4"/>
          <w:w w:val="110"/>
        </w:rPr>
        <w:t> </w:t>
      </w:r>
      <w:r>
        <w:rPr>
          <w:w w:val="110"/>
        </w:rPr>
        <w:t>mesh</w:t>
      </w:r>
      <w:r>
        <w:rPr>
          <w:spacing w:val="-4"/>
          <w:w w:val="110"/>
        </w:rPr>
        <w:t> </w:t>
      </w:r>
      <w:r>
        <w:rPr>
          <w:w w:val="110"/>
        </w:rPr>
        <w:t>instead</w:t>
      </w:r>
      <w:r>
        <w:rPr>
          <w:spacing w:val="-3"/>
          <w:w w:val="110"/>
        </w:rPr>
        <w:t> </w:t>
      </w:r>
      <w:r>
        <w:rPr>
          <w:w w:val="110"/>
        </w:rPr>
        <w:t>of</w:t>
      </w:r>
      <w:r>
        <w:rPr>
          <w:spacing w:val="-3"/>
          <w:w w:val="110"/>
        </w:rPr>
        <w:t> </w:t>
      </w:r>
      <w:r>
        <w:rPr>
          <w:w w:val="110"/>
        </w:rPr>
        <w:t>at</w:t>
      </w:r>
      <w:r>
        <w:rPr>
          <w:spacing w:val="-4"/>
          <w:w w:val="110"/>
        </w:rPr>
        <w:t> in- </w:t>
      </w:r>
      <w:r>
        <w:rPr>
          <w:w w:val="110"/>
        </w:rPr>
        <w:t>dividual anchor points), and mechanical barrier properties </w:t>
      </w:r>
      <w:r>
        <w:rPr>
          <w:spacing w:val="-4"/>
          <w:w w:val="110"/>
        </w:rPr>
        <w:t>(may </w:t>
      </w:r>
      <w:r>
        <w:rPr>
          <w:w w:val="110"/>
        </w:rPr>
        <w:t>prevent entry of 99% of pathogens over the wound)</w:t>
      </w:r>
      <w:r>
        <w:rPr>
          <w:spacing w:val="-22"/>
          <w:w w:val="110"/>
        </w:rPr>
        <w:t> </w:t>
      </w:r>
      <w:r>
        <w:rPr>
          <w:w w:val="110"/>
        </w:rPr>
        <w:t>[</w:t>
      </w:r>
      <w:hyperlink w:history="true" w:anchor="_bookmark61">
        <w:r>
          <w:rPr>
            <w:color w:val="007FAC"/>
            <w:w w:val="110"/>
          </w:rPr>
          <w:t>50</w:t>
        </w:r>
      </w:hyperlink>
      <w:r>
        <w:rPr>
          <w:w w:val="110"/>
        </w:rPr>
        <w:t>,</w:t>
      </w:r>
      <w:hyperlink w:history="true" w:anchor="_bookmark64">
        <w:r>
          <w:rPr>
            <w:color w:val="007FAC"/>
            <w:w w:val="110"/>
          </w:rPr>
          <w:t>52</w:t>
        </w:r>
      </w:hyperlink>
      <w:r>
        <w:rPr>
          <w:w w:val="110"/>
        </w:rPr>
        <w:t>].</w:t>
      </w:r>
    </w:p>
    <w:p>
      <w:pPr>
        <w:pStyle w:val="BodyText"/>
        <w:spacing w:line="252" w:lineRule="auto" w:before="9"/>
        <w:ind w:left="310" w:right="110" w:firstLine="239"/>
        <w:jc w:val="both"/>
      </w:pPr>
      <w:r>
        <w:rPr>
          <w:w w:val="105"/>
        </w:rPr>
        <w:t>A recent, large observational study by Snyder et al. reported on the use of watertight multilayer closure with recent technologies, examining the role of barbed sutures and TSA with a polyester mesh as part of an integrated clinical pathway (ICP) [</w:t>
      </w:r>
      <w:hyperlink w:history="true" w:anchor="_bookmark29">
        <w:r>
          <w:rPr>
            <w:color w:val="007FAC"/>
            <w:w w:val="105"/>
          </w:rPr>
          <w:t>18</w:t>
        </w:r>
      </w:hyperlink>
      <w:r>
        <w:rPr>
          <w:w w:val="105"/>
        </w:rPr>
        <w:t>]. The study</w:t>
      </w:r>
    </w:p>
    <w:p>
      <w:pPr>
        <w:spacing w:after="0" w:line="252" w:lineRule="auto"/>
        <w:jc w:val="both"/>
        <w:sectPr>
          <w:type w:val="continuous"/>
          <w:pgSz w:w="11910" w:h="15880"/>
          <w:pgMar w:top="840" w:bottom="360" w:left="540" w:right="540"/>
          <w:cols w:num="2" w:equalWidth="0">
            <w:col w:w="5334" w:space="47"/>
            <w:col w:w="5449"/>
          </w:cols>
        </w:sectPr>
      </w:pPr>
    </w:p>
    <w:p>
      <w:pPr>
        <w:tabs>
          <w:tab w:pos="3657" w:val="left" w:leader="none"/>
        </w:tabs>
        <w:spacing w:before="99"/>
        <w:ind w:left="116" w:right="0" w:firstLine="0"/>
        <w:jc w:val="left"/>
        <w:rPr>
          <w:i/>
          <w:sz w:val="12"/>
        </w:rPr>
      </w:pPr>
      <w:r>
        <w:rPr>
          <w:w w:val="110"/>
          <w:sz w:val="12"/>
        </w:rPr>
        <w:t>8</w:t>
        <w:tab/>
      </w:r>
      <w:r>
        <w:rPr>
          <w:i/>
          <w:w w:val="110"/>
          <w:sz w:val="12"/>
        </w:rPr>
        <w:t>M.A. Snyder et al. / Arthroplasty Today xxx (2021)</w:t>
      </w:r>
      <w:r>
        <w:rPr>
          <w:i/>
          <w:spacing w:val="15"/>
          <w:w w:val="110"/>
          <w:sz w:val="12"/>
        </w:rPr>
        <w:t> </w:t>
      </w:r>
      <w:r>
        <w:rPr>
          <w:i/>
          <w:spacing w:val="-3"/>
          <w:w w:val="110"/>
          <w:sz w:val="12"/>
        </w:rPr>
        <w:t>1</w:t>
      </w:r>
      <w:r>
        <w:rPr>
          <w:rFonts w:ascii="Lucida Sans"/>
          <w:spacing w:val="-3"/>
          <w:w w:val="110"/>
          <w:sz w:val="12"/>
        </w:rPr>
        <w:t>e</w:t>
      </w:r>
      <w:r>
        <w:rPr>
          <w:i/>
          <w:spacing w:val="-3"/>
          <w:w w:val="110"/>
          <w:sz w:val="12"/>
        </w:rPr>
        <w:t>10.e7</w:t>
      </w:r>
    </w:p>
    <w:p>
      <w:pPr>
        <w:pStyle w:val="BodyText"/>
        <w:spacing w:before="2"/>
        <w:rPr>
          <w:i/>
          <w:sz w:val="9"/>
        </w:rPr>
      </w:pPr>
    </w:p>
    <w:p>
      <w:pPr>
        <w:spacing w:before="111"/>
        <w:ind w:left="116" w:right="0" w:firstLine="0"/>
        <w:jc w:val="left"/>
        <w:rPr>
          <w:sz w:val="12"/>
        </w:rPr>
      </w:pPr>
      <w:bookmarkStart w:name="_bookmark10" w:id="16"/>
      <w:bookmarkEnd w:id="16"/>
      <w:r>
        <w:rPr/>
      </w:r>
      <w:r>
        <w:rPr>
          <w:w w:val="120"/>
          <w:sz w:val="12"/>
        </w:rPr>
        <w:t>Table 2</w:t>
      </w:r>
    </w:p>
    <w:p>
      <w:pPr>
        <w:spacing w:before="22"/>
        <w:ind w:left="116" w:right="0" w:firstLine="0"/>
        <w:jc w:val="left"/>
        <w:rPr>
          <w:sz w:val="12"/>
        </w:rPr>
      </w:pPr>
      <w:r>
        <w:rPr>
          <w:w w:val="115"/>
          <w:sz w:val="12"/>
        </w:rPr>
        <w:t>Summary categories and techniques of wound closure methods.</w:t>
      </w:r>
    </w:p>
    <w:p>
      <w:pPr>
        <w:pStyle w:val="BodyText"/>
        <w:spacing w:before="8"/>
        <w:rPr>
          <w:sz w:val="5"/>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8"/>
        <w:gridCol w:w="797"/>
        <w:gridCol w:w="1060"/>
        <w:gridCol w:w="1079"/>
        <w:gridCol w:w="1168"/>
        <w:gridCol w:w="843"/>
        <w:gridCol w:w="608"/>
        <w:gridCol w:w="898"/>
        <w:gridCol w:w="965"/>
        <w:gridCol w:w="953"/>
        <w:gridCol w:w="1057"/>
      </w:tblGrid>
      <w:tr>
        <w:trPr>
          <w:trHeight w:val="419" w:hRule="atLeast"/>
        </w:trPr>
        <w:tc>
          <w:tcPr>
            <w:tcW w:w="978" w:type="dxa"/>
            <w:tcBorders>
              <w:top w:val="single" w:sz="6" w:space="0" w:color="000000"/>
              <w:bottom w:val="single" w:sz="6" w:space="0" w:color="000000"/>
            </w:tcBorders>
          </w:tcPr>
          <w:p>
            <w:pPr>
              <w:pStyle w:val="TableParagraph"/>
              <w:spacing w:line="276" w:lineRule="auto" w:before="56"/>
              <w:ind w:left="119" w:right="227"/>
              <w:rPr>
                <w:sz w:val="12"/>
              </w:rPr>
            </w:pPr>
            <w:r>
              <w:rPr>
                <w:w w:val="105"/>
                <w:sz w:val="12"/>
              </w:rPr>
              <w:t>Category/ </w:t>
            </w:r>
            <w:r>
              <w:rPr>
                <w:w w:val="110"/>
                <w:sz w:val="12"/>
              </w:rPr>
              <w:t>Technique</w:t>
            </w:r>
          </w:p>
        </w:tc>
        <w:tc>
          <w:tcPr>
            <w:tcW w:w="797" w:type="dxa"/>
            <w:tcBorders>
              <w:top w:val="single" w:sz="6" w:space="0" w:color="000000"/>
              <w:bottom w:val="single" w:sz="6" w:space="0" w:color="000000"/>
            </w:tcBorders>
          </w:tcPr>
          <w:p>
            <w:pPr>
              <w:pStyle w:val="TableParagraph"/>
              <w:spacing w:line="276" w:lineRule="auto" w:before="56"/>
              <w:ind w:left="40" w:right="41"/>
              <w:rPr>
                <w:sz w:val="12"/>
              </w:rPr>
            </w:pPr>
            <w:r>
              <w:rPr>
                <w:w w:val="115"/>
                <w:sz w:val="12"/>
              </w:rPr>
              <w:t>Fascia suture type</w:t>
            </w:r>
          </w:p>
        </w:tc>
        <w:tc>
          <w:tcPr>
            <w:tcW w:w="1060" w:type="dxa"/>
            <w:tcBorders>
              <w:top w:val="single" w:sz="6" w:space="0" w:color="000000"/>
              <w:bottom w:val="single" w:sz="6" w:space="0" w:color="000000"/>
            </w:tcBorders>
          </w:tcPr>
          <w:p>
            <w:pPr>
              <w:pStyle w:val="TableParagraph"/>
              <w:spacing w:line="276" w:lineRule="auto" w:before="56"/>
              <w:ind w:left="62"/>
              <w:rPr>
                <w:sz w:val="12"/>
              </w:rPr>
            </w:pPr>
            <w:r>
              <w:rPr>
                <w:w w:val="110"/>
                <w:sz w:val="12"/>
              </w:rPr>
              <w:t>Subcutaneous </w:t>
            </w:r>
            <w:r>
              <w:rPr>
                <w:w w:val="115"/>
                <w:sz w:val="12"/>
              </w:rPr>
              <w:t>suture type</w:t>
            </w:r>
          </w:p>
        </w:tc>
        <w:tc>
          <w:tcPr>
            <w:tcW w:w="1079" w:type="dxa"/>
            <w:tcBorders>
              <w:top w:val="single" w:sz="6" w:space="0" w:color="000000"/>
              <w:bottom w:val="single" w:sz="6" w:space="0" w:color="000000"/>
            </w:tcBorders>
          </w:tcPr>
          <w:p>
            <w:pPr>
              <w:pStyle w:val="TableParagraph"/>
              <w:spacing w:line="276" w:lineRule="auto" w:before="56"/>
              <w:ind w:left="156" w:right="166"/>
              <w:rPr>
                <w:sz w:val="12"/>
              </w:rPr>
            </w:pPr>
            <w:r>
              <w:rPr>
                <w:w w:val="110"/>
                <w:sz w:val="12"/>
              </w:rPr>
              <w:t>Subcuticular </w:t>
            </w:r>
            <w:r>
              <w:rPr>
                <w:w w:val="115"/>
                <w:sz w:val="12"/>
              </w:rPr>
              <w:t>suture type</w:t>
            </w:r>
          </w:p>
        </w:tc>
        <w:tc>
          <w:tcPr>
            <w:tcW w:w="1168" w:type="dxa"/>
            <w:tcBorders>
              <w:top w:val="single" w:sz="6" w:space="0" w:color="000000"/>
              <w:bottom w:val="single" w:sz="6" w:space="0" w:color="000000"/>
            </w:tcBorders>
          </w:tcPr>
          <w:p>
            <w:pPr>
              <w:pStyle w:val="TableParagraph"/>
              <w:spacing w:before="56"/>
              <w:ind w:left="169"/>
              <w:rPr>
                <w:sz w:val="12"/>
              </w:rPr>
            </w:pPr>
            <w:r>
              <w:rPr>
                <w:w w:val="110"/>
                <w:sz w:val="12"/>
              </w:rPr>
              <w:t>Skin</w:t>
            </w:r>
          </w:p>
        </w:tc>
        <w:tc>
          <w:tcPr>
            <w:tcW w:w="843" w:type="dxa"/>
            <w:tcBorders>
              <w:top w:val="single" w:sz="6" w:space="0" w:color="000000"/>
              <w:bottom w:val="single" w:sz="6" w:space="0" w:color="000000"/>
            </w:tcBorders>
          </w:tcPr>
          <w:p>
            <w:pPr>
              <w:pStyle w:val="TableParagraph"/>
              <w:spacing w:line="276" w:lineRule="auto" w:before="56"/>
              <w:ind w:left="140" w:right="40" w:hanging="1"/>
              <w:rPr>
                <w:sz w:val="12"/>
              </w:rPr>
            </w:pPr>
            <w:r>
              <w:rPr>
                <w:w w:val="110"/>
                <w:sz w:val="12"/>
              </w:rPr>
              <w:t>Number of arms</w:t>
            </w:r>
          </w:p>
        </w:tc>
        <w:tc>
          <w:tcPr>
            <w:tcW w:w="608" w:type="dxa"/>
            <w:tcBorders>
              <w:top w:val="single" w:sz="6" w:space="0" w:color="000000"/>
              <w:bottom w:val="single" w:sz="6" w:space="0" w:color="000000"/>
            </w:tcBorders>
          </w:tcPr>
          <w:p>
            <w:pPr>
              <w:pStyle w:val="TableParagraph"/>
              <w:spacing w:line="276" w:lineRule="auto" w:before="56"/>
              <w:ind w:left="45" w:right="123"/>
              <w:rPr>
                <w:sz w:val="12"/>
              </w:rPr>
            </w:pPr>
            <w:r>
              <w:rPr>
                <w:w w:val="105"/>
                <w:sz w:val="12"/>
              </w:rPr>
              <w:t>Overall </w:t>
            </w:r>
            <w:r>
              <w:rPr>
                <w:w w:val="110"/>
                <w:sz w:val="12"/>
              </w:rPr>
              <w:t>sample</w:t>
            </w:r>
          </w:p>
        </w:tc>
        <w:tc>
          <w:tcPr>
            <w:tcW w:w="2816" w:type="dxa"/>
            <w:gridSpan w:val="3"/>
            <w:tcBorders>
              <w:top w:val="single" w:sz="6" w:space="0" w:color="000000"/>
              <w:bottom w:val="single" w:sz="6" w:space="0" w:color="000000"/>
            </w:tcBorders>
          </w:tcPr>
          <w:p>
            <w:pPr>
              <w:pStyle w:val="TableParagraph"/>
              <w:tabs>
                <w:tab w:pos="785" w:val="left" w:leader="none"/>
              </w:tabs>
              <w:spacing w:before="56"/>
              <w:ind w:right="322"/>
              <w:jc w:val="right"/>
              <w:rPr>
                <w:sz w:val="12"/>
              </w:rPr>
            </w:pPr>
            <w:r>
              <w:rPr>
                <w:w w:val="110"/>
                <w:sz w:val="12"/>
              </w:rPr>
              <w:t>Deep</w:t>
            </w:r>
            <w:r>
              <w:rPr>
                <w:spacing w:val="3"/>
                <w:w w:val="110"/>
                <w:sz w:val="12"/>
              </w:rPr>
              <w:t> </w:t>
            </w:r>
            <w:r>
              <w:rPr>
                <w:w w:val="110"/>
                <w:sz w:val="12"/>
              </w:rPr>
              <w:t>SSI</w:t>
            </w:r>
            <w:hyperlink w:history="true" w:anchor="_bookmark11">
              <w:r>
                <w:rPr>
                  <w:color w:val="007FAC"/>
                  <w:w w:val="110"/>
                  <w:sz w:val="12"/>
                  <w:vertAlign w:val="superscript"/>
                </w:rPr>
                <w:t>a</w:t>
              </w:r>
            </w:hyperlink>
            <w:r>
              <w:rPr>
                <w:color w:val="007FAC"/>
                <w:w w:val="110"/>
                <w:sz w:val="12"/>
                <w:vertAlign w:val="baseline"/>
              </w:rPr>
              <w:tab/>
            </w:r>
            <w:r>
              <w:rPr>
                <w:w w:val="110"/>
                <w:sz w:val="12"/>
                <w:vertAlign w:val="baseline"/>
              </w:rPr>
              <w:t>Super</w:t>
            </w:r>
            <w:r>
              <w:rPr>
                <w:rFonts w:ascii="Times New Roman" w:hAnsi="Times New Roman"/>
                <w:w w:val="110"/>
                <w:sz w:val="12"/>
                <w:vertAlign w:val="baseline"/>
              </w:rPr>
              <w:t>ﬁ</w:t>
            </w:r>
            <w:r>
              <w:rPr>
                <w:w w:val="110"/>
                <w:sz w:val="12"/>
                <w:vertAlign w:val="baseline"/>
              </w:rPr>
              <w:t>cial  SSI</w:t>
            </w:r>
            <w:hyperlink w:history="true" w:anchor="_bookmark11">
              <w:r>
                <w:rPr>
                  <w:color w:val="007FAC"/>
                  <w:w w:val="110"/>
                  <w:sz w:val="12"/>
                  <w:vertAlign w:val="superscript"/>
                </w:rPr>
                <w:t>a</w:t>
              </w:r>
            </w:hyperlink>
            <w:r>
              <w:rPr>
                <w:color w:val="007FAC"/>
                <w:spacing w:val="15"/>
                <w:w w:val="110"/>
                <w:sz w:val="12"/>
                <w:vertAlign w:val="baseline"/>
              </w:rPr>
              <w:t> </w:t>
            </w:r>
            <w:r>
              <w:rPr>
                <w:w w:val="110"/>
                <w:sz w:val="12"/>
                <w:vertAlign w:val="baseline"/>
              </w:rPr>
              <w:t>Prolonged</w:t>
            </w:r>
          </w:p>
          <w:p>
            <w:pPr>
              <w:pStyle w:val="TableParagraph"/>
              <w:spacing w:before="22"/>
              <w:ind w:right="360"/>
              <w:jc w:val="right"/>
              <w:rPr>
                <w:sz w:val="12"/>
              </w:rPr>
            </w:pPr>
            <w:r>
              <w:rPr>
                <w:w w:val="110"/>
                <w:sz w:val="12"/>
              </w:rPr>
              <w:t>drainage</w:t>
            </w:r>
            <w:hyperlink w:history="true" w:anchor="_bookmark11">
              <w:r>
                <w:rPr>
                  <w:color w:val="007FAC"/>
                  <w:w w:val="110"/>
                  <w:sz w:val="12"/>
                  <w:vertAlign w:val="superscript"/>
                </w:rPr>
                <w:t>a</w:t>
              </w:r>
            </w:hyperlink>
          </w:p>
        </w:tc>
        <w:tc>
          <w:tcPr>
            <w:tcW w:w="1057" w:type="dxa"/>
            <w:tcBorders>
              <w:top w:val="single" w:sz="6" w:space="0" w:color="000000"/>
              <w:bottom w:val="single" w:sz="6" w:space="0" w:color="000000"/>
            </w:tcBorders>
          </w:tcPr>
          <w:p>
            <w:pPr>
              <w:pStyle w:val="TableParagraph"/>
              <w:spacing w:line="276" w:lineRule="auto" w:before="56"/>
              <w:ind w:left="24" w:right="303"/>
              <w:rPr>
                <w:sz w:val="12"/>
              </w:rPr>
            </w:pPr>
            <w:r>
              <w:rPr>
                <w:w w:val="115"/>
                <w:sz w:val="12"/>
              </w:rPr>
              <w:t>Wound dehiscence</w:t>
            </w:r>
            <w:hyperlink w:history="true" w:anchor="_bookmark11">
              <w:r>
                <w:rPr>
                  <w:color w:val="007FAC"/>
                  <w:w w:val="115"/>
                  <w:sz w:val="12"/>
                  <w:vertAlign w:val="superscript"/>
                </w:rPr>
                <w:t>a</w:t>
              </w:r>
            </w:hyperlink>
          </w:p>
        </w:tc>
      </w:tr>
      <w:tr>
        <w:trPr>
          <w:trHeight w:val="202" w:hRule="atLeast"/>
        </w:trPr>
        <w:tc>
          <w:tcPr>
            <w:tcW w:w="978" w:type="dxa"/>
            <w:tcBorders>
              <w:top w:val="single" w:sz="6" w:space="0" w:color="000000"/>
            </w:tcBorders>
          </w:tcPr>
          <w:p>
            <w:pPr>
              <w:pStyle w:val="TableParagraph"/>
              <w:spacing w:line="127" w:lineRule="exact" w:before="56"/>
              <w:ind w:left="119"/>
              <w:rPr>
                <w:sz w:val="12"/>
              </w:rPr>
            </w:pPr>
            <w:r>
              <w:rPr>
                <w:w w:val="110"/>
                <w:sz w:val="12"/>
              </w:rPr>
              <w:t>Category One</w:t>
            </w:r>
          </w:p>
        </w:tc>
        <w:tc>
          <w:tcPr>
            <w:tcW w:w="797" w:type="dxa"/>
            <w:tcBorders>
              <w:top w:val="single" w:sz="6" w:space="0" w:color="000000"/>
            </w:tcBorders>
          </w:tcPr>
          <w:p>
            <w:pPr>
              <w:pStyle w:val="TableParagraph"/>
              <w:rPr>
                <w:rFonts w:ascii="Times New Roman"/>
                <w:sz w:val="14"/>
              </w:rPr>
            </w:pPr>
          </w:p>
        </w:tc>
        <w:tc>
          <w:tcPr>
            <w:tcW w:w="1060" w:type="dxa"/>
            <w:tcBorders>
              <w:top w:val="single" w:sz="6" w:space="0" w:color="000000"/>
            </w:tcBorders>
          </w:tcPr>
          <w:p>
            <w:pPr>
              <w:pStyle w:val="TableParagraph"/>
              <w:rPr>
                <w:rFonts w:ascii="Times New Roman"/>
                <w:sz w:val="14"/>
              </w:rPr>
            </w:pPr>
          </w:p>
        </w:tc>
        <w:tc>
          <w:tcPr>
            <w:tcW w:w="1079" w:type="dxa"/>
            <w:tcBorders>
              <w:top w:val="single" w:sz="6" w:space="0" w:color="000000"/>
            </w:tcBorders>
          </w:tcPr>
          <w:p>
            <w:pPr>
              <w:pStyle w:val="TableParagraph"/>
              <w:rPr>
                <w:rFonts w:ascii="Times New Roman"/>
                <w:sz w:val="14"/>
              </w:rPr>
            </w:pPr>
          </w:p>
        </w:tc>
        <w:tc>
          <w:tcPr>
            <w:tcW w:w="1168" w:type="dxa"/>
            <w:tcBorders>
              <w:top w:val="single" w:sz="6" w:space="0" w:color="000000"/>
            </w:tcBorders>
          </w:tcPr>
          <w:p>
            <w:pPr>
              <w:pStyle w:val="TableParagraph"/>
              <w:rPr>
                <w:rFonts w:ascii="Times New Roman"/>
                <w:sz w:val="14"/>
              </w:rPr>
            </w:pPr>
          </w:p>
        </w:tc>
        <w:tc>
          <w:tcPr>
            <w:tcW w:w="843" w:type="dxa"/>
            <w:tcBorders>
              <w:top w:val="single" w:sz="6" w:space="0" w:color="000000"/>
            </w:tcBorders>
          </w:tcPr>
          <w:p>
            <w:pPr>
              <w:pStyle w:val="TableParagraph"/>
              <w:rPr>
                <w:rFonts w:ascii="Times New Roman"/>
                <w:sz w:val="14"/>
              </w:rPr>
            </w:pPr>
          </w:p>
        </w:tc>
        <w:tc>
          <w:tcPr>
            <w:tcW w:w="608" w:type="dxa"/>
            <w:tcBorders>
              <w:top w:val="single" w:sz="6" w:space="0" w:color="000000"/>
            </w:tcBorders>
          </w:tcPr>
          <w:p>
            <w:pPr>
              <w:pStyle w:val="TableParagraph"/>
              <w:rPr>
                <w:rFonts w:ascii="Times New Roman"/>
                <w:sz w:val="14"/>
              </w:rPr>
            </w:pPr>
          </w:p>
        </w:tc>
        <w:tc>
          <w:tcPr>
            <w:tcW w:w="2816" w:type="dxa"/>
            <w:gridSpan w:val="3"/>
            <w:tcBorders>
              <w:top w:val="single" w:sz="6" w:space="0" w:color="000000"/>
            </w:tcBorders>
          </w:tcPr>
          <w:p>
            <w:pPr>
              <w:pStyle w:val="TableParagraph"/>
              <w:rPr>
                <w:rFonts w:ascii="Times New Roman"/>
                <w:sz w:val="14"/>
              </w:rPr>
            </w:pPr>
          </w:p>
        </w:tc>
        <w:tc>
          <w:tcPr>
            <w:tcW w:w="1057" w:type="dxa"/>
            <w:tcBorders>
              <w:top w:val="single" w:sz="6" w:space="0" w:color="000000"/>
            </w:tcBorders>
          </w:tcPr>
          <w:p>
            <w:pPr>
              <w:pStyle w:val="TableParagraph"/>
              <w:rPr>
                <w:rFonts w:ascii="Times New Roman"/>
                <w:sz w:val="14"/>
              </w:rPr>
            </w:pPr>
          </w:p>
        </w:tc>
      </w:tr>
      <w:tr>
        <w:trPr>
          <w:trHeight w:val="178" w:hRule="atLeast"/>
        </w:trPr>
        <w:tc>
          <w:tcPr>
            <w:tcW w:w="1775" w:type="dxa"/>
            <w:gridSpan w:val="2"/>
          </w:tcPr>
          <w:p>
            <w:pPr>
              <w:pStyle w:val="TableParagraph"/>
              <w:tabs>
                <w:tab w:pos="1018" w:val="left" w:leader="none"/>
              </w:tabs>
              <w:spacing w:line="134" w:lineRule="exact" w:before="9"/>
              <w:ind w:left="247"/>
              <w:rPr>
                <w:sz w:val="12"/>
              </w:rPr>
            </w:pPr>
            <w:r>
              <w:rPr>
                <w:w w:val="120"/>
                <w:sz w:val="12"/>
              </w:rPr>
              <w:t>1</w:t>
              <w:tab/>
              <w:t>Traditional</w:t>
            </w:r>
          </w:p>
        </w:tc>
        <w:tc>
          <w:tcPr>
            <w:tcW w:w="1060" w:type="dxa"/>
          </w:tcPr>
          <w:p>
            <w:pPr>
              <w:pStyle w:val="TableParagraph"/>
              <w:spacing w:line="134" w:lineRule="exact" w:before="9"/>
              <w:ind w:left="62"/>
              <w:rPr>
                <w:sz w:val="12"/>
              </w:rPr>
            </w:pPr>
            <w:r>
              <w:rPr>
                <w:w w:val="110"/>
                <w:sz w:val="12"/>
              </w:rPr>
              <w:t>Traditional</w:t>
            </w:r>
          </w:p>
        </w:tc>
        <w:tc>
          <w:tcPr>
            <w:tcW w:w="1079" w:type="dxa"/>
          </w:tcPr>
          <w:p>
            <w:pPr>
              <w:pStyle w:val="TableParagraph"/>
              <w:rPr>
                <w:rFonts w:ascii="Times New Roman"/>
                <w:sz w:val="10"/>
              </w:rPr>
            </w:pPr>
          </w:p>
        </w:tc>
        <w:tc>
          <w:tcPr>
            <w:tcW w:w="1168" w:type="dxa"/>
          </w:tcPr>
          <w:p>
            <w:pPr>
              <w:pStyle w:val="TableParagraph"/>
              <w:spacing w:line="134" w:lineRule="exact" w:before="9"/>
              <w:ind w:left="168"/>
              <w:rPr>
                <w:sz w:val="12"/>
              </w:rPr>
            </w:pPr>
            <w:r>
              <w:rPr>
                <w:w w:val="115"/>
                <w:sz w:val="12"/>
              </w:rPr>
              <w:t>Staples</w:t>
            </w:r>
          </w:p>
        </w:tc>
        <w:tc>
          <w:tcPr>
            <w:tcW w:w="843" w:type="dxa"/>
          </w:tcPr>
          <w:p>
            <w:pPr>
              <w:pStyle w:val="TableParagraph"/>
              <w:spacing w:line="134" w:lineRule="exact" w:before="9"/>
              <w:ind w:left="140"/>
              <w:rPr>
                <w:sz w:val="12"/>
              </w:rPr>
            </w:pPr>
            <w:r>
              <w:rPr>
                <w:w w:val="125"/>
                <w:sz w:val="12"/>
              </w:rPr>
              <w:t>23</w:t>
            </w:r>
          </w:p>
        </w:tc>
        <w:tc>
          <w:tcPr>
            <w:tcW w:w="608" w:type="dxa"/>
          </w:tcPr>
          <w:p>
            <w:pPr>
              <w:pStyle w:val="TableParagraph"/>
              <w:spacing w:line="134" w:lineRule="exact" w:before="9"/>
              <w:ind w:left="118" w:right="149"/>
              <w:jc w:val="center"/>
              <w:rPr>
                <w:sz w:val="12"/>
              </w:rPr>
            </w:pPr>
            <w:r>
              <w:rPr>
                <w:w w:val="125"/>
                <w:sz w:val="12"/>
              </w:rPr>
              <w:t>2058</w:t>
            </w:r>
          </w:p>
        </w:tc>
        <w:tc>
          <w:tcPr>
            <w:tcW w:w="898" w:type="dxa"/>
          </w:tcPr>
          <w:p>
            <w:pPr>
              <w:pStyle w:val="TableParagraph"/>
              <w:spacing w:line="134" w:lineRule="exact" w:before="9"/>
              <w:ind w:left="124"/>
              <w:rPr>
                <w:sz w:val="12"/>
              </w:rPr>
            </w:pPr>
            <w:r>
              <w:rPr>
                <w:w w:val="110"/>
                <w:sz w:val="12"/>
              </w:rPr>
              <w:t>0.0% to 2.0%</w:t>
            </w:r>
          </w:p>
        </w:tc>
        <w:tc>
          <w:tcPr>
            <w:tcW w:w="965" w:type="dxa"/>
          </w:tcPr>
          <w:p>
            <w:pPr>
              <w:pStyle w:val="TableParagraph"/>
              <w:spacing w:line="134" w:lineRule="exact" w:before="9"/>
              <w:ind w:left="114"/>
              <w:rPr>
                <w:sz w:val="12"/>
              </w:rPr>
            </w:pPr>
            <w:r>
              <w:rPr>
                <w:w w:val="110"/>
                <w:sz w:val="12"/>
              </w:rPr>
              <w:t>0.0% to 14.8%</w:t>
            </w:r>
          </w:p>
        </w:tc>
        <w:tc>
          <w:tcPr>
            <w:tcW w:w="2010" w:type="dxa"/>
            <w:gridSpan w:val="2"/>
          </w:tcPr>
          <w:p>
            <w:pPr>
              <w:pStyle w:val="TableParagraph"/>
              <w:spacing w:line="134" w:lineRule="exact" w:before="9"/>
              <w:ind w:left="114"/>
              <w:rPr>
                <w:sz w:val="12"/>
              </w:rPr>
            </w:pPr>
            <w:r>
              <w:rPr>
                <w:w w:val="110"/>
                <w:sz w:val="12"/>
              </w:rPr>
              <w:t>0.0% to 22.2% 0.0% to 6.7%</w:t>
            </w:r>
          </w:p>
        </w:tc>
      </w:tr>
      <w:tr>
        <w:trPr>
          <w:trHeight w:val="171" w:hRule="atLeast"/>
        </w:trPr>
        <w:tc>
          <w:tcPr>
            <w:tcW w:w="1775" w:type="dxa"/>
            <w:gridSpan w:val="2"/>
          </w:tcPr>
          <w:p>
            <w:pPr>
              <w:pStyle w:val="TableParagraph"/>
              <w:tabs>
                <w:tab w:pos="1018" w:val="left" w:leader="none"/>
              </w:tabs>
              <w:spacing w:line="134" w:lineRule="exact" w:before="17"/>
              <w:ind w:left="247"/>
              <w:rPr>
                <w:sz w:val="12"/>
              </w:rPr>
            </w:pPr>
            <w:r>
              <w:rPr>
                <w:w w:val="120"/>
                <w:sz w:val="12"/>
              </w:rPr>
              <w:t>2</w:t>
              <w:tab/>
              <w:t>Traditional</w:t>
            </w:r>
          </w:p>
        </w:tc>
        <w:tc>
          <w:tcPr>
            <w:tcW w:w="1060" w:type="dxa"/>
          </w:tcPr>
          <w:p>
            <w:pPr>
              <w:pStyle w:val="TableParagraph"/>
              <w:spacing w:line="134" w:lineRule="exact" w:before="17"/>
              <w:ind w:left="62"/>
              <w:rPr>
                <w:sz w:val="12"/>
              </w:rPr>
            </w:pPr>
            <w:r>
              <w:rPr>
                <w:w w:val="110"/>
                <w:sz w:val="12"/>
              </w:rPr>
              <w:t>Traditional</w:t>
            </w:r>
          </w:p>
        </w:tc>
        <w:tc>
          <w:tcPr>
            <w:tcW w:w="1079" w:type="dxa"/>
          </w:tcPr>
          <w:p>
            <w:pPr>
              <w:pStyle w:val="TableParagraph"/>
              <w:spacing w:line="134" w:lineRule="exact" w:before="17"/>
              <w:ind w:left="156"/>
              <w:rPr>
                <w:sz w:val="12"/>
              </w:rPr>
            </w:pPr>
            <w:r>
              <w:rPr>
                <w:w w:val="110"/>
                <w:sz w:val="12"/>
              </w:rPr>
              <w:t>Traditional</w:t>
            </w:r>
          </w:p>
        </w:tc>
        <w:tc>
          <w:tcPr>
            <w:tcW w:w="1168" w:type="dxa"/>
          </w:tcPr>
          <w:p>
            <w:pPr>
              <w:pStyle w:val="TableParagraph"/>
              <w:spacing w:line="134" w:lineRule="exact" w:before="17"/>
              <w:ind w:left="168"/>
              <w:rPr>
                <w:sz w:val="12"/>
              </w:rPr>
            </w:pPr>
            <w:r>
              <w:rPr>
                <w:w w:val="115"/>
                <w:sz w:val="12"/>
              </w:rPr>
              <w:t>Staples</w:t>
            </w:r>
          </w:p>
        </w:tc>
        <w:tc>
          <w:tcPr>
            <w:tcW w:w="843" w:type="dxa"/>
          </w:tcPr>
          <w:p>
            <w:pPr>
              <w:pStyle w:val="TableParagraph"/>
              <w:spacing w:line="134" w:lineRule="exact" w:before="17"/>
              <w:ind w:left="216"/>
              <w:rPr>
                <w:sz w:val="12"/>
              </w:rPr>
            </w:pPr>
            <w:r>
              <w:rPr>
                <w:w w:val="126"/>
                <w:sz w:val="12"/>
              </w:rPr>
              <w:t>3</w:t>
            </w:r>
          </w:p>
        </w:tc>
        <w:tc>
          <w:tcPr>
            <w:tcW w:w="608" w:type="dxa"/>
          </w:tcPr>
          <w:p>
            <w:pPr>
              <w:pStyle w:val="TableParagraph"/>
              <w:spacing w:line="134" w:lineRule="exact" w:before="17"/>
              <w:ind w:left="118" w:right="76"/>
              <w:jc w:val="center"/>
              <w:rPr>
                <w:sz w:val="12"/>
              </w:rPr>
            </w:pPr>
            <w:r>
              <w:rPr>
                <w:w w:val="125"/>
                <w:sz w:val="12"/>
              </w:rPr>
              <w:t>195</w:t>
            </w:r>
          </w:p>
        </w:tc>
        <w:tc>
          <w:tcPr>
            <w:tcW w:w="898" w:type="dxa"/>
          </w:tcPr>
          <w:p>
            <w:pPr>
              <w:pStyle w:val="TableParagraph"/>
              <w:spacing w:line="134" w:lineRule="exact" w:before="17"/>
              <w:ind w:left="124"/>
              <w:rPr>
                <w:sz w:val="12"/>
              </w:rPr>
            </w:pPr>
            <w:r>
              <w:rPr>
                <w:w w:val="105"/>
                <w:sz w:val="12"/>
              </w:rPr>
              <w:t>0.0%</w:t>
            </w:r>
          </w:p>
        </w:tc>
        <w:tc>
          <w:tcPr>
            <w:tcW w:w="965" w:type="dxa"/>
          </w:tcPr>
          <w:p>
            <w:pPr>
              <w:pStyle w:val="TableParagraph"/>
              <w:spacing w:line="134" w:lineRule="exact" w:before="17"/>
              <w:ind w:left="114"/>
              <w:rPr>
                <w:sz w:val="12"/>
              </w:rPr>
            </w:pPr>
            <w:r>
              <w:rPr>
                <w:w w:val="110"/>
                <w:sz w:val="12"/>
              </w:rPr>
              <w:t>0.0% to 3.9%</w:t>
            </w:r>
          </w:p>
        </w:tc>
        <w:tc>
          <w:tcPr>
            <w:tcW w:w="2010" w:type="dxa"/>
            <w:gridSpan w:val="2"/>
          </w:tcPr>
          <w:p>
            <w:pPr>
              <w:pStyle w:val="TableParagraph"/>
              <w:tabs>
                <w:tab w:pos="1079" w:val="left" w:leader="none"/>
              </w:tabs>
              <w:spacing w:line="134" w:lineRule="exact" w:before="17"/>
              <w:ind w:left="38"/>
              <w:rPr>
                <w:sz w:val="12"/>
              </w:rPr>
            </w:pPr>
            <w:r>
              <w:rPr>
                <w:w w:val="110"/>
                <w:sz w:val="12"/>
              </w:rPr>
              <w:t>51.3%</w:t>
              <w:tab/>
              <w:t>0.0%</w:t>
            </w:r>
          </w:p>
        </w:tc>
      </w:tr>
      <w:tr>
        <w:trPr>
          <w:trHeight w:val="342" w:hRule="atLeast"/>
        </w:trPr>
        <w:tc>
          <w:tcPr>
            <w:tcW w:w="1775" w:type="dxa"/>
            <w:gridSpan w:val="2"/>
          </w:tcPr>
          <w:p>
            <w:pPr>
              <w:pStyle w:val="TableParagraph"/>
              <w:tabs>
                <w:tab w:pos="1018" w:val="left" w:leader="none"/>
              </w:tabs>
              <w:spacing w:before="17"/>
              <w:ind w:left="247"/>
              <w:rPr>
                <w:sz w:val="12"/>
              </w:rPr>
            </w:pPr>
            <w:r>
              <w:rPr>
                <w:w w:val="120"/>
                <w:sz w:val="12"/>
              </w:rPr>
              <w:t>3</w:t>
              <w:tab/>
              <w:t>Traditional</w:t>
            </w:r>
          </w:p>
        </w:tc>
        <w:tc>
          <w:tcPr>
            <w:tcW w:w="1060" w:type="dxa"/>
          </w:tcPr>
          <w:p>
            <w:pPr>
              <w:pStyle w:val="TableParagraph"/>
              <w:spacing w:before="17"/>
              <w:ind w:left="62"/>
              <w:rPr>
                <w:sz w:val="12"/>
              </w:rPr>
            </w:pPr>
            <w:r>
              <w:rPr>
                <w:w w:val="110"/>
                <w:sz w:val="12"/>
              </w:rPr>
              <w:t>Traditional</w:t>
            </w:r>
          </w:p>
        </w:tc>
        <w:tc>
          <w:tcPr>
            <w:tcW w:w="1079" w:type="dxa"/>
          </w:tcPr>
          <w:p>
            <w:pPr>
              <w:pStyle w:val="TableParagraph"/>
              <w:spacing w:before="17"/>
              <w:ind w:left="156"/>
              <w:rPr>
                <w:sz w:val="12"/>
              </w:rPr>
            </w:pPr>
            <w:r>
              <w:rPr>
                <w:w w:val="110"/>
                <w:sz w:val="12"/>
              </w:rPr>
              <w:t>Traditional</w:t>
            </w:r>
          </w:p>
        </w:tc>
        <w:tc>
          <w:tcPr>
            <w:tcW w:w="1168" w:type="dxa"/>
          </w:tcPr>
          <w:p>
            <w:pPr>
              <w:pStyle w:val="TableParagraph"/>
              <w:spacing w:before="17"/>
              <w:ind w:left="168"/>
              <w:rPr>
                <w:sz w:val="12"/>
              </w:rPr>
            </w:pPr>
            <w:r>
              <w:rPr>
                <w:w w:val="110"/>
                <w:sz w:val="12"/>
              </w:rPr>
              <w:t>Traditional</w:t>
            </w:r>
          </w:p>
          <w:p>
            <w:pPr>
              <w:pStyle w:val="TableParagraph"/>
              <w:spacing w:line="136" w:lineRule="exact" w:before="21"/>
              <w:ind w:left="169"/>
              <w:rPr>
                <w:sz w:val="12"/>
              </w:rPr>
            </w:pPr>
            <w:r>
              <w:rPr>
                <w:w w:val="110"/>
                <w:sz w:val="12"/>
              </w:rPr>
              <w:t>sutures </w:t>
            </w:r>
            <w:r>
              <w:rPr>
                <w:rFonts w:ascii="Lucida Sans"/>
                <w:w w:val="110"/>
                <w:sz w:val="12"/>
              </w:rPr>
              <w:t>&amp; </w:t>
            </w:r>
            <w:r>
              <w:rPr>
                <w:w w:val="110"/>
                <w:sz w:val="12"/>
              </w:rPr>
              <w:t>TSA</w:t>
            </w:r>
          </w:p>
        </w:tc>
        <w:tc>
          <w:tcPr>
            <w:tcW w:w="843" w:type="dxa"/>
          </w:tcPr>
          <w:p>
            <w:pPr>
              <w:pStyle w:val="TableParagraph"/>
              <w:spacing w:before="17"/>
              <w:ind w:left="216"/>
              <w:rPr>
                <w:sz w:val="12"/>
              </w:rPr>
            </w:pPr>
            <w:r>
              <w:rPr>
                <w:w w:val="126"/>
                <w:sz w:val="12"/>
              </w:rPr>
              <w:t>9</w:t>
            </w:r>
          </w:p>
        </w:tc>
        <w:tc>
          <w:tcPr>
            <w:tcW w:w="608" w:type="dxa"/>
          </w:tcPr>
          <w:p>
            <w:pPr>
              <w:pStyle w:val="TableParagraph"/>
              <w:spacing w:before="17"/>
              <w:ind w:left="118" w:right="76"/>
              <w:jc w:val="center"/>
              <w:rPr>
                <w:sz w:val="12"/>
              </w:rPr>
            </w:pPr>
            <w:r>
              <w:rPr>
                <w:w w:val="125"/>
                <w:sz w:val="12"/>
              </w:rPr>
              <w:t>650</w:t>
            </w:r>
          </w:p>
        </w:tc>
        <w:tc>
          <w:tcPr>
            <w:tcW w:w="898" w:type="dxa"/>
          </w:tcPr>
          <w:p>
            <w:pPr>
              <w:pStyle w:val="TableParagraph"/>
              <w:spacing w:before="17"/>
              <w:ind w:left="124"/>
              <w:rPr>
                <w:sz w:val="12"/>
              </w:rPr>
            </w:pPr>
            <w:r>
              <w:rPr>
                <w:w w:val="110"/>
                <w:sz w:val="12"/>
              </w:rPr>
              <w:t>0.0% to 3.9%</w:t>
            </w:r>
          </w:p>
        </w:tc>
        <w:tc>
          <w:tcPr>
            <w:tcW w:w="965" w:type="dxa"/>
          </w:tcPr>
          <w:p>
            <w:pPr>
              <w:pStyle w:val="TableParagraph"/>
              <w:spacing w:before="17"/>
              <w:ind w:left="114"/>
              <w:rPr>
                <w:sz w:val="12"/>
              </w:rPr>
            </w:pPr>
            <w:r>
              <w:rPr>
                <w:w w:val="110"/>
                <w:sz w:val="12"/>
              </w:rPr>
              <w:t>0.0% to 12.1%</w:t>
            </w:r>
          </w:p>
        </w:tc>
        <w:tc>
          <w:tcPr>
            <w:tcW w:w="2010" w:type="dxa"/>
            <w:gridSpan w:val="2"/>
          </w:tcPr>
          <w:p>
            <w:pPr>
              <w:pStyle w:val="TableParagraph"/>
              <w:spacing w:before="17"/>
              <w:ind w:left="114"/>
              <w:rPr>
                <w:sz w:val="12"/>
              </w:rPr>
            </w:pPr>
            <w:r>
              <w:rPr>
                <w:w w:val="110"/>
                <w:sz w:val="12"/>
              </w:rPr>
              <w:t>0.9% to 39.5% 0.0% to 3.4%</w:t>
            </w:r>
          </w:p>
        </w:tc>
      </w:tr>
      <w:tr>
        <w:trPr>
          <w:trHeight w:val="506" w:hRule="atLeast"/>
        </w:trPr>
        <w:tc>
          <w:tcPr>
            <w:tcW w:w="1775" w:type="dxa"/>
            <w:gridSpan w:val="2"/>
          </w:tcPr>
          <w:p>
            <w:pPr>
              <w:pStyle w:val="TableParagraph"/>
              <w:numPr>
                <w:ilvl w:val="0"/>
                <w:numId w:val="2"/>
              </w:numPr>
              <w:tabs>
                <w:tab w:pos="1018" w:val="left" w:leader="none"/>
                <w:tab w:pos="1019" w:val="left" w:leader="none"/>
              </w:tabs>
              <w:spacing w:line="240" w:lineRule="auto" w:before="17" w:after="0"/>
              <w:ind w:left="1018" w:right="0" w:hanging="772"/>
              <w:jc w:val="left"/>
              <w:rPr>
                <w:sz w:val="12"/>
              </w:rPr>
            </w:pPr>
            <w:r>
              <w:rPr>
                <w:w w:val="110"/>
                <w:sz w:val="12"/>
              </w:rPr>
              <w:t>Traditional</w:t>
            </w:r>
          </w:p>
          <w:p>
            <w:pPr>
              <w:pStyle w:val="TableParagraph"/>
              <w:spacing w:before="7"/>
              <w:rPr>
                <w:sz w:val="15"/>
              </w:rPr>
            </w:pPr>
          </w:p>
          <w:p>
            <w:pPr>
              <w:pStyle w:val="TableParagraph"/>
              <w:numPr>
                <w:ilvl w:val="0"/>
                <w:numId w:val="2"/>
              </w:numPr>
              <w:tabs>
                <w:tab w:pos="1018" w:val="left" w:leader="none"/>
                <w:tab w:pos="1019" w:val="left" w:leader="none"/>
              </w:tabs>
              <w:spacing w:line="127" w:lineRule="exact" w:before="0" w:after="0"/>
              <w:ind w:left="1018" w:right="0" w:hanging="772"/>
              <w:jc w:val="left"/>
              <w:rPr>
                <w:sz w:val="12"/>
              </w:rPr>
            </w:pPr>
            <w:r>
              <w:rPr>
                <w:w w:val="110"/>
                <w:sz w:val="12"/>
              </w:rPr>
              <w:t>Traditional</w:t>
            </w:r>
          </w:p>
        </w:tc>
        <w:tc>
          <w:tcPr>
            <w:tcW w:w="1060" w:type="dxa"/>
          </w:tcPr>
          <w:p>
            <w:pPr>
              <w:pStyle w:val="TableParagraph"/>
              <w:spacing w:before="17"/>
              <w:ind w:left="62"/>
              <w:rPr>
                <w:sz w:val="12"/>
              </w:rPr>
            </w:pPr>
            <w:r>
              <w:rPr>
                <w:w w:val="110"/>
                <w:sz w:val="12"/>
              </w:rPr>
              <w:t>Traditional</w:t>
            </w:r>
          </w:p>
          <w:p>
            <w:pPr>
              <w:pStyle w:val="TableParagraph"/>
              <w:spacing w:before="7"/>
              <w:rPr>
                <w:sz w:val="15"/>
              </w:rPr>
            </w:pPr>
          </w:p>
          <w:p>
            <w:pPr>
              <w:pStyle w:val="TableParagraph"/>
              <w:spacing w:line="127" w:lineRule="exact"/>
              <w:ind w:left="62"/>
              <w:rPr>
                <w:sz w:val="12"/>
              </w:rPr>
            </w:pPr>
            <w:r>
              <w:rPr>
                <w:w w:val="110"/>
                <w:sz w:val="12"/>
              </w:rPr>
              <w:t>Traditional</w:t>
            </w:r>
          </w:p>
        </w:tc>
        <w:tc>
          <w:tcPr>
            <w:tcW w:w="1079" w:type="dxa"/>
          </w:tcPr>
          <w:p>
            <w:pPr>
              <w:pStyle w:val="TableParagraph"/>
              <w:spacing w:before="17"/>
              <w:ind w:left="156"/>
              <w:rPr>
                <w:sz w:val="12"/>
              </w:rPr>
            </w:pPr>
            <w:r>
              <w:rPr>
                <w:w w:val="110"/>
                <w:sz w:val="12"/>
              </w:rPr>
              <w:t>Traditional</w:t>
            </w:r>
          </w:p>
        </w:tc>
        <w:tc>
          <w:tcPr>
            <w:tcW w:w="1168" w:type="dxa"/>
          </w:tcPr>
          <w:p>
            <w:pPr>
              <w:pStyle w:val="TableParagraph"/>
              <w:spacing w:line="276" w:lineRule="auto" w:before="17"/>
              <w:ind w:left="169" w:right="327" w:hanging="1"/>
              <w:rPr>
                <w:sz w:val="12"/>
              </w:rPr>
            </w:pPr>
            <w:r>
              <w:rPr>
                <w:w w:val="110"/>
                <w:sz w:val="12"/>
              </w:rPr>
              <w:t>Traditional sutures</w:t>
            </w:r>
          </w:p>
          <w:p>
            <w:pPr>
              <w:pStyle w:val="TableParagraph"/>
              <w:spacing w:line="127" w:lineRule="exact"/>
              <w:ind w:left="168"/>
              <w:rPr>
                <w:sz w:val="12"/>
              </w:rPr>
            </w:pPr>
            <w:r>
              <w:rPr>
                <w:w w:val="110"/>
                <w:sz w:val="12"/>
              </w:rPr>
              <w:t>Staples </w:t>
            </w:r>
            <w:r>
              <w:rPr>
                <w:rFonts w:ascii="Lucida Sans"/>
                <w:w w:val="110"/>
                <w:sz w:val="12"/>
              </w:rPr>
              <w:t>&amp; </w:t>
            </w:r>
            <w:r>
              <w:rPr>
                <w:w w:val="110"/>
                <w:sz w:val="12"/>
              </w:rPr>
              <w:t>TSA</w:t>
            </w:r>
          </w:p>
        </w:tc>
        <w:tc>
          <w:tcPr>
            <w:tcW w:w="843" w:type="dxa"/>
          </w:tcPr>
          <w:p>
            <w:pPr>
              <w:pStyle w:val="TableParagraph"/>
              <w:spacing w:before="17"/>
              <w:ind w:left="140"/>
              <w:rPr>
                <w:sz w:val="12"/>
              </w:rPr>
            </w:pPr>
            <w:r>
              <w:rPr>
                <w:w w:val="125"/>
                <w:sz w:val="12"/>
              </w:rPr>
              <w:t>17</w:t>
            </w:r>
          </w:p>
          <w:p>
            <w:pPr>
              <w:pStyle w:val="TableParagraph"/>
              <w:spacing w:before="7"/>
              <w:rPr>
                <w:sz w:val="15"/>
              </w:rPr>
            </w:pPr>
          </w:p>
          <w:p>
            <w:pPr>
              <w:pStyle w:val="TableParagraph"/>
              <w:spacing w:line="127" w:lineRule="exact"/>
              <w:ind w:left="216"/>
              <w:rPr>
                <w:sz w:val="12"/>
              </w:rPr>
            </w:pPr>
            <w:r>
              <w:rPr>
                <w:w w:val="126"/>
                <w:sz w:val="12"/>
              </w:rPr>
              <w:t>1</w:t>
            </w:r>
          </w:p>
        </w:tc>
        <w:tc>
          <w:tcPr>
            <w:tcW w:w="608" w:type="dxa"/>
          </w:tcPr>
          <w:p>
            <w:pPr>
              <w:pStyle w:val="TableParagraph"/>
              <w:spacing w:before="17"/>
              <w:ind w:left="135"/>
              <w:rPr>
                <w:sz w:val="12"/>
              </w:rPr>
            </w:pPr>
            <w:r>
              <w:rPr>
                <w:w w:val="125"/>
                <w:sz w:val="12"/>
              </w:rPr>
              <w:t>3928</w:t>
            </w:r>
          </w:p>
          <w:p>
            <w:pPr>
              <w:pStyle w:val="TableParagraph"/>
              <w:spacing w:before="7"/>
              <w:rPr>
                <w:sz w:val="15"/>
              </w:rPr>
            </w:pPr>
          </w:p>
          <w:p>
            <w:pPr>
              <w:pStyle w:val="TableParagraph"/>
              <w:spacing w:line="127" w:lineRule="exact"/>
              <w:ind w:left="287"/>
              <w:rPr>
                <w:sz w:val="12"/>
              </w:rPr>
            </w:pPr>
            <w:r>
              <w:rPr>
                <w:w w:val="125"/>
                <w:sz w:val="12"/>
              </w:rPr>
              <w:t>29</w:t>
            </w:r>
          </w:p>
        </w:tc>
        <w:tc>
          <w:tcPr>
            <w:tcW w:w="898" w:type="dxa"/>
          </w:tcPr>
          <w:p>
            <w:pPr>
              <w:pStyle w:val="TableParagraph"/>
              <w:spacing w:before="17"/>
              <w:ind w:left="124"/>
              <w:rPr>
                <w:sz w:val="12"/>
              </w:rPr>
            </w:pPr>
            <w:r>
              <w:rPr>
                <w:w w:val="110"/>
                <w:sz w:val="12"/>
              </w:rPr>
              <w:t>0.0% to 2.0%</w:t>
            </w:r>
          </w:p>
          <w:p>
            <w:pPr>
              <w:pStyle w:val="TableParagraph"/>
              <w:spacing w:before="7"/>
              <w:rPr>
                <w:sz w:val="15"/>
              </w:rPr>
            </w:pPr>
          </w:p>
          <w:p>
            <w:pPr>
              <w:pStyle w:val="TableParagraph"/>
              <w:spacing w:line="127" w:lineRule="exact"/>
              <w:ind w:left="124"/>
              <w:rPr>
                <w:sz w:val="12"/>
              </w:rPr>
            </w:pPr>
            <w:r>
              <w:rPr>
                <w:w w:val="105"/>
                <w:sz w:val="12"/>
              </w:rPr>
              <w:t>0.0%</w:t>
            </w:r>
          </w:p>
        </w:tc>
        <w:tc>
          <w:tcPr>
            <w:tcW w:w="965" w:type="dxa"/>
          </w:tcPr>
          <w:p>
            <w:pPr>
              <w:pStyle w:val="TableParagraph"/>
              <w:spacing w:before="17"/>
              <w:ind w:left="114"/>
              <w:rPr>
                <w:sz w:val="12"/>
              </w:rPr>
            </w:pPr>
            <w:r>
              <w:rPr>
                <w:w w:val="110"/>
                <w:sz w:val="12"/>
              </w:rPr>
              <w:t>0.0% to 6.7%</w:t>
            </w:r>
          </w:p>
          <w:p>
            <w:pPr>
              <w:pStyle w:val="TableParagraph"/>
              <w:spacing w:before="7"/>
              <w:rPr>
                <w:sz w:val="15"/>
              </w:rPr>
            </w:pPr>
          </w:p>
          <w:p>
            <w:pPr>
              <w:pStyle w:val="TableParagraph"/>
              <w:spacing w:line="127" w:lineRule="exact"/>
              <w:ind w:left="38"/>
              <w:rPr>
                <w:sz w:val="12"/>
              </w:rPr>
            </w:pPr>
            <w:r>
              <w:rPr>
                <w:w w:val="110"/>
                <w:sz w:val="12"/>
              </w:rPr>
              <w:t>10.3%</w:t>
            </w:r>
          </w:p>
        </w:tc>
        <w:tc>
          <w:tcPr>
            <w:tcW w:w="2010" w:type="dxa"/>
            <w:gridSpan w:val="2"/>
          </w:tcPr>
          <w:p>
            <w:pPr>
              <w:pStyle w:val="TableParagraph"/>
              <w:spacing w:before="17"/>
              <w:ind w:left="114"/>
              <w:rPr>
                <w:sz w:val="12"/>
              </w:rPr>
            </w:pPr>
            <w:r>
              <w:rPr>
                <w:w w:val="110"/>
                <w:sz w:val="12"/>
              </w:rPr>
              <w:t>0.0% to 16.1% 0.0% to 4.4%</w:t>
            </w:r>
          </w:p>
          <w:p>
            <w:pPr>
              <w:pStyle w:val="TableParagraph"/>
              <w:spacing w:before="7"/>
              <w:rPr>
                <w:sz w:val="15"/>
              </w:rPr>
            </w:pPr>
          </w:p>
          <w:p>
            <w:pPr>
              <w:pStyle w:val="TableParagraph"/>
              <w:tabs>
                <w:tab w:pos="977" w:val="left" w:leader="none"/>
              </w:tabs>
              <w:spacing w:line="127" w:lineRule="exact"/>
              <w:ind w:left="114"/>
              <w:rPr>
                <w:sz w:val="12"/>
              </w:rPr>
            </w:pPr>
            <w:r>
              <w:rPr>
                <w:w w:val="110"/>
                <w:sz w:val="12"/>
              </w:rPr>
              <w:t>0.0%</w:t>
              <w:tab/>
              <w:t>NR</w:t>
            </w:r>
          </w:p>
        </w:tc>
      </w:tr>
    </w:tbl>
    <w:p>
      <w:pPr>
        <w:tabs>
          <w:tab w:pos="1134" w:val="left" w:leader="none"/>
          <w:tab w:pos="3107" w:val="left" w:leader="none"/>
          <w:tab w:pos="4199" w:val="left" w:leader="none"/>
          <w:tab w:pos="5414" w:val="left" w:leader="none"/>
          <w:tab w:pos="6252" w:val="left" w:leader="none"/>
          <w:tab w:pos="6774" w:val="left" w:leader="none"/>
          <w:tab w:pos="7662" w:val="left" w:leader="none"/>
          <w:tab w:pos="8525" w:val="left" w:leader="none"/>
          <w:tab w:pos="9489" w:val="left" w:leader="none"/>
        </w:tabs>
        <w:spacing w:line="276" w:lineRule="auto" w:before="24"/>
        <w:ind w:left="235" w:right="1155" w:firstLine="128"/>
        <w:jc w:val="left"/>
        <w:rPr>
          <w:sz w:val="12"/>
        </w:rPr>
      </w:pPr>
      <w:r>
        <w:rPr>
          <w:w w:val="110"/>
          <w:sz w:val="12"/>
        </w:rPr>
        <w:t>6</w:t>
        <w:tab/>
        <w:t>Traditional    </w:t>
      </w:r>
      <w:r>
        <w:rPr>
          <w:spacing w:val="4"/>
          <w:w w:val="110"/>
          <w:sz w:val="12"/>
        </w:rPr>
        <w:t> </w:t>
      </w:r>
      <w:r>
        <w:rPr>
          <w:w w:val="110"/>
          <w:sz w:val="12"/>
        </w:rPr>
        <w:t>Traditional</w:t>
        <w:tab/>
        <w:t>Traditional</w:t>
        <w:tab/>
        <w:t>Staples</w:t>
      </w:r>
      <w:r>
        <w:rPr>
          <w:spacing w:val="7"/>
          <w:w w:val="110"/>
          <w:sz w:val="12"/>
        </w:rPr>
        <w:t> </w:t>
      </w:r>
      <w:r>
        <w:rPr>
          <w:rFonts w:ascii="Lucida Sans"/>
          <w:w w:val="110"/>
          <w:sz w:val="12"/>
        </w:rPr>
        <w:t>&amp;</w:t>
      </w:r>
      <w:r>
        <w:rPr>
          <w:rFonts w:ascii="Lucida Sans"/>
          <w:spacing w:val="-3"/>
          <w:w w:val="110"/>
          <w:sz w:val="12"/>
        </w:rPr>
        <w:t> </w:t>
      </w:r>
      <w:r>
        <w:rPr>
          <w:w w:val="110"/>
          <w:sz w:val="12"/>
        </w:rPr>
        <w:t>TSA</w:t>
        <w:tab/>
        <w:t>1</w:t>
        <w:tab/>
        <w:t>203</w:t>
        <w:tab/>
        <w:t>0.5%</w:t>
        <w:tab/>
        <w:t>2.0%</w:t>
        <w:tab/>
        <w:t>NR</w:t>
        <w:tab/>
      </w:r>
      <w:r>
        <w:rPr>
          <w:spacing w:val="-9"/>
          <w:w w:val="105"/>
          <w:sz w:val="12"/>
        </w:rPr>
        <w:t>NR </w:t>
      </w:r>
      <w:r>
        <w:rPr>
          <w:w w:val="110"/>
          <w:sz w:val="12"/>
        </w:rPr>
        <w:t>Cateogory</w:t>
      </w:r>
    </w:p>
    <w:p>
      <w:pPr>
        <w:spacing w:line="149" w:lineRule="exact" w:before="0"/>
        <w:ind w:left="395" w:right="0" w:firstLine="0"/>
        <w:jc w:val="left"/>
        <w:rPr>
          <w:sz w:val="12"/>
        </w:rPr>
      </w:pPr>
      <w:r>
        <w:rPr/>
        <w:pict>
          <v:shape style="position:absolute;margin-left:32.825001pt;margin-top:8.053549pt;width:520.0500pt;height:259.5pt;mso-position-horizontal-relative:page;mso-position-vertical-relative:paragraph;z-index:25170227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4"/>
                    <w:gridCol w:w="773"/>
                    <w:gridCol w:w="986"/>
                    <w:gridCol w:w="1122"/>
                    <w:gridCol w:w="1309"/>
                    <w:gridCol w:w="495"/>
                    <w:gridCol w:w="837"/>
                    <w:gridCol w:w="903"/>
                    <w:gridCol w:w="963"/>
                    <w:gridCol w:w="443"/>
                    <w:gridCol w:w="481"/>
                    <w:gridCol w:w="1092"/>
                  </w:tblGrid>
                  <w:tr>
                    <w:trPr>
                      <w:trHeight w:val="335" w:hRule="atLeast"/>
                    </w:trPr>
                    <w:tc>
                      <w:tcPr>
                        <w:tcW w:w="984" w:type="dxa"/>
                      </w:tcPr>
                      <w:p>
                        <w:pPr>
                          <w:pStyle w:val="TableParagraph"/>
                          <w:spacing w:before="9"/>
                          <w:ind w:left="247"/>
                          <w:rPr>
                            <w:sz w:val="12"/>
                          </w:rPr>
                        </w:pPr>
                        <w:r>
                          <w:rPr>
                            <w:w w:val="126"/>
                            <w:sz w:val="12"/>
                          </w:rPr>
                          <w:t>7</w:t>
                        </w:r>
                      </w:p>
                    </w:tc>
                    <w:tc>
                      <w:tcPr>
                        <w:tcW w:w="773" w:type="dxa"/>
                      </w:tcPr>
                      <w:p>
                        <w:pPr>
                          <w:pStyle w:val="TableParagraph"/>
                          <w:spacing w:before="9"/>
                          <w:ind w:left="34"/>
                          <w:rPr>
                            <w:sz w:val="12"/>
                          </w:rPr>
                        </w:pPr>
                        <w:r>
                          <w:rPr>
                            <w:sz w:val="12"/>
                          </w:rPr>
                          <w:t>AM</w:t>
                        </w:r>
                      </w:p>
                      <w:p>
                        <w:pPr>
                          <w:pStyle w:val="TableParagraph"/>
                          <w:spacing w:line="135" w:lineRule="exact" w:before="22"/>
                          <w:ind w:left="34"/>
                          <w:rPr>
                            <w:sz w:val="12"/>
                          </w:rPr>
                        </w:pPr>
                        <w:r>
                          <w:rPr>
                            <w:w w:val="110"/>
                            <w:sz w:val="12"/>
                          </w:rPr>
                          <w:t>Traditional</w:t>
                        </w:r>
                      </w:p>
                    </w:tc>
                    <w:tc>
                      <w:tcPr>
                        <w:tcW w:w="2108" w:type="dxa"/>
                        <w:gridSpan w:val="2"/>
                      </w:tcPr>
                      <w:p>
                        <w:pPr>
                          <w:pStyle w:val="TableParagraph"/>
                          <w:spacing w:before="9"/>
                          <w:ind w:left="80"/>
                          <w:rPr>
                            <w:sz w:val="12"/>
                          </w:rPr>
                        </w:pPr>
                        <w:r>
                          <w:rPr>
                            <w:w w:val="110"/>
                            <w:sz w:val="12"/>
                          </w:rPr>
                          <w:t>AM Traditional</w:t>
                        </w:r>
                      </w:p>
                    </w:tc>
                    <w:tc>
                      <w:tcPr>
                        <w:tcW w:w="1309" w:type="dxa"/>
                      </w:tcPr>
                      <w:p>
                        <w:pPr>
                          <w:pStyle w:val="TableParagraph"/>
                          <w:spacing w:before="9"/>
                          <w:ind w:left="217"/>
                          <w:rPr>
                            <w:sz w:val="12"/>
                          </w:rPr>
                        </w:pPr>
                        <w:r>
                          <w:rPr>
                            <w:w w:val="115"/>
                            <w:sz w:val="12"/>
                          </w:rPr>
                          <w:t>Staples</w:t>
                        </w:r>
                      </w:p>
                    </w:tc>
                    <w:tc>
                      <w:tcPr>
                        <w:tcW w:w="495" w:type="dxa"/>
                      </w:tcPr>
                      <w:p>
                        <w:pPr>
                          <w:pStyle w:val="TableParagraph"/>
                          <w:spacing w:before="9"/>
                          <w:ind w:left="124"/>
                          <w:rPr>
                            <w:sz w:val="12"/>
                          </w:rPr>
                        </w:pPr>
                        <w:r>
                          <w:rPr>
                            <w:w w:val="126"/>
                            <w:sz w:val="12"/>
                          </w:rPr>
                          <w:t>1</w:t>
                        </w:r>
                      </w:p>
                    </w:tc>
                    <w:tc>
                      <w:tcPr>
                        <w:tcW w:w="837" w:type="dxa"/>
                      </w:tcPr>
                      <w:p>
                        <w:pPr>
                          <w:pStyle w:val="TableParagraph"/>
                          <w:spacing w:before="9"/>
                          <w:ind w:right="139"/>
                          <w:jc w:val="right"/>
                          <w:rPr>
                            <w:sz w:val="12"/>
                          </w:rPr>
                        </w:pPr>
                        <w:r>
                          <w:rPr>
                            <w:w w:val="125"/>
                            <w:sz w:val="12"/>
                          </w:rPr>
                          <w:t>51</w:t>
                        </w:r>
                      </w:p>
                    </w:tc>
                    <w:tc>
                      <w:tcPr>
                        <w:tcW w:w="903" w:type="dxa"/>
                      </w:tcPr>
                      <w:p>
                        <w:pPr>
                          <w:pStyle w:val="TableParagraph"/>
                          <w:spacing w:before="9"/>
                          <w:ind w:left="151"/>
                          <w:rPr>
                            <w:sz w:val="12"/>
                          </w:rPr>
                        </w:pPr>
                        <w:r>
                          <w:rPr>
                            <w:w w:val="105"/>
                            <w:sz w:val="12"/>
                          </w:rPr>
                          <w:t>0.0%</w:t>
                        </w:r>
                      </w:p>
                    </w:tc>
                    <w:tc>
                      <w:tcPr>
                        <w:tcW w:w="963" w:type="dxa"/>
                      </w:tcPr>
                      <w:p>
                        <w:pPr>
                          <w:pStyle w:val="TableParagraph"/>
                          <w:spacing w:before="9"/>
                          <w:ind w:left="136"/>
                          <w:rPr>
                            <w:sz w:val="12"/>
                          </w:rPr>
                        </w:pPr>
                        <w:r>
                          <w:rPr>
                            <w:w w:val="105"/>
                            <w:sz w:val="12"/>
                          </w:rPr>
                          <w:t>0.0%</w:t>
                        </w:r>
                      </w:p>
                    </w:tc>
                    <w:tc>
                      <w:tcPr>
                        <w:tcW w:w="2016" w:type="dxa"/>
                        <w:gridSpan w:val="3"/>
                      </w:tcPr>
                      <w:p>
                        <w:pPr>
                          <w:pStyle w:val="TableParagraph"/>
                          <w:tabs>
                            <w:tab w:pos="1001" w:val="left" w:leader="none"/>
                          </w:tabs>
                          <w:spacing w:before="9"/>
                          <w:ind w:left="36"/>
                          <w:rPr>
                            <w:sz w:val="12"/>
                          </w:rPr>
                        </w:pPr>
                        <w:r>
                          <w:rPr>
                            <w:sz w:val="12"/>
                          </w:rPr>
                          <w:t>NR</w:t>
                          <w:tab/>
                          <w:t>NR</w:t>
                        </w:r>
                      </w:p>
                    </w:tc>
                  </w:tr>
                  <w:tr>
                    <w:trPr>
                      <w:trHeight w:val="514" w:hRule="atLeast"/>
                    </w:trPr>
                    <w:tc>
                      <w:tcPr>
                        <w:tcW w:w="984" w:type="dxa"/>
                      </w:tcPr>
                      <w:p>
                        <w:pPr>
                          <w:pStyle w:val="TableParagraph"/>
                          <w:spacing w:before="17"/>
                          <w:ind w:left="247"/>
                          <w:rPr>
                            <w:sz w:val="12"/>
                          </w:rPr>
                        </w:pPr>
                        <w:r>
                          <w:rPr>
                            <w:w w:val="126"/>
                            <w:sz w:val="12"/>
                          </w:rPr>
                          <w:t>8</w:t>
                        </w:r>
                      </w:p>
                      <w:p>
                        <w:pPr>
                          <w:pStyle w:val="TableParagraph"/>
                          <w:spacing w:before="7"/>
                          <w:rPr>
                            <w:sz w:val="15"/>
                          </w:rPr>
                        </w:pPr>
                      </w:p>
                      <w:p>
                        <w:pPr>
                          <w:pStyle w:val="TableParagraph"/>
                          <w:spacing w:line="134" w:lineRule="exact"/>
                          <w:ind w:left="247"/>
                          <w:rPr>
                            <w:sz w:val="12"/>
                          </w:rPr>
                        </w:pPr>
                        <w:r>
                          <w:rPr>
                            <w:w w:val="126"/>
                            <w:sz w:val="12"/>
                          </w:rPr>
                          <w:t>9</w:t>
                        </w:r>
                      </w:p>
                    </w:tc>
                    <w:tc>
                      <w:tcPr>
                        <w:tcW w:w="773" w:type="dxa"/>
                      </w:tcPr>
                      <w:p>
                        <w:pPr>
                          <w:pStyle w:val="TableParagraph"/>
                          <w:spacing w:before="17"/>
                          <w:ind w:left="34"/>
                          <w:rPr>
                            <w:sz w:val="12"/>
                          </w:rPr>
                        </w:pPr>
                        <w:r>
                          <w:rPr>
                            <w:sz w:val="12"/>
                          </w:rPr>
                          <w:t>AM</w:t>
                        </w:r>
                      </w:p>
                      <w:p>
                        <w:pPr>
                          <w:pStyle w:val="TableParagraph"/>
                          <w:spacing w:line="170" w:lineRule="atLeast" w:before="1"/>
                          <w:ind w:left="34" w:right="66"/>
                          <w:rPr>
                            <w:sz w:val="12"/>
                          </w:rPr>
                        </w:pPr>
                        <w:r>
                          <w:rPr>
                            <w:w w:val="110"/>
                            <w:sz w:val="12"/>
                          </w:rPr>
                          <w:t>Traditional Traditional</w:t>
                        </w:r>
                      </w:p>
                    </w:tc>
                    <w:tc>
                      <w:tcPr>
                        <w:tcW w:w="2108" w:type="dxa"/>
                        <w:gridSpan w:val="2"/>
                      </w:tcPr>
                      <w:p>
                        <w:pPr>
                          <w:pStyle w:val="TableParagraph"/>
                          <w:spacing w:before="17"/>
                          <w:ind w:left="80"/>
                          <w:rPr>
                            <w:sz w:val="12"/>
                          </w:rPr>
                        </w:pPr>
                        <w:r>
                          <w:rPr>
                            <w:w w:val="110"/>
                            <w:sz w:val="12"/>
                          </w:rPr>
                          <w:t>AM Traditional</w:t>
                        </w:r>
                      </w:p>
                      <w:p>
                        <w:pPr>
                          <w:pStyle w:val="TableParagraph"/>
                          <w:spacing w:before="6"/>
                          <w:rPr>
                            <w:sz w:val="15"/>
                          </w:rPr>
                        </w:pPr>
                      </w:p>
                      <w:p>
                        <w:pPr>
                          <w:pStyle w:val="TableParagraph"/>
                          <w:spacing w:line="135" w:lineRule="exact"/>
                          <w:ind w:left="80"/>
                          <w:rPr>
                            <w:sz w:val="12"/>
                          </w:rPr>
                        </w:pPr>
                        <w:r>
                          <w:rPr>
                            <w:w w:val="110"/>
                            <w:sz w:val="12"/>
                          </w:rPr>
                          <w:t>Traditional (</w:t>
                        </w:r>
                        <w:r>
                          <w:rPr>
                            <w:rFonts w:ascii="Lucida Sans" w:hAnsi="Lucida Sans"/>
                            <w:w w:val="110"/>
                            <w:sz w:val="12"/>
                          </w:rPr>
                          <w:t>±</w:t>
                        </w:r>
                        <w:r>
                          <w:rPr>
                            <w:w w:val="110"/>
                            <w:sz w:val="12"/>
                          </w:rPr>
                          <w:t>AM) Traditional</w:t>
                        </w:r>
                      </w:p>
                    </w:tc>
                    <w:tc>
                      <w:tcPr>
                        <w:tcW w:w="1309" w:type="dxa"/>
                      </w:tcPr>
                      <w:p>
                        <w:pPr>
                          <w:pStyle w:val="TableParagraph"/>
                          <w:rPr>
                            <w:rFonts w:ascii="Times New Roman"/>
                            <w:sz w:val="14"/>
                          </w:rPr>
                        </w:pPr>
                      </w:p>
                    </w:tc>
                    <w:tc>
                      <w:tcPr>
                        <w:tcW w:w="495" w:type="dxa"/>
                      </w:tcPr>
                      <w:p>
                        <w:pPr>
                          <w:pStyle w:val="TableParagraph"/>
                          <w:spacing w:before="17"/>
                          <w:ind w:left="124"/>
                          <w:rPr>
                            <w:sz w:val="12"/>
                          </w:rPr>
                        </w:pPr>
                        <w:r>
                          <w:rPr>
                            <w:w w:val="126"/>
                            <w:sz w:val="12"/>
                          </w:rPr>
                          <w:t>1</w:t>
                        </w:r>
                      </w:p>
                      <w:p>
                        <w:pPr>
                          <w:pStyle w:val="TableParagraph"/>
                          <w:spacing w:before="7"/>
                          <w:rPr>
                            <w:sz w:val="15"/>
                          </w:rPr>
                        </w:pPr>
                      </w:p>
                      <w:p>
                        <w:pPr>
                          <w:pStyle w:val="TableParagraph"/>
                          <w:spacing w:line="134" w:lineRule="exact"/>
                          <w:ind w:left="124"/>
                          <w:rPr>
                            <w:sz w:val="12"/>
                          </w:rPr>
                        </w:pPr>
                        <w:r>
                          <w:rPr>
                            <w:w w:val="126"/>
                            <w:sz w:val="12"/>
                          </w:rPr>
                          <w:t>4</w:t>
                        </w:r>
                      </w:p>
                    </w:tc>
                    <w:tc>
                      <w:tcPr>
                        <w:tcW w:w="837" w:type="dxa"/>
                      </w:tcPr>
                      <w:p>
                        <w:pPr>
                          <w:pStyle w:val="TableParagraph"/>
                          <w:spacing w:before="17"/>
                          <w:ind w:left="467"/>
                          <w:rPr>
                            <w:sz w:val="12"/>
                          </w:rPr>
                        </w:pPr>
                        <w:r>
                          <w:rPr>
                            <w:w w:val="125"/>
                            <w:sz w:val="12"/>
                          </w:rPr>
                          <w:t>137</w:t>
                        </w:r>
                      </w:p>
                      <w:p>
                        <w:pPr>
                          <w:pStyle w:val="TableParagraph"/>
                          <w:spacing w:before="7"/>
                          <w:rPr>
                            <w:sz w:val="15"/>
                          </w:rPr>
                        </w:pPr>
                      </w:p>
                      <w:p>
                        <w:pPr>
                          <w:pStyle w:val="TableParagraph"/>
                          <w:spacing w:line="134" w:lineRule="exact"/>
                          <w:ind w:left="391"/>
                          <w:rPr>
                            <w:sz w:val="12"/>
                          </w:rPr>
                        </w:pPr>
                        <w:r>
                          <w:rPr>
                            <w:w w:val="125"/>
                            <w:sz w:val="12"/>
                          </w:rPr>
                          <w:t>1504</w:t>
                        </w:r>
                      </w:p>
                    </w:tc>
                    <w:tc>
                      <w:tcPr>
                        <w:tcW w:w="903" w:type="dxa"/>
                      </w:tcPr>
                      <w:p>
                        <w:pPr>
                          <w:pStyle w:val="TableParagraph"/>
                          <w:spacing w:before="17"/>
                          <w:ind w:left="151"/>
                          <w:rPr>
                            <w:sz w:val="12"/>
                          </w:rPr>
                        </w:pPr>
                        <w:r>
                          <w:rPr>
                            <w:w w:val="105"/>
                            <w:sz w:val="12"/>
                          </w:rPr>
                          <w:t>0.0%</w:t>
                        </w:r>
                      </w:p>
                      <w:p>
                        <w:pPr>
                          <w:pStyle w:val="TableParagraph"/>
                          <w:spacing w:before="7"/>
                          <w:rPr>
                            <w:sz w:val="15"/>
                          </w:rPr>
                        </w:pPr>
                      </w:p>
                      <w:p>
                        <w:pPr>
                          <w:pStyle w:val="TableParagraph"/>
                          <w:spacing w:line="134" w:lineRule="exact"/>
                          <w:ind w:left="151"/>
                          <w:rPr>
                            <w:sz w:val="12"/>
                          </w:rPr>
                        </w:pPr>
                        <w:r>
                          <w:rPr>
                            <w:w w:val="110"/>
                            <w:sz w:val="12"/>
                          </w:rPr>
                          <w:t>0.0% to 1.1%</w:t>
                        </w:r>
                      </w:p>
                    </w:tc>
                    <w:tc>
                      <w:tcPr>
                        <w:tcW w:w="963" w:type="dxa"/>
                      </w:tcPr>
                      <w:p>
                        <w:pPr>
                          <w:pStyle w:val="TableParagraph"/>
                          <w:spacing w:before="17"/>
                          <w:ind w:left="136"/>
                          <w:rPr>
                            <w:sz w:val="12"/>
                          </w:rPr>
                        </w:pPr>
                        <w:r>
                          <w:rPr>
                            <w:w w:val="105"/>
                            <w:sz w:val="12"/>
                          </w:rPr>
                          <w:t>1.5%</w:t>
                        </w:r>
                      </w:p>
                      <w:p>
                        <w:pPr>
                          <w:pStyle w:val="TableParagraph"/>
                          <w:spacing w:before="7"/>
                          <w:rPr>
                            <w:sz w:val="15"/>
                          </w:rPr>
                        </w:pPr>
                      </w:p>
                      <w:p>
                        <w:pPr>
                          <w:pStyle w:val="TableParagraph"/>
                          <w:spacing w:line="134" w:lineRule="exact"/>
                          <w:ind w:left="136"/>
                          <w:rPr>
                            <w:sz w:val="12"/>
                          </w:rPr>
                        </w:pPr>
                        <w:r>
                          <w:rPr>
                            <w:w w:val="110"/>
                            <w:sz w:val="12"/>
                          </w:rPr>
                          <w:t>0.0% to 1.3%</w:t>
                        </w:r>
                      </w:p>
                    </w:tc>
                    <w:tc>
                      <w:tcPr>
                        <w:tcW w:w="2016" w:type="dxa"/>
                        <w:gridSpan w:val="3"/>
                      </w:tcPr>
                      <w:p>
                        <w:pPr>
                          <w:pStyle w:val="TableParagraph"/>
                          <w:tabs>
                            <w:tab w:pos="1001" w:val="left" w:leader="none"/>
                          </w:tabs>
                          <w:spacing w:before="17"/>
                          <w:ind w:left="36"/>
                          <w:rPr>
                            <w:sz w:val="12"/>
                          </w:rPr>
                        </w:pPr>
                        <w:r>
                          <w:rPr>
                            <w:sz w:val="12"/>
                          </w:rPr>
                          <w:t>NR</w:t>
                          <w:tab/>
                          <w:t>NR</w:t>
                        </w:r>
                      </w:p>
                      <w:p>
                        <w:pPr>
                          <w:pStyle w:val="TableParagraph"/>
                          <w:spacing w:before="7"/>
                          <w:rPr>
                            <w:sz w:val="15"/>
                          </w:rPr>
                        </w:pPr>
                      </w:p>
                      <w:p>
                        <w:pPr>
                          <w:pStyle w:val="TableParagraph"/>
                          <w:tabs>
                            <w:tab w:pos="1103" w:val="left" w:leader="none"/>
                          </w:tabs>
                          <w:spacing w:line="134" w:lineRule="exact"/>
                          <w:ind w:left="62"/>
                          <w:rPr>
                            <w:sz w:val="12"/>
                          </w:rPr>
                        </w:pPr>
                        <w:r>
                          <w:rPr>
                            <w:w w:val="110"/>
                            <w:sz w:val="12"/>
                          </w:rPr>
                          <w:t>10.0%</w:t>
                          <w:tab/>
                          <w:t>0.0%</w:t>
                        </w:r>
                      </w:p>
                    </w:tc>
                  </w:tr>
                  <w:tr>
                    <w:trPr>
                      <w:trHeight w:val="335" w:hRule="atLeast"/>
                    </w:trPr>
                    <w:tc>
                      <w:tcPr>
                        <w:tcW w:w="984" w:type="dxa"/>
                      </w:tcPr>
                      <w:p>
                        <w:pPr>
                          <w:pStyle w:val="TableParagraph"/>
                          <w:spacing w:before="1"/>
                          <w:rPr>
                            <w:sz w:val="15"/>
                          </w:rPr>
                        </w:pPr>
                      </w:p>
                      <w:p>
                        <w:pPr>
                          <w:pStyle w:val="TableParagraph"/>
                          <w:spacing w:line="127" w:lineRule="exact"/>
                          <w:ind w:left="119"/>
                          <w:rPr>
                            <w:sz w:val="12"/>
                          </w:rPr>
                        </w:pPr>
                        <w:r>
                          <w:rPr>
                            <w:w w:val="110"/>
                            <w:sz w:val="12"/>
                          </w:rPr>
                          <w:t>Cateogory</w:t>
                        </w:r>
                      </w:p>
                    </w:tc>
                    <w:tc>
                      <w:tcPr>
                        <w:tcW w:w="773" w:type="dxa"/>
                      </w:tcPr>
                      <w:p>
                        <w:pPr>
                          <w:pStyle w:val="TableParagraph"/>
                          <w:spacing w:before="16"/>
                          <w:ind w:left="34"/>
                          <w:rPr>
                            <w:sz w:val="12"/>
                          </w:rPr>
                        </w:pPr>
                        <w:r>
                          <w:rPr>
                            <w:w w:val="110"/>
                            <w:sz w:val="12"/>
                          </w:rPr>
                          <w:t>(</w:t>
                        </w:r>
                        <w:r>
                          <w:rPr>
                            <w:rFonts w:ascii="Lucida Sans" w:hAnsi="Lucida Sans"/>
                            <w:w w:val="110"/>
                            <w:sz w:val="12"/>
                          </w:rPr>
                          <w:t>±</w:t>
                        </w:r>
                        <w:r>
                          <w:rPr>
                            <w:w w:val="110"/>
                            <w:sz w:val="12"/>
                          </w:rPr>
                          <w:t>AM)</w:t>
                        </w:r>
                      </w:p>
                    </w:tc>
                    <w:tc>
                      <w:tcPr>
                        <w:tcW w:w="2108" w:type="dxa"/>
                        <w:gridSpan w:val="2"/>
                      </w:tcPr>
                      <w:p>
                        <w:pPr>
                          <w:pStyle w:val="TableParagraph"/>
                          <w:spacing w:before="16"/>
                          <w:ind w:left="1234"/>
                          <w:rPr>
                            <w:sz w:val="12"/>
                          </w:rPr>
                        </w:pPr>
                        <w:r>
                          <w:rPr>
                            <w:w w:val="110"/>
                            <w:sz w:val="12"/>
                          </w:rPr>
                          <w:t>(</w:t>
                        </w:r>
                        <w:r>
                          <w:rPr>
                            <w:rFonts w:ascii="Lucida Sans" w:hAnsi="Lucida Sans"/>
                            <w:w w:val="110"/>
                            <w:sz w:val="12"/>
                          </w:rPr>
                          <w:t>±</w:t>
                        </w:r>
                        <w:r>
                          <w:rPr>
                            <w:w w:val="110"/>
                            <w:sz w:val="12"/>
                          </w:rPr>
                          <w:t>AM)</w:t>
                        </w:r>
                      </w:p>
                    </w:tc>
                    <w:tc>
                      <w:tcPr>
                        <w:tcW w:w="1309" w:type="dxa"/>
                      </w:tcPr>
                      <w:p>
                        <w:pPr>
                          <w:pStyle w:val="TableParagraph"/>
                          <w:rPr>
                            <w:rFonts w:ascii="Times New Roman"/>
                            <w:sz w:val="14"/>
                          </w:rPr>
                        </w:pPr>
                      </w:p>
                    </w:tc>
                    <w:tc>
                      <w:tcPr>
                        <w:tcW w:w="495" w:type="dxa"/>
                      </w:tcPr>
                      <w:p>
                        <w:pPr>
                          <w:pStyle w:val="TableParagraph"/>
                          <w:rPr>
                            <w:rFonts w:ascii="Times New Roman"/>
                            <w:sz w:val="14"/>
                          </w:rPr>
                        </w:pPr>
                      </w:p>
                    </w:tc>
                    <w:tc>
                      <w:tcPr>
                        <w:tcW w:w="837" w:type="dxa"/>
                      </w:tcPr>
                      <w:p>
                        <w:pPr>
                          <w:pStyle w:val="TableParagraph"/>
                          <w:rPr>
                            <w:rFonts w:ascii="Times New Roman"/>
                            <w:sz w:val="14"/>
                          </w:rPr>
                        </w:pPr>
                      </w:p>
                    </w:tc>
                    <w:tc>
                      <w:tcPr>
                        <w:tcW w:w="903" w:type="dxa"/>
                      </w:tcPr>
                      <w:p>
                        <w:pPr>
                          <w:pStyle w:val="TableParagraph"/>
                          <w:rPr>
                            <w:rFonts w:ascii="Times New Roman"/>
                            <w:sz w:val="14"/>
                          </w:rPr>
                        </w:pPr>
                      </w:p>
                    </w:tc>
                    <w:tc>
                      <w:tcPr>
                        <w:tcW w:w="963" w:type="dxa"/>
                      </w:tcPr>
                      <w:p>
                        <w:pPr>
                          <w:pStyle w:val="TableParagraph"/>
                          <w:rPr>
                            <w:rFonts w:ascii="Times New Roman"/>
                            <w:sz w:val="14"/>
                          </w:rPr>
                        </w:pPr>
                      </w:p>
                    </w:tc>
                    <w:tc>
                      <w:tcPr>
                        <w:tcW w:w="2016" w:type="dxa"/>
                        <w:gridSpan w:val="3"/>
                      </w:tcPr>
                      <w:p>
                        <w:pPr>
                          <w:pStyle w:val="TableParagraph"/>
                          <w:rPr>
                            <w:rFonts w:ascii="Times New Roman"/>
                            <w:sz w:val="14"/>
                          </w:rPr>
                        </w:pPr>
                      </w:p>
                    </w:tc>
                  </w:tr>
                  <w:tr>
                    <w:trPr>
                      <w:trHeight w:val="349" w:hRule="atLeast"/>
                    </w:trPr>
                    <w:tc>
                      <w:tcPr>
                        <w:tcW w:w="984" w:type="dxa"/>
                      </w:tcPr>
                      <w:p>
                        <w:pPr>
                          <w:pStyle w:val="TableParagraph"/>
                          <w:spacing w:before="9"/>
                          <w:ind w:left="278"/>
                          <w:rPr>
                            <w:sz w:val="12"/>
                          </w:rPr>
                        </w:pPr>
                        <w:r>
                          <w:rPr>
                            <w:w w:val="115"/>
                            <w:sz w:val="12"/>
                          </w:rPr>
                          <w:t>Three</w:t>
                        </w:r>
                      </w:p>
                      <w:p>
                        <w:pPr>
                          <w:pStyle w:val="TableParagraph"/>
                          <w:spacing w:line="134" w:lineRule="exact" w:before="22"/>
                          <w:ind w:left="247"/>
                          <w:rPr>
                            <w:sz w:val="12"/>
                          </w:rPr>
                        </w:pPr>
                        <w:r>
                          <w:rPr>
                            <w:w w:val="125"/>
                            <w:sz w:val="12"/>
                          </w:rPr>
                          <w:t>10</w:t>
                        </w:r>
                      </w:p>
                    </w:tc>
                    <w:tc>
                      <w:tcPr>
                        <w:tcW w:w="773" w:type="dxa"/>
                      </w:tcPr>
                      <w:p>
                        <w:pPr>
                          <w:pStyle w:val="TableParagraph"/>
                          <w:spacing w:before="6"/>
                          <w:rPr>
                            <w:sz w:val="14"/>
                          </w:rPr>
                        </w:pPr>
                      </w:p>
                      <w:p>
                        <w:pPr>
                          <w:pStyle w:val="TableParagraph"/>
                          <w:spacing w:line="134" w:lineRule="exact" w:before="1"/>
                          <w:ind w:left="34"/>
                          <w:rPr>
                            <w:sz w:val="12"/>
                          </w:rPr>
                        </w:pPr>
                        <w:r>
                          <w:rPr>
                            <w:w w:val="110"/>
                            <w:sz w:val="12"/>
                          </w:rPr>
                          <w:t>Traditional</w:t>
                        </w:r>
                      </w:p>
                    </w:tc>
                    <w:tc>
                      <w:tcPr>
                        <w:tcW w:w="986" w:type="dxa"/>
                      </w:tcPr>
                      <w:p>
                        <w:pPr>
                          <w:pStyle w:val="TableParagraph"/>
                          <w:spacing w:before="6"/>
                          <w:rPr>
                            <w:sz w:val="14"/>
                          </w:rPr>
                        </w:pPr>
                      </w:p>
                      <w:p>
                        <w:pPr>
                          <w:pStyle w:val="TableParagraph"/>
                          <w:spacing w:line="134" w:lineRule="exact" w:before="1"/>
                          <w:ind w:left="80"/>
                          <w:rPr>
                            <w:sz w:val="12"/>
                          </w:rPr>
                        </w:pPr>
                        <w:r>
                          <w:rPr>
                            <w:w w:val="110"/>
                            <w:sz w:val="12"/>
                          </w:rPr>
                          <w:t>Traditional</w:t>
                        </w:r>
                      </w:p>
                    </w:tc>
                    <w:tc>
                      <w:tcPr>
                        <w:tcW w:w="1122" w:type="dxa"/>
                      </w:tcPr>
                      <w:p>
                        <w:pPr>
                          <w:pStyle w:val="TableParagraph"/>
                          <w:spacing w:before="6"/>
                          <w:rPr>
                            <w:sz w:val="14"/>
                          </w:rPr>
                        </w:pPr>
                      </w:p>
                      <w:p>
                        <w:pPr>
                          <w:pStyle w:val="TableParagraph"/>
                          <w:spacing w:line="134" w:lineRule="exact" w:before="1"/>
                          <w:ind w:left="247"/>
                          <w:rPr>
                            <w:sz w:val="12"/>
                          </w:rPr>
                        </w:pPr>
                        <w:r>
                          <w:rPr>
                            <w:w w:val="110"/>
                            <w:sz w:val="12"/>
                          </w:rPr>
                          <w:t>Barbed</w:t>
                        </w:r>
                      </w:p>
                    </w:tc>
                    <w:tc>
                      <w:tcPr>
                        <w:tcW w:w="1309" w:type="dxa"/>
                      </w:tcPr>
                      <w:p>
                        <w:pPr>
                          <w:pStyle w:val="TableParagraph"/>
                          <w:spacing w:before="6"/>
                          <w:rPr>
                            <w:sz w:val="14"/>
                          </w:rPr>
                        </w:pPr>
                      </w:p>
                      <w:p>
                        <w:pPr>
                          <w:pStyle w:val="TableParagraph"/>
                          <w:spacing w:line="134" w:lineRule="exact" w:before="1"/>
                          <w:ind w:left="217"/>
                          <w:rPr>
                            <w:sz w:val="12"/>
                          </w:rPr>
                        </w:pPr>
                        <w:r>
                          <w:rPr>
                            <w:sz w:val="12"/>
                          </w:rPr>
                          <w:t>TSA</w:t>
                        </w:r>
                      </w:p>
                    </w:tc>
                    <w:tc>
                      <w:tcPr>
                        <w:tcW w:w="495" w:type="dxa"/>
                      </w:tcPr>
                      <w:p>
                        <w:pPr>
                          <w:pStyle w:val="TableParagraph"/>
                          <w:spacing w:before="6"/>
                          <w:rPr>
                            <w:sz w:val="14"/>
                          </w:rPr>
                        </w:pPr>
                      </w:p>
                      <w:p>
                        <w:pPr>
                          <w:pStyle w:val="TableParagraph"/>
                          <w:spacing w:line="134" w:lineRule="exact" w:before="1"/>
                          <w:ind w:left="124"/>
                          <w:rPr>
                            <w:sz w:val="12"/>
                          </w:rPr>
                        </w:pPr>
                        <w:r>
                          <w:rPr>
                            <w:w w:val="126"/>
                            <w:sz w:val="12"/>
                          </w:rPr>
                          <w:t>1</w:t>
                        </w:r>
                      </w:p>
                    </w:tc>
                    <w:tc>
                      <w:tcPr>
                        <w:tcW w:w="837" w:type="dxa"/>
                      </w:tcPr>
                      <w:p>
                        <w:pPr>
                          <w:pStyle w:val="TableParagraph"/>
                          <w:spacing w:before="6"/>
                          <w:rPr>
                            <w:sz w:val="14"/>
                          </w:rPr>
                        </w:pPr>
                      </w:p>
                      <w:p>
                        <w:pPr>
                          <w:pStyle w:val="TableParagraph"/>
                          <w:spacing w:line="134" w:lineRule="exact" w:before="1"/>
                          <w:ind w:right="140"/>
                          <w:jc w:val="right"/>
                          <w:rPr>
                            <w:sz w:val="12"/>
                          </w:rPr>
                        </w:pPr>
                        <w:r>
                          <w:rPr>
                            <w:w w:val="125"/>
                            <w:sz w:val="12"/>
                          </w:rPr>
                          <w:t>46</w:t>
                        </w:r>
                      </w:p>
                    </w:tc>
                    <w:tc>
                      <w:tcPr>
                        <w:tcW w:w="903" w:type="dxa"/>
                      </w:tcPr>
                      <w:p>
                        <w:pPr>
                          <w:pStyle w:val="TableParagraph"/>
                          <w:spacing w:before="6"/>
                          <w:rPr>
                            <w:sz w:val="14"/>
                          </w:rPr>
                        </w:pPr>
                      </w:p>
                      <w:p>
                        <w:pPr>
                          <w:pStyle w:val="TableParagraph"/>
                          <w:spacing w:line="134" w:lineRule="exact" w:before="1"/>
                          <w:ind w:left="151"/>
                          <w:rPr>
                            <w:sz w:val="12"/>
                          </w:rPr>
                        </w:pPr>
                        <w:r>
                          <w:rPr>
                            <w:w w:val="105"/>
                            <w:sz w:val="12"/>
                          </w:rPr>
                          <w:t>2.2%</w:t>
                        </w:r>
                      </w:p>
                    </w:tc>
                    <w:tc>
                      <w:tcPr>
                        <w:tcW w:w="963" w:type="dxa"/>
                      </w:tcPr>
                      <w:p>
                        <w:pPr>
                          <w:pStyle w:val="TableParagraph"/>
                          <w:spacing w:before="6"/>
                          <w:rPr>
                            <w:sz w:val="14"/>
                          </w:rPr>
                        </w:pPr>
                      </w:p>
                      <w:p>
                        <w:pPr>
                          <w:pStyle w:val="TableParagraph"/>
                          <w:spacing w:line="134" w:lineRule="exact" w:before="1"/>
                          <w:ind w:left="136"/>
                          <w:rPr>
                            <w:sz w:val="12"/>
                          </w:rPr>
                        </w:pPr>
                        <w:r>
                          <w:rPr>
                            <w:w w:val="105"/>
                            <w:sz w:val="12"/>
                          </w:rPr>
                          <w:t>0.0%</w:t>
                        </w:r>
                      </w:p>
                    </w:tc>
                    <w:tc>
                      <w:tcPr>
                        <w:tcW w:w="443" w:type="dxa"/>
                      </w:tcPr>
                      <w:p>
                        <w:pPr>
                          <w:pStyle w:val="TableParagraph"/>
                          <w:spacing w:before="6"/>
                          <w:rPr>
                            <w:sz w:val="14"/>
                          </w:rPr>
                        </w:pPr>
                      </w:p>
                      <w:p>
                        <w:pPr>
                          <w:pStyle w:val="TableParagraph"/>
                          <w:spacing w:line="134" w:lineRule="exact" w:before="1"/>
                          <w:ind w:left="36"/>
                          <w:rPr>
                            <w:sz w:val="12"/>
                          </w:rPr>
                        </w:pPr>
                        <w:r>
                          <w:rPr>
                            <w:sz w:val="12"/>
                          </w:rPr>
                          <w:t>NR</w:t>
                        </w:r>
                      </w:p>
                    </w:tc>
                    <w:tc>
                      <w:tcPr>
                        <w:tcW w:w="1573" w:type="dxa"/>
                        <w:gridSpan w:val="2"/>
                      </w:tcPr>
                      <w:p>
                        <w:pPr>
                          <w:pStyle w:val="TableParagraph"/>
                          <w:spacing w:before="6"/>
                          <w:rPr>
                            <w:sz w:val="14"/>
                          </w:rPr>
                        </w:pPr>
                      </w:p>
                      <w:p>
                        <w:pPr>
                          <w:pStyle w:val="TableParagraph"/>
                          <w:spacing w:line="134" w:lineRule="exact" w:before="1"/>
                          <w:ind w:left="640" w:right="629"/>
                          <w:jc w:val="center"/>
                          <w:rPr>
                            <w:sz w:val="12"/>
                          </w:rPr>
                        </w:pPr>
                        <w:r>
                          <w:rPr>
                            <w:w w:val="105"/>
                            <w:sz w:val="12"/>
                          </w:rPr>
                          <w:t>2.2%</w:t>
                        </w:r>
                      </w:p>
                    </w:tc>
                  </w:tr>
                  <w:tr>
                    <w:trPr>
                      <w:trHeight w:val="254" w:hRule="atLeast"/>
                    </w:trPr>
                    <w:tc>
                      <w:tcPr>
                        <w:tcW w:w="984" w:type="dxa"/>
                      </w:tcPr>
                      <w:p>
                        <w:pPr>
                          <w:pStyle w:val="TableParagraph"/>
                          <w:spacing w:before="17"/>
                          <w:ind w:left="247"/>
                          <w:rPr>
                            <w:sz w:val="12"/>
                          </w:rPr>
                        </w:pPr>
                        <w:r>
                          <w:rPr>
                            <w:w w:val="125"/>
                            <w:sz w:val="12"/>
                          </w:rPr>
                          <w:t>11</w:t>
                        </w:r>
                      </w:p>
                    </w:tc>
                    <w:tc>
                      <w:tcPr>
                        <w:tcW w:w="773" w:type="dxa"/>
                      </w:tcPr>
                      <w:p>
                        <w:pPr>
                          <w:pStyle w:val="TableParagraph"/>
                          <w:spacing w:before="17"/>
                          <w:ind w:left="34"/>
                          <w:rPr>
                            <w:sz w:val="12"/>
                          </w:rPr>
                        </w:pPr>
                        <w:r>
                          <w:rPr>
                            <w:w w:val="110"/>
                            <w:sz w:val="12"/>
                          </w:rPr>
                          <w:t>Traditional</w:t>
                        </w:r>
                      </w:p>
                    </w:tc>
                    <w:tc>
                      <w:tcPr>
                        <w:tcW w:w="986" w:type="dxa"/>
                      </w:tcPr>
                      <w:p>
                        <w:pPr>
                          <w:pStyle w:val="TableParagraph"/>
                          <w:spacing w:before="17"/>
                          <w:ind w:left="80"/>
                          <w:rPr>
                            <w:sz w:val="12"/>
                          </w:rPr>
                        </w:pPr>
                        <w:r>
                          <w:rPr>
                            <w:w w:val="110"/>
                            <w:sz w:val="12"/>
                          </w:rPr>
                          <w:t>Traditional</w:t>
                        </w:r>
                      </w:p>
                    </w:tc>
                    <w:tc>
                      <w:tcPr>
                        <w:tcW w:w="1122" w:type="dxa"/>
                      </w:tcPr>
                      <w:p>
                        <w:pPr>
                          <w:pStyle w:val="TableParagraph"/>
                          <w:spacing w:before="17"/>
                          <w:ind w:left="247"/>
                          <w:rPr>
                            <w:sz w:val="12"/>
                          </w:rPr>
                        </w:pPr>
                        <w:r>
                          <w:rPr>
                            <w:w w:val="110"/>
                            <w:sz w:val="12"/>
                          </w:rPr>
                          <w:t>Barbed</w:t>
                        </w:r>
                      </w:p>
                    </w:tc>
                    <w:tc>
                      <w:tcPr>
                        <w:tcW w:w="1309" w:type="dxa"/>
                      </w:tcPr>
                      <w:p>
                        <w:pPr>
                          <w:pStyle w:val="TableParagraph"/>
                          <w:spacing w:before="11"/>
                          <w:ind w:left="217"/>
                          <w:rPr>
                            <w:sz w:val="12"/>
                          </w:rPr>
                        </w:pPr>
                        <w:r>
                          <w:rPr>
                            <w:w w:val="110"/>
                            <w:sz w:val="12"/>
                          </w:rPr>
                          <w:t>TSA </w:t>
                        </w:r>
                        <w:r>
                          <w:rPr>
                            <w:rFonts w:ascii="Century Gothic" w:hAnsi="Century Gothic"/>
                            <w:w w:val="110"/>
                            <w:sz w:val="12"/>
                          </w:rPr>
                          <w:t>þ </w:t>
                        </w:r>
                        <w:r>
                          <w:rPr>
                            <w:w w:val="110"/>
                            <w:sz w:val="12"/>
                          </w:rPr>
                          <w:t>polyester</w:t>
                        </w:r>
                      </w:p>
                    </w:tc>
                    <w:tc>
                      <w:tcPr>
                        <w:tcW w:w="495" w:type="dxa"/>
                      </w:tcPr>
                      <w:p>
                        <w:pPr>
                          <w:pStyle w:val="TableParagraph"/>
                          <w:spacing w:before="17"/>
                          <w:ind w:left="124"/>
                          <w:rPr>
                            <w:sz w:val="12"/>
                          </w:rPr>
                        </w:pPr>
                        <w:r>
                          <w:rPr>
                            <w:w w:val="126"/>
                            <w:sz w:val="12"/>
                          </w:rPr>
                          <w:t>1</w:t>
                        </w:r>
                      </w:p>
                    </w:tc>
                    <w:tc>
                      <w:tcPr>
                        <w:tcW w:w="837" w:type="dxa"/>
                      </w:tcPr>
                      <w:p>
                        <w:pPr>
                          <w:pStyle w:val="TableParagraph"/>
                          <w:spacing w:before="17"/>
                          <w:ind w:right="139"/>
                          <w:jc w:val="right"/>
                          <w:rPr>
                            <w:sz w:val="12"/>
                          </w:rPr>
                        </w:pPr>
                        <w:r>
                          <w:rPr>
                            <w:w w:val="125"/>
                            <w:sz w:val="12"/>
                          </w:rPr>
                          <w:t>30</w:t>
                        </w:r>
                      </w:p>
                    </w:tc>
                    <w:tc>
                      <w:tcPr>
                        <w:tcW w:w="903" w:type="dxa"/>
                      </w:tcPr>
                      <w:p>
                        <w:pPr>
                          <w:pStyle w:val="TableParagraph"/>
                          <w:spacing w:before="17"/>
                          <w:ind w:left="151"/>
                          <w:rPr>
                            <w:sz w:val="12"/>
                          </w:rPr>
                        </w:pPr>
                        <w:r>
                          <w:rPr>
                            <w:w w:val="105"/>
                            <w:sz w:val="12"/>
                          </w:rPr>
                          <w:t>0.0%</w:t>
                        </w:r>
                      </w:p>
                    </w:tc>
                    <w:tc>
                      <w:tcPr>
                        <w:tcW w:w="963" w:type="dxa"/>
                      </w:tcPr>
                      <w:p>
                        <w:pPr>
                          <w:pStyle w:val="TableParagraph"/>
                          <w:spacing w:before="17"/>
                          <w:ind w:left="136"/>
                          <w:rPr>
                            <w:sz w:val="12"/>
                          </w:rPr>
                        </w:pPr>
                        <w:r>
                          <w:rPr>
                            <w:w w:val="105"/>
                            <w:sz w:val="12"/>
                          </w:rPr>
                          <w:t>3.0%</w:t>
                        </w:r>
                      </w:p>
                    </w:tc>
                    <w:tc>
                      <w:tcPr>
                        <w:tcW w:w="443" w:type="dxa"/>
                      </w:tcPr>
                      <w:p>
                        <w:pPr>
                          <w:pStyle w:val="TableParagraph"/>
                          <w:spacing w:before="17"/>
                          <w:ind w:left="36"/>
                          <w:rPr>
                            <w:sz w:val="12"/>
                          </w:rPr>
                        </w:pPr>
                        <w:r>
                          <w:rPr>
                            <w:sz w:val="12"/>
                          </w:rPr>
                          <w:t>NR</w:t>
                        </w:r>
                      </w:p>
                    </w:tc>
                    <w:tc>
                      <w:tcPr>
                        <w:tcW w:w="1573" w:type="dxa"/>
                        <w:gridSpan w:val="2"/>
                      </w:tcPr>
                      <w:p>
                        <w:pPr>
                          <w:pStyle w:val="TableParagraph"/>
                          <w:spacing w:before="17"/>
                          <w:ind w:left="640" w:right="629"/>
                          <w:jc w:val="center"/>
                          <w:rPr>
                            <w:sz w:val="12"/>
                          </w:rPr>
                        </w:pPr>
                        <w:r>
                          <w:rPr>
                            <w:w w:val="105"/>
                            <w:sz w:val="12"/>
                          </w:rPr>
                          <w:t>3.0%</w:t>
                        </w:r>
                      </w:p>
                    </w:tc>
                  </w:tr>
                  <w:tr>
                    <w:trPr>
                      <w:trHeight w:val="602" w:hRule="atLeast"/>
                    </w:trPr>
                    <w:tc>
                      <w:tcPr>
                        <w:tcW w:w="984" w:type="dxa"/>
                      </w:tcPr>
                      <w:p>
                        <w:pPr>
                          <w:pStyle w:val="TableParagraph"/>
                          <w:spacing w:line="276" w:lineRule="auto" w:before="106"/>
                          <w:ind w:left="278" w:right="237" w:hanging="160"/>
                          <w:rPr>
                            <w:sz w:val="12"/>
                          </w:rPr>
                        </w:pPr>
                        <w:r>
                          <w:rPr>
                            <w:w w:val="110"/>
                            <w:sz w:val="12"/>
                          </w:rPr>
                          <w:t>Cateogory Four</w:t>
                        </w:r>
                      </w:p>
                      <w:p>
                        <w:pPr>
                          <w:pStyle w:val="TableParagraph"/>
                          <w:spacing w:line="134" w:lineRule="exact"/>
                          <w:ind w:left="247"/>
                          <w:rPr>
                            <w:sz w:val="12"/>
                          </w:rPr>
                        </w:pPr>
                        <w:r>
                          <w:rPr>
                            <w:w w:val="125"/>
                            <w:sz w:val="12"/>
                          </w:rPr>
                          <w:t>12</w:t>
                        </w:r>
                      </w:p>
                    </w:tc>
                    <w:tc>
                      <w:tcPr>
                        <w:tcW w:w="773" w:type="dxa"/>
                      </w:tcPr>
                      <w:p>
                        <w:pPr>
                          <w:pStyle w:val="TableParagraph"/>
                          <w:rPr>
                            <w:sz w:val="16"/>
                          </w:rPr>
                        </w:pPr>
                      </w:p>
                      <w:p>
                        <w:pPr>
                          <w:pStyle w:val="TableParagraph"/>
                          <w:spacing w:before="1"/>
                          <w:rPr>
                            <w:sz w:val="20"/>
                          </w:rPr>
                        </w:pPr>
                      </w:p>
                      <w:p>
                        <w:pPr>
                          <w:pStyle w:val="TableParagraph"/>
                          <w:spacing w:line="134" w:lineRule="exact"/>
                          <w:ind w:left="34"/>
                          <w:rPr>
                            <w:sz w:val="12"/>
                          </w:rPr>
                        </w:pPr>
                        <w:r>
                          <w:rPr>
                            <w:w w:val="110"/>
                            <w:sz w:val="12"/>
                          </w:rPr>
                          <w:t>Barbed</w:t>
                        </w:r>
                      </w:p>
                    </w:tc>
                    <w:tc>
                      <w:tcPr>
                        <w:tcW w:w="986" w:type="dxa"/>
                      </w:tcPr>
                      <w:p>
                        <w:pPr>
                          <w:pStyle w:val="TableParagraph"/>
                          <w:rPr>
                            <w:sz w:val="16"/>
                          </w:rPr>
                        </w:pPr>
                      </w:p>
                      <w:p>
                        <w:pPr>
                          <w:pStyle w:val="TableParagraph"/>
                          <w:spacing w:before="1"/>
                          <w:rPr>
                            <w:sz w:val="20"/>
                          </w:rPr>
                        </w:pPr>
                      </w:p>
                      <w:p>
                        <w:pPr>
                          <w:pStyle w:val="TableParagraph"/>
                          <w:spacing w:line="134" w:lineRule="exact"/>
                          <w:ind w:left="80"/>
                          <w:rPr>
                            <w:sz w:val="12"/>
                          </w:rPr>
                        </w:pPr>
                        <w:r>
                          <w:rPr>
                            <w:w w:val="110"/>
                            <w:sz w:val="12"/>
                          </w:rPr>
                          <w:t>Traditional</w:t>
                        </w:r>
                      </w:p>
                    </w:tc>
                    <w:tc>
                      <w:tcPr>
                        <w:tcW w:w="1122" w:type="dxa"/>
                      </w:tcPr>
                      <w:p>
                        <w:pPr>
                          <w:pStyle w:val="TableParagraph"/>
                          <w:rPr>
                            <w:rFonts w:ascii="Times New Roman"/>
                            <w:sz w:val="14"/>
                          </w:rPr>
                        </w:pPr>
                      </w:p>
                    </w:tc>
                    <w:tc>
                      <w:tcPr>
                        <w:tcW w:w="1309" w:type="dxa"/>
                      </w:tcPr>
                      <w:p>
                        <w:pPr>
                          <w:pStyle w:val="TableParagraph"/>
                          <w:rPr>
                            <w:sz w:val="16"/>
                          </w:rPr>
                        </w:pPr>
                      </w:p>
                      <w:p>
                        <w:pPr>
                          <w:pStyle w:val="TableParagraph"/>
                          <w:rPr>
                            <w:sz w:val="20"/>
                          </w:rPr>
                        </w:pPr>
                      </w:p>
                      <w:p>
                        <w:pPr>
                          <w:pStyle w:val="TableParagraph"/>
                          <w:spacing w:line="135" w:lineRule="exact"/>
                          <w:ind w:left="217"/>
                          <w:rPr>
                            <w:sz w:val="12"/>
                          </w:rPr>
                        </w:pPr>
                        <w:r>
                          <w:rPr>
                            <w:w w:val="110"/>
                            <w:sz w:val="12"/>
                          </w:rPr>
                          <w:t>Staples </w:t>
                        </w:r>
                        <w:r>
                          <w:rPr>
                            <w:rFonts w:ascii="Lucida Sans"/>
                            <w:w w:val="110"/>
                            <w:sz w:val="12"/>
                          </w:rPr>
                          <w:t>&amp; </w:t>
                        </w:r>
                        <w:r>
                          <w:rPr>
                            <w:w w:val="110"/>
                            <w:sz w:val="12"/>
                          </w:rPr>
                          <w:t>TSA</w:t>
                        </w:r>
                      </w:p>
                    </w:tc>
                    <w:tc>
                      <w:tcPr>
                        <w:tcW w:w="495" w:type="dxa"/>
                      </w:tcPr>
                      <w:p>
                        <w:pPr>
                          <w:pStyle w:val="TableParagraph"/>
                          <w:rPr>
                            <w:sz w:val="16"/>
                          </w:rPr>
                        </w:pPr>
                      </w:p>
                      <w:p>
                        <w:pPr>
                          <w:pStyle w:val="TableParagraph"/>
                          <w:spacing w:before="1"/>
                          <w:rPr>
                            <w:sz w:val="20"/>
                          </w:rPr>
                        </w:pPr>
                      </w:p>
                      <w:p>
                        <w:pPr>
                          <w:pStyle w:val="TableParagraph"/>
                          <w:spacing w:line="134" w:lineRule="exact"/>
                          <w:ind w:left="124"/>
                          <w:rPr>
                            <w:sz w:val="12"/>
                          </w:rPr>
                        </w:pPr>
                        <w:r>
                          <w:rPr>
                            <w:w w:val="126"/>
                            <w:sz w:val="12"/>
                          </w:rPr>
                          <w:t>1</w:t>
                        </w:r>
                      </w:p>
                    </w:tc>
                    <w:tc>
                      <w:tcPr>
                        <w:tcW w:w="837" w:type="dxa"/>
                      </w:tcPr>
                      <w:p>
                        <w:pPr>
                          <w:pStyle w:val="TableParagraph"/>
                          <w:rPr>
                            <w:sz w:val="16"/>
                          </w:rPr>
                        </w:pPr>
                      </w:p>
                      <w:p>
                        <w:pPr>
                          <w:pStyle w:val="TableParagraph"/>
                          <w:spacing w:before="1"/>
                          <w:rPr>
                            <w:sz w:val="20"/>
                          </w:rPr>
                        </w:pPr>
                      </w:p>
                      <w:p>
                        <w:pPr>
                          <w:pStyle w:val="TableParagraph"/>
                          <w:spacing w:line="134" w:lineRule="exact"/>
                          <w:ind w:right="139"/>
                          <w:jc w:val="right"/>
                          <w:rPr>
                            <w:sz w:val="12"/>
                          </w:rPr>
                        </w:pPr>
                        <w:r>
                          <w:rPr>
                            <w:w w:val="125"/>
                            <w:sz w:val="12"/>
                          </w:rPr>
                          <w:t>31</w:t>
                        </w:r>
                      </w:p>
                    </w:tc>
                    <w:tc>
                      <w:tcPr>
                        <w:tcW w:w="903" w:type="dxa"/>
                      </w:tcPr>
                      <w:p>
                        <w:pPr>
                          <w:pStyle w:val="TableParagraph"/>
                          <w:rPr>
                            <w:sz w:val="16"/>
                          </w:rPr>
                        </w:pPr>
                      </w:p>
                      <w:p>
                        <w:pPr>
                          <w:pStyle w:val="TableParagraph"/>
                          <w:spacing w:before="1"/>
                          <w:rPr>
                            <w:sz w:val="20"/>
                          </w:rPr>
                        </w:pPr>
                      </w:p>
                      <w:p>
                        <w:pPr>
                          <w:pStyle w:val="TableParagraph"/>
                          <w:spacing w:line="134" w:lineRule="exact"/>
                          <w:ind w:left="151"/>
                          <w:rPr>
                            <w:sz w:val="12"/>
                          </w:rPr>
                        </w:pPr>
                        <w:r>
                          <w:rPr>
                            <w:w w:val="105"/>
                            <w:sz w:val="12"/>
                          </w:rPr>
                          <w:t>0.0%</w:t>
                        </w:r>
                      </w:p>
                    </w:tc>
                    <w:tc>
                      <w:tcPr>
                        <w:tcW w:w="963" w:type="dxa"/>
                      </w:tcPr>
                      <w:p>
                        <w:pPr>
                          <w:pStyle w:val="TableParagraph"/>
                          <w:rPr>
                            <w:sz w:val="16"/>
                          </w:rPr>
                        </w:pPr>
                      </w:p>
                      <w:p>
                        <w:pPr>
                          <w:pStyle w:val="TableParagraph"/>
                          <w:spacing w:before="1"/>
                          <w:rPr>
                            <w:sz w:val="20"/>
                          </w:rPr>
                        </w:pPr>
                      </w:p>
                      <w:p>
                        <w:pPr>
                          <w:pStyle w:val="TableParagraph"/>
                          <w:spacing w:line="134" w:lineRule="exact"/>
                          <w:ind w:left="136"/>
                          <w:rPr>
                            <w:sz w:val="12"/>
                          </w:rPr>
                        </w:pPr>
                        <w:r>
                          <w:rPr>
                            <w:w w:val="105"/>
                            <w:sz w:val="12"/>
                          </w:rPr>
                          <w:t>6.5%</w:t>
                        </w:r>
                      </w:p>
                    </w:tc>
                    <w:tc>
                      <w:tcPr>
                        <w:tcW w:w="924" w:type="dxa"/>
                        <w:gridSpan w:val="2"/>
                      </w:tcPr>
                      <w:p>
                        <w:pPr>
                          <w:pStyle w:val="TableParagraph"/>
                          <w:rPr>
                            <w:sz w:val="16"/>
                          </w:rPr>
                        </w:pPr>
                      </w:p>
                      <w:p>
                        <w:pPr>
                          <w:pStyle w:val="TableParagraph"/>
                          <w:spacing w:before="1"/>
                          <w:rPr>
                            <w:sz w:val="20"/>
                          </w:rPr>
                        </w:pPr>
                      </w:p>
                      <w:p>
                        <w:pPr>
                          <w:pStyle w:val="TableParagraph"/>
                          <w:spacing w:line="134" w:lineRule="exact"/>
                          <w:ind w:left="138"/>
                          <w:rPr>
                            <w:sz w:val="12"/>
                          </w:rPr>
                        </w:pPr>
                        <w:r>
                          <w:rPr>
                            <w:w w:val="105"/>
                            <w:sz w:val="12"/>
                          </w:rPr>
                          <w:t>0.0%</w:t>
                        </w:r>
                      </w:p>
                    </w:tc>
                    <w:tc>
                      <w:tcPr>
                        <w:tcW w:w="1092" w:type="dxa"/>
                      </w:tcPr>
                      <w:p>
                        <w:pPr>
                          <w:pStyle w:val="TableParagraph"/>
                          <w:rPr>
                            <w:sz w:val="16"/>
                          </w:rPr>
                        </w:pPr>
                      </w:p>
                      <w:p>
                        <w:pPr>
                          <w:pStyle w:val="TableParagraph"/>
                          <w:spacing w:before="1"/>
                          <w:rPr>
                            <w:sz w:val="20"/>
                          </w:rPr>
                        </w:pPr>
                      </w:p>
                      <w:p>
                        <w:pPr>
                          <w:pStyle w:val="TableParagraph"/>
                          <w:spacing w:line="134" w:lineRule="exact"/>
                          <w:ind w:left="77"/>
                          <w:rPr>
                            <w:sz w:val="12"/>
                          </w:rPr>
                        </w:pPr>
                        <w:r>
                          <w:rPr>
                            <w:sz w:val="12"/>
                          </w:rPr>
                          <w:t>NR</w:t>
                        </w:r>
                      </w:p>
                    </w:tc>
                  </w:tr>
                  <w:tr>
                    <w:trPr>
                      <w:trHeight w:val="171" w:hRule="atLeast"/>
                    </w:trPr>
                    <w:tc>
                      <w:tcPr>
                        <w:tcW w:w="984" w:type="dxa"/>
                      </w:tcPr>
                      <w:p>
                        <w:pPr>
                          <w:pStyle w:val="TableParagraph"/>
                          <w:spacing w:line="134" w:lineRule="exact" w:before="17"/>
                          <w:ind w:left="247"/>
                          <w:rPr>
                            <w:sz w:val="12"/>
                          </w:rPr>
                        </w:pPr>
                        <w:r>
                          <w:rPr>
                            <w:w w:val="125"/>
                            <w:sz w:val="12"/>
                          </w:rPr>
                          <w:t>13</w:t>
                        </w:r>
                      </w:p>
                    </w:tc>
                    <w:tc>
                      <w:tcPr>
                        <w:tcW w:w="773" w:type="dxa"/>
                      </w:tcPr>
                      <w:p>
                        <w:pPr>
                          <w:pStyle w:val="TableParagraph"/>
                          <w:spacing w:line="134" w:lineRule="exact" w:before="17"/>
                          <w:ind w:left="34"/>
                          <w:rPr>
                            <w:sz w:val="12"/>
                          </w:rPr>
                        </w:pPr>
                        <w:r>
                          <w:rPr>
                            <w:w w:val="110"/>
                            <w:sz w:val="12"/>
                          </w:rPr>
                          <w:t>Barbed</w:t>
                        </w:r>
                      </w:p>
                    </w:tc>
                    <w:tc>
                      <w:tcPr>
                        <w:tcW w:w="986" w:type="dxa"/>
                      </w:tcPr>
                      <w:p>
                        <w:pPr>
                          <w:pStyle w:val="TableParagraph"/>
                          <w:spacing w:line="134" w:lineRule="exact" w:before="17"/>
                          <w:ind w:left="80"/>
                          <w:rPr>
                            <w:sz w:val="12"/>
                          </w:rPr>
                        </w:pPr>
                        <w:r>
                          <w:rPr>
                            <w:w w:val="110"/>
                            <w:sz w:val="12"/>
                          </w:rPr>
                          <w:t>Traditional</w:t>
                        </w:r>
                      </w:p>
                    </w:tc>
                    <w:tc>
                      <w:tcPr>
                        <w:tcW w:w="1122" w:type="dxa"/>
                      </w:tcPr>
                      <w:p>
                        <w:pPr>
                          <w:pStyle w:val="TableParagraph"/>
                          <w:rPr>
                            <w:rFonts w:ascii="Times New Roman"/>
                            <w:sz w:val="10"/>
                          </w:rPr>
                        </w:pPr>
                      </w:p>
                    </w:tc>
                    <w:tc>
                      <w:tcPr>
                        <w:tcW w:w="1309" w:type="dxa"/>
                      </w:tcPr>
                      <w:p>
                        <w:pPr>
                          <w:pStyle w:val="TableParagraph"/>
                          <w:spacing w:line="134" w:lineRule="exact" w:before="17"/>
                          <w:ind w:left="217"/>
                          <w:rPr>
                            <w:sz w:val="12"/>
                          </w:rPr>
                        </w:pPr>
                        <w:r>
                          <w:rPr>
                            <w:w w:val="115"/>
                            <w:sz w:val="12"/>
                          </w:rPr>
                          <w:t>Staples</w:t>
                        </w:r>
                      </w:p>
                    </w:tc>
                    <w:tc>
                      <w:tcPr>
                        <w:tcW w:w="495" w:type="dxa"/>
                      </w:tcPr>
                      <w:p>
                        <w:pPr>
                          <w:pStyle w:val="TableParagraph"/>
                          <w:spacing w:line="134" w:lineRule="exact" w:before="17"/>
                          <w:ind w:left="124"/>
                          <w:rPr>
                            <w:sz w:val="12"/>
                          </w:rPr>
                        </w:pPr>
                        <w:r>
                          <w:rPr>
                            <w:w w:val="126"/>
                            <w:sz w:val="12"/>
                          </w:rPr>
                          <w:t>4</w:t>
                        </w:r>
                      </w:p>
                    </w:tc>
                    <w:tc>
                      <w:tcPr>
                        <w:tcW w:w="837" w:type="dxa"/>
                      </w:tcPr>
                      <w:p>
                        <w:pPr>
                          <w:pStyle w:val="TableParagraph"/>
                          <w:spacing w:line="134" w:lineRule="exact" w:before="17"/>
                          <w:ind w:right="140"/>
                          <w:jc w:val="right"/>
                          <w:rPr>
                            <w:sz w:val="12"/>
                          </w:rPr>
                        </w:pPr>
                        <w:r>
                          <w:rPr>
                            <w:w w:val="125"/>
                            <w:sz w:val="12"/>
                          </w:rPr>
                          <w:t>1182</w:t>
                        </w:r>
                      </w:p>
                    </w:tc>
                    <w:tc>
                      <w:tcPr>
                        <w:tcW w:w="903" w:type="dxa"/>
                      </w:tcPr>
                      <w:p>
                        <w:pPr>
                          <w:pStyle w:val="TableParagraph"/>
                          <w:spacing w:line="134" w:lineRule="exact" w:before="17"/>
                          <w:ind w:left="151"/>
                          <w:rPr>
                            <w:sz w:val="12"/>
                          </w:rPr>
                        </w:pPr>
                        <w:r>
                          <w:rPr>
                            <w:w w:val="110"/>
                            <w:sz w:val="12"/>
                          </w:rPr>
                          <w:t>0.0% to 0.5%</w:t>
                        </w:r>
                      </w:p>
                    </w:tc>
                    <w:tc>
                      <w:tcPr>
                        <w:tcW w:w="963" w:type="dxa"/>
                      </w:tcPr>
                      <w:p>
                        <w:pPr>
                          <w:pStyle w:val="TableParagraph"/>
                          <w:spacing w:line="134" w:lineRule="exact" w:before="17"/>
                          <w:ind w:right="94"/>
                          <w:jc w:val="right"/>
                          <w:rPr>
                            <w:sz w:val="12"/>
                          </w:rPr>
                        </w:pPr>
                        <w:r>
                          <w:rPr>
                            <w:w w:val="110"/>
                            <w:sz w:val="12"/>
                          </w:rPr>
                          <w:t>0.0% to 5.0%</w:t>
                        </w:r>
                      </w:p>
                    </w:tc>
                    <w:tc>
                      <w:tcPr>
                        <w:tcW w:w="924" w:type="dxa"/>
                        <w:gridSpan w:val="2"/>
                      </w:tcPr>
                      <w:p>
                        <w:pPr>
                          <w:pStyle w:val="TableParagraph"/>
                          <w:spacing w:line="134" w:lineRule="exact" w:before="17"/>
                          <w:ind w:left="138"/>
                          <w:rPr>
                            <w:sz w:val="12"/>
                          </w:rPr>
                        </w:pPr>
                        <w:r>
                          <w:rPr>
                            <w:w w:val="105"/>
                            <w:sz w:val="12"/>
                          </w:rPr>
                          <w:t>0.1%</w:t>
                        </w:r>
                      </w:p>
                    </w:tc>
                    <w:tc>
                      <w:tcPr>
                        <w:tcW w:w="1092" w:type="dxa"/>
                      </w:tcPr>
                      <w:p>
                        <w:pPr>
                          <w:pStyle w:val="TableParagraph"/>
                          <w:spacing w:line="134" w:lineRule="exact" w:before="17"/>
                          <w:ind w:left="179"/>
                          <w:rPr>
                            <w:sz w:val="12"/>
                          </w:rPr>
                        </w:pPr>
                        <w:r>
                          <w:rPr>
                            <w:w w:val="110"/>
                            <w:sz w:val="12"/>
                          </w:rPr>
                          <w:t>0.3% to 11.0%</w:t>
                        </w:r>
                      </w:p>
                    </w:tc>
                  </w:tr>
                  <w:tr>
                    <w:trPr>
                      <w:trHeight w:val="514" w:hRule="atLeast"/>
                    </w:trPr>
                    <w:tc>
                      <w:tcPr>
                        <w:tcW w:w="984" w:type="dxa"/>
                      </w:tcPr>
                      <w:p>
                        <w:pPr>
                          <w:pStyle w:val="TableParagraph"/>
                          <w:spacing w:before="17"/>
                          <w:ind w:left="247"/>
                          <w:rPr>
                            <w:sz w:val="12"/>
                          </w:rPr>
                        </w:pPr>
                        <w:r>
                          <w:rPr>
                            <w:w w:val="125"/>
                            <w:sz w:val="12"/>
                          </w:rPr>
                          <w:t>14</w:t>
                        </w:r>
                      </w:p>
                      <w:p>
                        <w:pPr>
                          <w:pStyle w:val="TableParagraph"/>
                          <w:spacing w:before="6"/>
                          <w:rPr>
                            <w:sz w:val="15"/>
                          </w:rPr>
                        </w:pPr>
                      </w:p>
                      <w:p>
                        <w:pPr>
                          <w:pStyle w:val="TableParagraph"/>
                          <w:spacing w:line="135" w:lineRule="exact"/>
                          <w:ind w:left="247"/>
                          <w:rPr>
                            <w:sz w:val="12"/>
                          </w:rPr>
                        </w:pPr>
                        <w:r>
                          <w:rPr>
                            <w:w w:val="125"/>
                            <w:sz w:val="12"/>
                          </w:rPr>
                          <w:t>15</w:t>
                        </w:r>
                      </w:p>
                    </w:tc>
                    <w:tc>
                      <w:tcPr>
                        <w:tcW w:w="773" w:type="dxa"/>
                      </w:tcPr>
                      <w:p>
                        <w:pPr>
                          <w:pStyle w:val="TableParagraph"/>
                          <w:spacing w:before="17"/>
                          <w:ind w:left="34"/>
                          <w:rPr>
                            <w:sz w:val="12"/>
                          </w:rPr>
                        </w:pPr>
                        <w:r>
                          <w:rPr>
                            <w:w w:val="110"/>
                            <w:sz w:val="12"/>
                          </w:rPr>
                          <w:t>Barbed</w:t>
                        </w:r>
                      </w:p>
                      <w:p>
                        <w:pPr>
                          <w:pStyle w:val="TableParagraph"/>
                          <w:spacing w:before="6"/>
                          <w:rPr>
                            <w:sz w:val="15"/>
                          </w:rPr>
                        </w:pPr>
                      </w:p>
                      <w:p>
                        <w:pPr>
                          <w:pStyle w:val="TableParagraph"/>
                          <w:spacing w:line="135" w:lineRule="exact"/>
                          <w:ind w:left="34"/>
                          <w:rPr>
                            <w:sz w:val="12"/>
                          </w:rPr>
                        </w:pPr>
                        <w:r>
                          <w:rPr>
                            <w:w w:val="110"/>
                            <w:sz w:val="12"/>
                          </w:rPr>
                          <w:t>Barbed</w:t>
                        </w:r>
                      </w:p>
                    </w:tc>
                    <w:tc>
                      <w:tcPr>
                        <w:tcW w:w="986" w:type="dxa"/>
                      </w:tcPr>
                      <w:p>
                        <w:pPr>
                          <w:pStyle w:val="TableParagraph"/>
                          <w:spacing w:before="17"/>
                          <w:ind w:left="80"/>
                          <w:rPr>
                            <w:sz w:val="12"/>
                          </w:rPr>
                        </w:pPr>
                        <w:r>
                          <w:rPr>
                            <w:w w:val="110"/>
                            <w:sz w:val="12"/>
                          </w:rPr>
                          <w:t>Traditional</w:t>
                        </w:r>
                      </w:p>
                      <w:p>
                        <w:pPr>
                          <w:pStyle w:val="TableParagraph"/>
                          <w:spacing w:before="6"/>
                          <w:rPr>
                            <w:sz w:val="15"/>
                          </w:rPr>
                        </w:pPr>
                      </w:p>
                      <w:p>
                        <w:pPr>
                          <w:pStyle w:val="TableParagraph"/>
                          <w:spacing w:line="135" w:lineRule="exact"/>
                          <w:ind w:left="80"/>
                          <w:rPr>
                            <w:sz w:val="12"/>
                          </w:rPr>
                        </w:pPr>
                        <w:r>
                          <w:rPr>
                            <w:w w:val="110"/>
                            <w:sz w:val="12"/>
                          </w:rPr>
                          <w:t>Traditional</w:t>
                        </w:r>
                      </w:p>
                    </w:tc>
                    <w:tc>
                      <w:tcPr>
                        <w:tcW w:w="1122" w:type="dxa"/>
                      </w:tcPr>
                      <w:p>
                        <w:pPr>
                          <w:pStyle w:val="TableParagraph"/>
                          <w:spacing w:before="17"/>
                          <w:ind w:left="247"/>
                          <w:rPr>
                            <w:sz w:val="12"/>
                          </w:rPr>
                        </w:pPr>
                        <w:r>
                          <w:rPr>
                            <w:w w:val="110"/>
                            <w:sz w:val="12"/>
                          </w:rPr>
                          <w:t>Traditional</w:t>
                        </w:r>
                      </w:p>
                      <w:p>
                        <w:pPr>
                          <w:pStyle w:val="TableParagraph"/>
                          <w:spacing w:before="6"/>
                          <w:rPr>
                            <w:sz w:val="15"/>
                          </w:rPr>
                        </w:pPr>
                      </w:p>
                      <w:p>
                        <w:pPr>
                          <w:pStyle w:val="TableParagraph"/>
                          <w:spacing w:line="135" w:lineRule="exact"/>
                          <w:ind w:left="247"/>
                          <w:rPr>
                            <w:sz w:val="12"/>
                          </w:rPr>
                        </w:pPr>
                        <w:r>
                          <w:rPr>
                            <w:w w:val="110"/>
                            <w:sz w:val="12"/>
                          </w:rPr>
                          <w:t>Traditional</w:t>
                        </w:r>
                      </w:p>
                    </w:tc>
                    <w:tc>
                      <w:tcPr>
                        <w:tcW w:w="1309" w:type="dxa"/>
                      </w:tcPr>
                      <w:p>
                        <w:pPr>
                          <w:pStyle w:val="TableParagraph"/>
                          <w:spacing w:line="273" w:lineRule="auto" w:before="17"/>
                          <w:ind w:left="217" w:right="222" w:hanging="1"/>
                          <w:rPr>
                            <w:sz w:val="12"/>
                          </w:rPr>
                        </w:pPr>
                        <w:r>
                          <w:rPr>
                            <w:w w:val="110"/>
                            <w:sz w:val="12"/>
                          </w:rPr>
                          <w:t>Traditional sutures </w:t>
                        </w:r>
                        <w:r>
                          <w:rPr>
                            <w:rFonts w:ascii="Lucida Sans"/>
                            <w:w w:val="110"/>
                            <w:sz w:val="12"/>
                          </w:rPr>
                          <w:t>&amp; </w:t>
                        </w:r>
                        <w:r>
                          <w:rPr>
                            <w:w w:val="110"/>
                            <w:sz w:val="12"/>
                          </w:rPr>
                          <w:t>TSA</w:t>
                        </w:r>
                      </w:p>
                      <w:p>
                        <w:pPr>
                          <w:pStyle w:val="TableParagraph"/>
                          <w:spacing w:line="135" w:lineRule="exact" w:before="1"/>
                          <w:ind w:left="217"/>
                          <w:rPr>
                            <w:sz w:val="12"/>
                          </w:rPr>
                        </w:pPr>
                        <w:r>
                          <w:rPr>
                            <w:w w:val="110"/>
                            <w:sz w:val="12"/>
                          </w:rPr>
                          <w:t>Traditional</w:t>
                        </w:r>
                      </w:p>
                    </w:tc>
                    <w:tc>
                      <w:tcPr>
                        <w:tcW w:w="495" w:type="dxa"/>
                      </w:tcPr>
                      <w:p>
                        <w:pPr>
                          <w:pStyle w:val="TableParagraph"/>
                          <w:spacing w:before="17"/>
                          <w:ind w:left="124"/>
                          <w:rPr>
                            <w:sz w:val="12"/>
                          </w:rPr>
                        </w:pPr>
                        <w:r>
                          <w:rPr>
                            <w:w w:val="126"/>
                            <w:sz w:val="12"/>
                          </w:rPr>
                          <w:t>2</w:t>
                        </w:r>
                      </w:p>
                      <w:p>
                        <w:pPr>
                          <w:pStyle w:val="TableParagraph"/>
                          <w:spacing w:before="6"/>
                          <w:rPr>
                            <w:sz w:val="15"/>
                          </w:rPr>
                        </w:pPr>
                      </w:p>
                      <w:p>
                        <w:pPr>
                          <w:pStyle w:val="TableParagraph"/>
                          <w:spacing w:line="135" w:lineRule="exact"/>
                          <w:ind w:left="124"/>
                          <w:rPr>
                            <w:sz w:val="12"/>
                          </w:rPr>
                        </w:pPr>
                        <w:r>
                          <w:rPr>
                            <w:w w:val="126"/>
                            <w:sz w:val="12"/>
                          </w:rPr>
                          <w:t>3</w:t>
                        </w:r>
                      </w:p>
                    </w:tc>
                    <w:tc>
                      <w:tcPr>
                        <w:tcW w:w="837" w:type="dxa"/>
                      </w:tcPr>
                      <w:p>
                        <w:pPr>
                          <w:pStyle w:val="TableParagraph"/>
                          <w:spacing w:before="17"/>
                          <w:ind w:left="543"/>
                          <w:rPr>
                            <w:sz w:val="12"/>
                          </w:rPr>
                        </w:pPr>
                        <w:r>
                          <w:rPr>
                            <w:w w:val="125"/>
                            <w:sz w:val="12"/>
                          </w:rPr>
                          <w:t>37</w:t>
                        </w:r>
                      </w:p>
                      <w:p>
                        <w:pPr>
                          <w:pStyle w:val="TableParagraph"/>
                          <w:spacing w:before="6"/>
                          <w:rPr>
                            <w:sz w:val="15"/>
                          </w:rPr>
                        </w:pPr>
                      </w:p>
                      <w:p>
                        <w:pPr>
                          <w:pStyle w:val="TableParagraph"/>
                          <w:spacing w:line="135" w:lineRule="exact"/>
                          <w:ind w:left="543"/>
                          <w:rPr>
                            <w:sz w:val="12"/>
                          </w:rPr>
                        </w:pPr>
                        <w:r>
                          <w:rPr>
                            <w:w w:val="125"/>
                            <w:sz w:val="12"/>
                          </w:rPr>
                          <w:t>99</w:t>
                        </w:r>
                      </w:p>
                    </w:tc>
                    <w:tc>
                      <w:tcPr>
                        <w:tcW w:w="903" w:type="dxa"/>
                      </w:tcPr>
                      <w:p>
                        <w:pPr>
                          <w:pStyle w:val="TableParagraph"/>
                          <w:spacing w:before="17"/>
                          <w:ind w:left="151"/>
                          <w:rPr>
                            <w:sz w:val="12"/>
                          </w:rPr>
                        </w:pPr>
                        <w:r>
                          <w:rPr>
                            <w:w w:val="110"/>
                            <w:sz w:val="12"/>
                          </w:rPr>
                          <w:t>0.0% to</w:t>
                        </w:r>
                        <w:r>
                          <w:rPr>
                            <w:spacing w:val="-5"/>
                            <w:w w:val="110"/>
                            <w:sz w:val="12"/>
                          </w:rPr>
                          <w:t> </w:t>
                        </w:r>
                        <w:r>
                          <w:rPr>
                            <w:w w:val="110"/>
                            <w:sz w:val="12"/>
                          </w:rPr>
                          <w:t>0.0%</w:t>
                        </w:r>
                      </w:p>
                      <w:p>
                        <w:pPr>
                          <w:pStyle w:val="TableParagraph"/>
                          <w:spacing w:before="6"/>
                          <w:rPr>
                            <w:sz w:val="15"/>
                          </w:rPr>
                        </w:pPr>
                      </w:p>
                      <w:p>
                        <w:pPr>
                          <w:pStyle w:val="TableParagraph"/>
                          <w:spacing w:line="135" w:lineRule="exact"/>
                          <w:ind w:left="151"/>
                          <w:rPr>
                            <w:sz w:val="12"/>
                          </w:rPr>
                        </w:pPr>
                        <w:r>
                          <w:rPr>
                            <w:w w:val="110"/>
                            <w:sz w:val="12"/>
                          </w:rPr>
                          <w:t>0.0% to</w:t>
                        </w:r>
                        <w:r>
                          <w:rPr>
                            <w:spacing w:val="-5"/>
                            <w:w w:val="110"/>
                            <w:sz w:val="12"/>
                          </w:rPr>
                          <w:t> </w:t>
                        </w:r>
                        <w:r>
                          <w:rPr>
                            <w:w w:val="110"/>
                            <w:sz w:val="12"/>
                          </w:rPr>
                          <w:t>0.0%</w:t>
                        </w:r>
                      </w:p>
                    </w:tc>
                    <w:tc>
                      <w:tcPr>
                        <w:tcW w:w="963" w:type="dxa"/>
                      </w:tcPr>
                      <w:p>
                        <w:pPr>
                          <w:pStyle w:val="TableParagraph"/>
                          <w:spacing w:before="17"/>
                          <w:ind w:left="60"/>
                          <w:rPr>
                            <w:sz w:val="12"/>
                          </w:rPr>
                        </w:pPr>
                        <w:r>
                          <w:rPr>
                            <w:w w:val="115"/>
                            <w:sz w:val="12"/>
                          </w:rPr>
                          <w:t>21.0% to</w:t>
                        </w:r>
                        <w:r>
                          <w:rPr>
                            <w:spacing w:val="-24"/>
                            <w:w w:val="115"/>
                            <w:sz w:val="12"/>
                          </w:rPr>
                          <w:t> </w:t>
                        </w:r>
                        <w:r>
                          <w:rPr>
                            <w:w w:val="115"/>
                            <w:sz w:val="12"/>
                          </w:rPr>
                          <w:t>33.0%</w:t>
                        </w:r>
                      </w:p>
                      <w:p>
                        <w:pPr>
                          <w:pStyle w:val="TableParagraph"/>
                          <w:spacing w:before="6"/>
                          <w:rPr>
                            <w:sz w:val="15"/>
                          </w:rPr>
                        </w:pPr>
                      </w:p>
                      <w:p>
                        <w:pPr>
                          <w:pStyle w:val="TableParagraph"/>
                          <w:spacing w:line="135" w:lineRule="exact"/>
                          <w:ind w:left="136"/>
                          <w:rPr>
                            <w:sz w:val="12"/>
                          </w:rPr>
                        </w:pPr>
                        <w:r>
                          <w:rPr>
                            <w:w w:val="110"/>
                            <w:sz w:val="12"/>
                          </w:rPr>
                          <w:t>0.0% to</w:t>
                        </w:r>
                        <w:r>
                          <w:rPr>
                            <w:spacing w:val="5"/>
                            <w:w w:val="110"/>
                            <w:sz w:val="12"/>
                          </w:rPr>
                          <w:t> </w:t>
                        </w:r>
                        <w:r>
                          <w:rPr>
                            <w:w w:val="110"/>
                            <w:sz w:val="12"/>
                          </w:rPr>
                          <w:t>26.0%</w:t>
                        </w:r>
                      </w:p>
                    </w:tc>
                    <w:tc>
                      <w:tcPr>
                        <w:tcW w:w="924" w:type="dxa"/>
                        <w:gridSpan w:val="2"/>
                      </w:tcPr>
                      <w:p>
                        <w:pPr>
                          <w:pStyle w:val="TableParagraph"/>
                          <w:spacing w:before="17"/>
                          <w:ind w:left="138"/>
                          <w:rPr>
                            <w:sz w:val="12"/>
                          </w:rPr>
                        </w:pPr>
                        <w:r>
                          <w:rPr>
                            <w:w w:val="110"/>
                            <w:sz w:val="12"/>
                          </w:rPr>
                          <w:t>0.0% to 0.0%</w:t>
                        </w:r>
                      </w:p>
                      <w:p>
                        <w:pPr>
                          <w:pStyle w:val="TableParagraph"/>
                          <w:spacing w:before="6"/>
                          <w:rPr>
                            <w:sz w:val="15"/>
                          </w:rPr>
                        </w:pPr>
                      </w:p>
                      <w:p>
                        <w:pPr>
                          <w:pStyle w:val="TableParagraph"/>
                          <w:spacing w:line="135" w:lineRule="exact"/>
                          <w:ind w:left="138"/>
                          <w:rPr>
                            <w:sz w:val="12"/>
                          </w:rPr>
                        </w:pPr>
                        <w:r>
                          <w:rPr>
                            <w:w w:val="105"/>
                            <w:sz w:val="12"/>
                          </w:rPr>
                          <w:t>0.0%</w:t>
                        </w:r>
                      </w:p>
                    </w:tc>
                    <w:tc>
                      <w:tcPr>
                        <w:tcW w:w="1092" w:type="dxa"/>
                      </w:tcPr>
                      <w:p>
                        <w:pPr>
                          <w:pStyle w:val="TableParagraph"/>
                          <w:spacing w:before="17"/>
                          <w:ind w:left="179"/>
                          <w:rPr>
                            <w:sz w:val="12"/>
                          </w:rPr>
                        </w:pPr>
                        <w:r>
                          <w:rPr>
                            <w:w w:val="110"/>
                            <w:sz w:val="12"/>
                          </w:rPr>
                          <w:t>5.0% to</w:t>
                        </w:r>
                        <w:r>
                          <w:rPr>
                            <w:spacing w:val="-5"/>
                            <w:w w:val="110"/>
                            <w:sz w:val="12"/>
                          </w:rPr>
                          <w:t> </w:t>
                        </w:r>
                        <w:r>
                          <w:rPr>
                            <w:w w:val="110"/>
                            <w:sz w:val="12"/>
                          </w:rPr>
                          <w:t>6.0%</w:t>
                        </w:r>
                      </w:p>
                      <w:p>
                        <w:pPr>
                          <w:pStyle w:val="TableParagraph"/>
                          <w:spacing w:before="6"/>
                          <w:rPr>
                            <w:sz w:val="15"/>
                          </w:rPr>
                        </w:pPr>
                      </w:p>
                      <w:p>
                        <w:pPr>
                          <w:pStyle w:val="TableParagraph"/>
                          <w:spacing w:line="135" w:lineRule="exact"/>
                          <w:ind w:left="179"/>
                          <w:rPr>
                            <w:sz w:val="12"/>
                          </w:rPr>
                        </w:pPr>
                        <w:r>
                          <w:rPr>
                            <w:w w:val="110"/>
                            <w:sz w:val="12"/>
                          </w:rPr>
                          <w:t>0.0% to</w:t>
                        </w:r>
                        <w:r>
                          <w:rPr>
                            <w:spacing w:val="-5"/>
                            <w:w w:val="110"/>
                            <w:sz w:val="12"/>
                          </w:rPr>
                          <w:t> </w:t>
                        </w:r>
                        <w:r>
                          <w:rPr>
                            <w:w w:val="110"/>
                            <w:sz w:val="12"/>
                          </w:rPr>
                          <w:t>5.0%</w:t>
                        </w:r>
                      </w:p>
                    </w:tc>
                  </w:tr>
                  <w:tr>
                    <w:trPr>
                      <w:trHeight w:val="342" w:hRule="atLeast"/>
                    </w:trPr>
                    <w:tc>
                      <w:tcPr>
                        <w:tcW w:w="984" w:type="dxa"/>
                      </w:tcPr>
                      <w:p>
                        <w:pPr>
                          <w:pStyle w:val="TableParagraph"/>
                          <w:spacing w:before="2"/>
                          <w:rPr>
                            <w:sz w:val="15"/>
                          </w:rPr>
                        </w:pPr>
                      </w:p>
                      <w:p>
                        <w:pPr>
                          <w:pStyle w:val="TableParagraph"/>
                          <w:spacing w:line="134" w:lineRule="exact"/>
                          <w:ind w:left="118"/>
                          <w:rPr>
                            <w:sz w:val="12"/>
                          </w:rPr>
                        </w:pPr>
                        <w:r>
                          <w:rPr>
                            <w:w w:val="110"/>
                            <w:sz w:val="12"/>
                          </w:rPr>
                          <w:t>Cateogory</w:t>
                        </w:r>
                      </w:p>
                    </w:tc>
                    <w:tc>
                      <w:tcPr>
                        <w:tcW w:w="773" w:type="dxa"/>
                      </w:tcPr>
                      <w:p>
                        <w:pPr>
                          <w:pStyle w:val="TableParagraph"/>
                          <w:rPr>
                            <w:rFonts w:ascii="Times New Roman"/>
                            <w:sz w:val="14"/>
                          </w:rPr>
                        </w:pPr>
                      </w:p>
                    </w:tc>
                    <w:tc>
                      <w:tcPr>
                        <w:tcW w:w="986" w:type="dxa"/>
                      </w:tcPr>
                      <w:p>
                        <w:pPr>
                          <w:pStyle w:val="TableParagraph"/>
                          <w:rPr>
                            <w:rFonts w:ascii="Times New Roman"/>
                            <w:sz w:val="14"/>
                          </w:rPr>
                        </w:pPr>
                      </w:p>
                    </w:tc>
                    <w:tc>
                      <w:tcPr>
                        <w:tcW w:w="1122" w:type="dxa"/>
                      </w:tcPr>
                      <w:p>
                        <w:pPr>
                          <w:pStyle w:val="TableParagraph"/>
                          <w:rPr>
                            <w:rFonts w:ascii="Times New Roman"/>
                            <w:sz w:val="14"/>
                          </w:rPr>
                        </w:pPr>
                      </w:p>
                    </w:tc>
                    <w:tc>
                      <w:tcPr>
                        <w:tcW w:w="1309" w:type="dxa"/>
                      </w:tcPr>
                      <w:p>
                        <w:pPr>
                          <w:pStyle w:val="TableParagraph"/>
                          <w:spacing w:before="17"/>
                          <w:ind w:left="217"/>
                          <w:rPr>
                            <w:sz w:val="12"/>
                          </w:rPr>
                        </w:pPr>
                        <w:r>
                          <w:rPr>
                            <w:w w:val="115"/>
                            <w:sz w:val="12"/>
                          </w:rPr>
                          <w:t>sutures</w:t>
                        </w:r>
                      </w:p>
                    </w:tc>
                    <w:tc>
                      <w:tcPr>
                        <w:tcW w:w="495" w:type="dxa"/>
                      </w:tcPr>
                      <w:p>
                        <w:pPr>
                          <w:pStyle w:val="TableParagraph"/>
                          <w:rPr>
                            <w:rFonts w:ascii="Times New Roman"/>
                            <w:sz w:val="14"/>
                          </w:rPr>
                        </w:pPr>
                      </w:p>
                    </w:tc>
                    <w:tc>
                      <w:tcPr>
                        <w:tcW w:w="837" w:type="dxa"/>
                      </w:tcPr>
                      <w:p>
                        <w:pPr>
                          <w:pStyle w:val="TableParagraph"/>
                          <w:rPr>
                            <w:rFonts w:ascii="Times New Roman"/>
                            <w:sz w:val="14"/>
                          </w:rPr>
                        </w:pPr>
                      </w:p>
                    </w:tc>
                    <w:tc>
                      <w:tcPr>
                        <w:tcW w:w="903" w:type="dxa"/>
                      </w:tcPr>
                      <w:p>
                        <w:pPr>
                          <w:pStyle w:val="TableParagraph"/>
                          <w:rPr>
                            <w:rFonts w:ascii="Times New Roman"/>
                            <w:sz w:val="14"/>
                          </w:rPr>
                        </w:pPr>
                      </w:p>
                    </w:tc>
                    <w:tc>
                      <w:tcPr>
                        <w:tcW w:w="963" w:type="dxa"/>
                      </w:tcPr>
                      <w:p>
                        <w:pPr>
                          <w:pStyle w:val="TableParagraph"/>
                          <w:rPr>
                            <w:rFonts w:ascii="Times New Roman"/>
                            <w:sz w:val="14"/>
                          </w:rPr>
                        </w:pPr>
                      </w:p>
                    </w:tc>
                    <w:tc>
                      <w:tcPr>
                        <w:tcW w:w="924" w:type="dxa"/>
                        <w:gridSpan w:val="2"/>
                      </w:tcPr>
                      <w:p>
                        <w:pPr>
                          <w:pStyle w:val="TableParagraph"/>
                          <w:rPr>
                            <w:rFonts w:ascii="Times New Roman"/>
                            <w:sz w:val="14"/>
                          </w:rPr>
                        </w:pPr>
                      </w:p>
                    </w:tc>
                    <w:tc>
                      <w:tcPr>
                        <w:tcW w:w="1092" w:type="dxa"/>
                      </w:tcPr>
                      <w:p>
                        <w:pPr>
                          <w:pStyle w:val="TableParagraph"/>
                          <w:rPr>
                            <w:rFonts w:ascii="Times New Roman"/>
                            <w:sz w:val="14"/>
                          </w:rPr>
                        </w:pPr>
                      </w:p>
                    </w:tc>
                  </w:tr>
                  <w:tr>
                    <w:trPr>
                      <w:trHeight w:val="342" w:hRule="atLeast"/>
                    </w:trPr>
                    <w:tc>
                      <w:tcPr>
                        <w:tcW w:w="984" w:type="dxa"/>
                      </w:tcPr>
                      <w:p>
                        <w:pPr>
                          <w:pStyle w:val="TableParagraph"/>
                          <w:spacing w:before="17"/>
                          <w:ind w:left="278"/>
                          <w:rPr>
                            <w:sz w:val="12"/>
                          </w:rPr>
                        </w:pPr>
                        <w:r>
                          <w:rPr>
                            <w:w w:val="110"/>
                            <w:sz w:val="12"/>
                          </w:rPr>
                          <w:t>Five</w:t>
                        </w:r>
                      </w:p>
                      <w:p>
                        <w:pPr>
                          <w:pStyle w:val="TableParagraph"/>
                          <w:spacing w:line="134" w:lineRule="exact" w:before="22"/>
                          <w:ind w:left="247"/>
                          <w:rPr>
                            <w:sz w:val="12"/>
                          </w:rPr>
                        </w:pPr>
                        <w:r>
                          <w:rPr>
                            <w:w w:val="125"/>
                            <w:sz w:val="12"/>
                          </w:rPr>
                          <w:t>16</w:t>
                        </w:r>
                      </w:p>
                    </w:tc>
                    <w:tc>
                      <w:tcPr>
                        <w:tcW w:w="773" w:type="dxa"/>
                      </w:tcPr>
                      <w:p>
                        <w:pPr>
                          <w:pStyle w:val="TableParagraph"/>
                          <w:spacing w:before="1"/>
                          <w:rPr>
                            <w:sz w:val="15"/>
                          </w:rPr>
                        </w:pPr>
                      </w:p>
                      <w:p>
                        <w:pPr>
                          <w:pStyle w:val="TableParagraph"/>
                          <w:spacing w:line="134" w:lineRule="exact"/>
                          <w:ind w:left="34"/>
                          <w:rPr>
                            <w:sz w:val="12"/>
                          </w:rPr>
                        </w:pPr>
                        <w:r>
                          <w:rPr>
                            <w:w w:val="110"/>
                            <w:sz w:val="12"/>
                          </w:rPr>
                          <w:t>Barbed</w:t>
                        </w:r>
                      </w:p>
                    </w:tc>
                    <w:tc>
                      <w:tcPr>
                        <w:tcW w:w="986" w:type="dxa"/>
                      </w:tcPr>
                      <w:p>
                        <w:pPr>
                          <w:pStyle w:val="TableParagraph"/>
                          <w:spacing w:before="1"/>
                          <w:rPr>
                            <w:sz w:val="15"/>
                          </w:rPr>
                        </w:pPr>
                      </w:p>
                      <w:p>
                        <w:pPr>
                          <w:pStyle w:val="TableParagraph"/>
                          <w:spacing w:line="134" w:lineRule="exact"/>
                          <w:ind w:left="80"/>
                          <w:rPr>
                            <w:sz w:val="12"/>
                          </w:rPr>
                        </w:pPr>
                        <w:r>
                          <w:rPr>
                            <w:w w:val="110"/>
                            <w:sz w:val="12"/>
                          </w:rPr>
                          <w:t>Barbed</w:t>
                        </w:r>
                      </w:p>
                    </w:tc>
                    <w:tc>
                      <w:tcPr>
                        <w:tcW w:w="1122" w:type="dxa"/>
                      </w:tcPr>
                      <w:p>
                        <w:pPr>
                          <w:pStyle w:val="TableParagraph"/>
                          <w:rPr>
                            <w:rFonts w:ascii="Times New Roman"/>
                            <w:sz w:val="14"/>
                          </w:rPr>
                        </w:pPr>
                      </w:p>
                    </w:tc>
                    <w:tc>
                      <w:tcPr>
                        <w:tcW w:w="1309" w:type="dxa"/>
                      </w:tcPr>
                      <w:p>
                        <w:pPr>
                          <w:pStyle w:val="TableParagraph"/>
                          <w:spacing w:before="1"/>
                          <w:rPr>
                            <w:sz w:val="15"/>
                          </w:rPr>
                        </w:pPr>
                      </w:p>
                      <w:p>
                        <w:pPr>
                          <w:pStyle w:val="TableParagraph"/>
                          <w:spacing w:line="134" w:lineRule="exact"/>
                          <w:ind w:left="217"/>
                          <w:rPr>
                            <w:sz w:val="12"/>
                          </w:rPr>
                        </w:pPr>
                        <w:r>
                          <w:rPr>
                            <w:w w:val="115"/>
                            <w:sz w:val="12"/>
                          </w:rPr>
                          <w:t>Staples</w:t>
                        </w:r>
                      </w:p>
                    </w:tc>
                    <w:tc>
                      <w:tcPr>
                        <w:tcW w:w="495" w:type="dxa"/>
                      </w:tcPr>
                      <w:p>
                        <w:pPr>
                          <w:pStyle w:val="TableParagraph"/>
                          <w:spacing w:before="1"/>
                          <w:rPr>
                            <w:sz w:val="15"/>
                          </w:rPr>
                        </w:pPr>
                      </w:p>
                      <w:p>
                        <w:pPr>
                          <w:pStyle w:val="TableParagraph"/>
                          <w:spacing w:line="134" w:lineRule="exact"/>
                          <w:ind w:left="124"/>
                          <w:rPr>
                            <w:sz w:val="12"/>
                          </w:rPr>
                        </w:pPr>
                        <w:r>
                          <w:rPr>
                            <w:w w:val="126"/>
                            <w:sz w:val="12"/>
                          </w:rPr>
                          <w:t>3</w:t>
                        </w:r>
                      </w:p>
                    </w:tc>
                    <w:tc>
                      <w:tcPr>
                        <w:tcW w:w="837" w:type="dxa"/>
                      </w:tcPr>
                      <w:p>
                        <w:pPr>
                          <w:pStyle w:val="TableParagraph"/>
                          <w:spacing w:before="1"/>
                          <w:rPr>
                            <w:sz w:val="15"/>
                          </w:rPr>
                        </w:pPr>
                      </w:p>
                      <w:p>
                        <w:pPr>
                          <w:pStyle w:val="TableParagraph"/>
                          <w:spacing w:line="134" w:lineRule="exact"/>
                          <w:ind w:right="140"/>
                          <w:jc w:val="right"/>
                          <w:rPr>
                            <w:sz w:val="12"/>
                          </w:rPr>
                        </w:pPr>
                        <w:r>
                          <w:rPr>
                            <w:w w:val="125"/>
                            <w:sz w:val="12"/>
                          </w:rPr>
                          <w:t>194</w:t>
                        </w:r>
                      </w:p>
                    </w:tc>
                    <w:tc>
                      <w:tcPr>
                        <w:tcW w:w="903" w:type="dxa"/>
                      </w:tcPr>
                      <w:p>
                        <w:pPr>
                          <w:pStyle w:val="TableParagraph"/>
                          <w:spacing w:before="1"/>
                          <w:rPr>
                            <w:sz w:val="15"/>
                          </w:rPr>
                        </w:pPr>
                      </w:p>
                      <w:p>
                        <w:pPr>
                          <w:pStyle w:val="TableParagraph"/>
                          <w:spacing w:line="134" w:lineRule="exact"/>
                          <w:ind w:left="151"/>
                          <w:rPr>
                            <w:sz w:val="12"/>
                          </w:rPr>
                        </w:pPr>
                        <w:r>
                          <w:rPr>
                            <w:w w:val="105"/>
                            <w:sz w:val="12"/>
                          </w:rPr>
                          <w:t>0.0%</w:t>
                        </w:r>
                      </w:p>
                    </w:tc>
                    <w:tc>
                      <w:tcPr>
                        <w:tcW w:w="963" w:type="dxa"/>
                      </w:tcPr>
                      <w:p>
                        <w:pPr>
                          <w:pStyle w:val="TableParagraph"/>
                          <w:spacing w:before="1"/>
                          <w:rPr>
                            <w:sz w:val="15"/>
                          </w:rPr>
                        </w:pPr>
                      </w:p>
                      <w:p>
                        <w:pPr>
                          <w:pStyle w:val="TableParagraph"/>
                          <w:spacing w:line="134" w:lineRule="exact"/>
                          <w:ind w:right="94"/>
                          <w:jc w:val="right"/>
                          <w:rPr>
                            <w:sz w:val="12"/>
                          </w:rPr>
                        </w:pPr>
                        <w:r>
                          <w:rPr>
                            <w:w w:val="110"/>
                            <w:sz w:val="12"/>
                          </w:rPr>
                          <w:t>0.0% to 7.5%</w:t>
                        </w:r>
                      </w:p>
                    </w:tc>
                    <w:tc>
                      <w:tcPr>
                        <w:tcW w:w="924" w:type="dxa"/>
                        <w:gridSpan w:val="2"/>
                      </w:tcPr>
                      <w:p>
                        <w:pPr>
                          <w:pStyle w:val="TableParagraph"/>
                          <w:spacing w:before="1"/>
                          <w:rPr>
                            <w:sz w:val="15"/>
                          </w:rPr>
                        </w:pPr>
                      </w:p>
                      <w:p>
                        <w:pPr>
                          <w:pStyle w:val="TableParagraph"/>
                          <w:spacing w:line="134" w:lineRule="exact"/>
                          <w:ind w:left="36"/>
                          <w:rPr>
                            <w:sz w:val="12"/>
                          </w:rPr>
                        </w:pPr>
                        <w:r>
                          <w:rPr>
                            <w:sz w:val="12"/>
                          </w:rPr>
                          <w:t>NR</w:t>
                        </w:r>
                      </w:p>
                    </w:tc>
                    <w:tc>
                      <w:tcPr>
                        <w:tcW w:w="1092" w:type="dxa"/>
                      </w:tcPr>
                      <w:p>
                        <w:pPr>
                          <w:pStyle w:val="TableParagraph"/>
                          <w:spacing w:before="1"/>
                          <w:rPr>
                            <w:sz w:val="15"/>
                          </w:rPr>
                        </w:pPr>
                      </w:p>
                      <w:p>
                        <w:pPr>
                          <w:pStyle w:val="TableParagraph"/>
                          <w:spacing w:line="134" w:lineRule="exact"/>
                          <w:ind w:left="179"/>
                          <w:rPr>
                            <w:sz w:val="12"/>
                          </w:rPr>
                        </w:pPr>
                        <w:r>
                          <w:rPr>
                            <w:w w:val="110"/>
                            <w:sz w:val="12"/>
                          </w:rPr>
                          <w:t>1.0% to 5.0%</w:t>
                        </w:r>
                      </w:p>
                    </w:tc>
                  </w:tr>
                  <w:tr>
                    <w:trPr>
                      <w:trHeight w:val="171" w:hRule="atLeast"/>
                    </w:trPr>
                    <w:tc>
                      <w:tcPr>
                        <w:tcW w:w="984" w:type="dxa"/>
                      </w:tcPr>
                      <w:p>
                        <w:pPr>
                          <w:pStyle w:val="TableParagraph"/>
                          <w:spacing w:line="134" w:lineRule="exact" w:before="17"/>
                          <w:ind w:left="247"/>
                          <w:rPr>
                            <w:sz w:val="12"/>
                          </w:rPr>
                        </w:pPr>
                        <w:r>
                          <w:rPr>
                            <w:w w:val="125"/>
                            <w:sz w:val="12"/>
                          </w:rPr>
                          <w:t>17</w:t>
                        </w:r>
                      </w:p>
                    </w:tc>
                    <w:tc>
                      <w:tcPr>
                        <w:tcW w:w="773" w:type="dxa"/>
                      </w:tcPr>
                      <w:p>
                        <w:pPr>
                          <w:pStyle w:val="TableParagraph"/>
                          <w:spacing w:line="134" w:lineRule="exact" w:before="17"/>
                          <w:ind w:left="34"/>
                          <w:rPr>
                            <w:sz w:val="12"/>
                          </w:rPr>
                        </w:pPr>
                        <w:r>
                          <w:rPr>
                            <w:w w:val="110"/>
                            <w:sz w:val="12"/>
                          </w:rPr>
                          <w:t>Barbed</w:t>
                        </w:r>
                      </w:p>
                    </w:tc>
                    <w:tc>
                      <w:tcPr>
                        <w:tcW w:w="986" w:type="dxa"/>
                      </w:tcPr>
                      <w:p>
                        <w:pPr>
                          <w:pStyle w:val="TableParagraph"/>
                          <w:spacing w:line="134" w:lineRule="exact" w:before="17"/>
                          <w:ind w:left="80"/>
                          <w:rPr>
                            <w:sz w:val="12"/>
                          </w:rPr>
                        </w:pPr>
                        <w:r>
                          <w:rPr>
                            <w:w w:val="110"/>
                            <w:sz w:val="12"/>
                          </w:rPr>
                          <w:t>Barbed</w:t>
                        </w:r>
                      </w:p>
                    </w:tc>
                    <w:tc>
                      <w:tcPr>
                        <w:tcW w:w="1122" w:type="dxa"/>
                      </w:tcPr>
                      <w:p>
                        <w:pPr>
                          <w:pStyle w:val="TableParagraph"/>
                          <w:spacing w:line="134" w:lineRule="exact" w:before="17"/>
                          <w:ind w:left="247"/>
                          <w:rPr>
                            <w:sz w:val="12"/>
                          </w:rPr>
                        </w:pPr>
                        <w:r>
                          <w:rPr>
                            <w:w w:val="110"/>
                            <w:sz w:val="12"/>
                          </w:rPr>
                          <w:t>Traditional</w:t>
                        </w:r>
                      </w:p>
                    </w:tc>
                    <w:tc>
                      <w:tcPr>
                        <w:tcW w:w="1309" w:type="dxa"/>
                      </w:tcPr>
                      <w:p>
                        <w:pPr>
                          <w:pStyle w:val="TableParagraph"/>
                          <w:spacing w:line="134" w:lineRule="exact" w:before="17"/>
                          <w:ind w:left="217"/>
                          <w:rPr>
                            <w:sz w:val="12"/>
                          </w:rPr>
                        </w:pPr>
                        <w:r>
                          <w:rPr>
                            <w:w w:val="115"/>
                            <w:sz w:val="12"/>
                          </w:rPr>
                          <w:t>Staples</w:t>
                        </w:r>
                      </w:p>
                    </w:tc>
                    <w:tc>
                      <w:tcPr>
                        <w:tcW w:w="495" w:type="dxa"/>
                      </w:tcPr>
                      <w:p>
                        <w:pPr>
                          <w:pStyle w:val="TableParagraph"/>
                          <w:spacing w:line="134" w:lineRule="exact" w:before="17"/>
                          <w:ind w:left="124"/>
                          <w:rPr>
                            <w:sz w:val="12"/>
                          </w:rPr>
                        </w:pPr>
                        <w:r>
                          <w:rPr>
                            <w:w w:val="126"/>
                            <w:sz w:val="12"/>
                          </w:rPr>
                          <w:t>1</w:t>
                        </w:r>
                      </w:p>
                    </w:tc>
                    <w:tc>
                      <w:tcPr>
                        <w:tcW w:w="837" w:type="dxa"/>
                      </w:tcPr>
                      <w:p>
                        <w:pPr>
                          <w:pStyle w:val="TableParagraph"/>
                          <w:spacing w:line="134" w:lineRule="exact" w:before="17"/>
                          <w:ind w:right="140"/>
                          <w:jc w:val="right"/>
                          <w:rPr>
                            <w:sz w:val="12"/>
                          </w:rPr>
                        </w:pPr>
                        <w:r>
                          <w:rPr>
                            <w:w w:val="125"/>
                            <w:sz w:val="12"/>
                          </w:rPr>
                          <w:t>115</w:t>
                        </w:r>
                      </w:p>
                    </w:tc>
                    <w:tc>
                      <w:tcPr>
                        <w:tcW w:w="903" w:type="dxa"/>
                      </w:tcPr>
                      <w:p>
                        <w:pPr>
                          <w:pStyle w:val="TableParagraph"/>
                          <w:spacing w:line="134" w:lineRule="exact" w:before="17"/>
                          <w:ind w:left="151"/>
                          <w:rPr>
                            <w:sz w:val="12"/>
                          </w:rPr>
                        </w:pPr>
                        <w:r>
                          <w:rPr>
                            <w:w w:val="105"/>
                            <w:sz w:val="12"/>
                          </w:rPr>
                          <w:t>0.0%</w:t>
                        </w:r>
                      </w:p>
                    </w:tc>
                    <w:tc>
                      <w:tcPr>
                        <w:tcW w:w="963" w:type="dxa"/>
                      </w:tcPr>
                      <w:p>
                        <w:pPr>
                          <w:pStyle w:val="TableParagraph"/>
                          <w:spacing w:line="134" w:lineRule="exact" w:before="17"/>
                          <w:ind w:left="34"/>
                          <w:rPr>
                            <w:sz w:val="12"/>
                          </w:rPr>
                        </w:pPr>
                        <w:r>
                          <w:rPr>
                            <w:sz w:val="12"/>
                          </w:rPr>
                          <w:t>NR</w:t>
                        </w:r>
                      </w:p>
                    </w:tc>
                    <w:tc>
                      <w:tcPr>
                        <w:tcW w:w="924" w:type="dxa"/>
                        <w:gridSpan w:val="2"/>
                      </w:tcPr>
                      <w:p>
                        <w:pPr>
                          <w:pStyle w:val="TableParagraph"/>
                          <w:spacing w:line="134" w:lineRule="exact" w:before="17"/>
                          <w:ind w:left="36"/>
                          <w:rPr>
                            <w:sz w:val="12"/>
                          </w:rPr>
                        </w:pPr>
                        <w:r>
                          <w:rPr>
                            <w:sz w:val="12"/>
                          </w:rPr>
                          <w:t>NR</w:t>
                        </w:r>
                      </w:p>
                    </w:tc>
                    <w:tc>
                      <w:tcPr>
                        <w:tcW w:w="1092" w:type="dxa"/>
                      </w:tcPr>
                      <w:p>
                        <w:pPr>
                          <w:pStyle w:val="TableParagraph"/>
                          <w:spacing w:line="134" w:lineRule="exact" w:before="17"/>
                          <w:ind w:left="179"/>
                          <w:rPr>
                            <w:sz w:val="12"/>
                          </w:rPr>
                        </w:pPr>
                        <w:r>
                          <w:rPr>
                            <w:w w:val="105"/>
                            <w:sz w:val="12"/>
                          </w:rPr>
                          <w:t>0.0%</w:t>
                        </w:r>
                      </w:p>
                    </w:tc>
                  </w:tr>
                  <w:tr>
                    <w:trPr>
                      <w:trHeight w:val="171" w:hRule="atLeast"/>
                    </w:trPr>
                    <w:tc>
                      <w:tcPr>
                        <w:tcW w:w="984" w:type="dxa"/>
                      </w:tcPr>
                      <w:p>
                        <w:pPr>
                          <w:pStyle w:val="TableParagraph"/>
                          <w:spacing w:line="134" w:lineRule="exact" w:before="17"/>
                          <w:ind w:left="247"/>
                          <w:rPr>
                            <w:sz w:val="12"/>
                          </w:rPr>
                        </w:pPr>
                        <w:r>
                          <w:rPr>
                            <w:w w:val="125"/>
                            <w:sz w:val="12"/>
                          </w:rPr>
                          <w:t>18</w:t>
                        </w:r>
                      </w:p>
                    </w:tc>
                    <w:tc>
                      <w:tcPr>
                        <w:tcW w:w="773" w:type="dxa"/>
                      </w:tcPr>
                      <w:p>
                        <w:pPr>
                          <w:pStyle w:val="TableParagraph"/>
                          <w:spacing w:line="134" w:lineRule="exact" w:before="17"/>
                          <w:ind w:left="34"/>
                          <w:rPr>
                            <w:sz w:val="12"/>
                          </w:rPr>
                        </w:pPr>
                        <w:r>
                          <w:rPr>
                            <w:w w:val="110"/>
                            <w:sz w:val="12"/>
                          </w:rPr>
                          <w:t>Barbed</w:t>
                        </w:r>
                      </w:p>
                    </w:tc>
                    <w:tc>
                      <w:tcPr>
                        <w:tcW w:w="986" w:type="dxa"/>
                      </w:tcPr>
                      <w:p>
                        <w:pPr>
                          <w:pStyle w:val="TableParagraph"/>
                          <w:spacing w:line="134" w:lineRule="exact" w:before="17"/>
                          <w:ind w:left="80"/>
                          <w:rPr>
                            <w:sz w:val="12"/>
                          </w:rPr>
                        </w:pPr>
                        <w:r>
                          <w:rPr>
                            <w:w w:val="110"/>
                            <w:sz w:val="12"/>
                          </w:rPr>
                          <w:t>Barbed</w:t>
                        </w:r>
                      </w:p>
                    </w:tc>
                    <w:tc>
                      <w:tcPr>
                        <w:tcW w:w="1122" w:type="dxa"/>
                      </w:tcPr>
                      <w:p>
                        <w:pPr>
                          <w:pStyle w:val="TableParagraph"/>
                          <w:spacing w:line="134" w:lineRule="exact" w:before="17"/>
                          <w:ind w:left="247"/>
                          <w:rPr>
                            <w:sz w:val="12"/>
                          </w:rPr>
                        </w:pPr>
                        <w:r>
                          <w:rPr>
                            <w:w w:val="110"/>
                            <w:sz w:val="12"/>
                          </w:rPr>
                          <w:t>Barbed</w:t>
                        </w:r>
                      </w:p>
                    </w:tc>
                    <w:tc>
                      <w:tcPr>
                        <w:tcW w:w="1309" w:type="dxa"/>
                      </w:tcPr>
                      <w:p>
                        <w:pPr>
                          <w:pStyle w:val="TableParagraph"/>
                          <w:spacing w:line="134" w:lineRule="exact" w:before="17"/>
                          <w:ind w:left="217"/>
                          <w:rPr>
                            <w:sz w:val="12"/>
                          </w:rPr>
                        </w:pPr>
                        <w:r>
                          <w:rPr>
                            <w:sz w:val="12"/>
                          </w:rPr>
                          <w:t>TSA</w:t>
                        </w:r>
                      </w:p>
                    </w:tc>
                    <w:tc>
                      <w:tcPr>
                        <w:tcW w:w="495" w:type="dxa"/>
                      </w:tcPr>
                      <w:p>
                        <w:pPr>
                          <w:pStyle w:val="TableParagraph"/>
                          <w:spacing w:line="134" w:lineRule="exact" w:before="17"/>
                          <w:ind w:left="124"/>
                          <w:rPr>
                            <w:sz w:val="12"/>
                          </w:rPr>
                        </w:pPr>
                        <w:r>
                          <w:rPr>
                            <w:w w:val="126"/>
                            <w:sz w:val="12"/>
                          </w:rPr>
                          <w:t>3</w:t>
                        </w:r>
                      </w:p>
                    </w:tc>
                    <w:tc>
                      <w:tcPr>
                        <w:tcW w:w="837" w:type="dxa"/>
                      </w:tcPr>
                      <w:p>
                        <w:pPr>
                          <w:pStyle w:val="TableParagraph"/>
                          <w:spacing w:line="134" w:lineRule="exact" w:before="17"/>
                          <w:ind w:right="140"/>
                          <w:jc w:val="right"/>
                          <w:rPr>
                            <w:sz w:val="12"/>
                          </w:rPr>
                        </w:pPr>
                        <w:r>
                          <w:rPr>
                            <w:w w:val="125"/>
                            <w:sz w:val="12"/>
                          </w:rPr>
                          <w:t>387</w:t>
                        </w:r>
                      </w:p>
                    </w:tc>
                    <w:tc>
                      <w:tcPr>
                        <w:tcW w:w="903" w:type="dxa"/>
                      </w:tcPr>
                      <w:p>
                        <w:pPr>
                          <w:pStyle w:val="TableParagraph"/>
                          <w:spacing w:line="134" w:lineRule="exact" w:before="17"/>
                          <w:ind w:left="151"/>
                          <w:rPr>
                            <w:sz w:val="12"/>
                          </w:rPr>
                        </w:pPr>
                        <w:r>
                          <w:rPr>
                            <w:w w:val="110"/>
                            <w:sz w:val="12"/>
                          </w:rPr>
                          <w:t>0.0% to 0.7%</w:t>
                        </w:r>
                      </w:p>
                    </w:tc>
                    <w:tc>
                      <w:tcPr>
                        <w:tcW w:w="963" w:type="dxa"/>
                      </w:tcPr>
                      <w:p>
                        <w:pPr>
                          <w:pStyle w:val="TableParagraph"/>
                          <w:spacing w:line="134" w:lineRule="exact" w:before="17"/>
                          <w:ind w:right="94"/>
                          <w:jc w:val="right"/>
                          <w:rPr>
                            <w:sz w:val="12"/>
                          </w:rPr>
                        </w:pPr>
                        <w:r>
                          <w:rPr>
                            <w:w w:val="110"/>
                            <w:sz w:val="12"/>
                          </w:rPr>
                          <w:t>0.0% to 1.1%</w:t>
                        </w:r>
                      </w:p>
                    </w:tc>
                    <w:tc>
                      <w:tcPr>
                        <w:tcW w:w="924" w:type="dxa"/>
                        <w:gridSpan w:val="2"/>
                      </w:tcPr>
                      <w:p>
                        <w:pPr>
                          <w:pStyle w:val="TableParagraph"/>
                          <w:spacing w:line="134" w:lineRule="exact" w:before="17"/>
                          <w:ind w:left="36"/>
                          <w:rPr>
                            <w:sz w:val="12"/>
                          </w:rPr>
                        </w:pPr>
                        <w:r>
                          <w:rPr>
                            <w:sz w:val="12"/>
                          </w:rPr>
                          <w:t>NR</w:t>
                        </w:r>
                      </w:p>
                    </w:tc>
                    <w:tc>
                      <w:tcPr>
                        <w:tcW w:w="1092" w:type="dxa"/>
                      </w:tcPr>
                      <w:p>
                        <w:pPr>
                          <w:pStyle w:val="TableParagraph"/>
                          <w:spacing w:line="134" w:lineRule="exact" w:before="17"/>
                          <w:ind w:left="179"/>
                          <w:rPr>
                            <w:sz w:val="12"/>
                          </w:rPr>
                        </w:pPr>
                        <w:r>
                          <w:rPr>
                            <w:w w:val="110"/>
                            <w:sz w:val="12"/>
                          </w:rPr>
                          <w:t>0.6% to 2.2%</w:t>
                        </w:r>
                      </w:p>
                    </w:tc>
                  </w:tr>
                  <w:tr>
                    <w:trPr>
                      <w:trHeight w:val="171" w:hRule="atLeast"/>
                    </w:trPr>
                    <w:tc>
                      <w:tcPr>
                        <w:tcW w:w="984" w:type="dxa"/>
                      </w:tcPr>
                      <w:p>
                        <w:pPr>
                          <w:pStyle w:val="TableParagraph"/>
                          <w:spacing w:line="135" w:lineRule="exact" w:before="17"/>
                          <w:ind w:left="247"/>
                          <w:rPr>
                            <w:sz w:val="12"/>
                          </w:rPr>
                        </w:pPr>
                        <w:r>
                          <w:rPr>
                            <w:w w:val="125"/>
                            <w:sz w:val="12"/>
                          </w:rPr>
                          <w:t>19</w:t>
                        </w:r>
                      </w:p>
                    </w:tc>
                    <w:tc>
                      <w:tcPr>
                        <w:tcW w:w="773" w:type="dxa"/>
                      </w:tcPr>
                      <w:p>
                        <w:pPr>
                          <w:pStyle w:val="TableParagraph"/>
                          <w:spacing w:line="135" w:lineRule="exact" w:before="17"/>
                          <w:ind w:left="34"/>
                          <w:rPr>
                            <w:sz w:val="12"/>
                          </w:rPr>
                        </w:pPr>
                        <w:r>
                          <w:rPr>
                            <w:w w:val="110"/>
                            <w:sz w:val="12"/>
                          </w:rPr>
                          <w:t>Barbed</w:t>
                        </w:r>
                      </w:p>
                    </w:tc>
                    <w:tc>
                      <w:tcPr>
                        <w:tcW w:w="986" w:type="dxa"/>
                      </w:tcPr>
                      <w:p>
                        <w:pPr>
                          <w:pStyle w:val="TableParagraph"/>
                          <w:spacing w:line="135" w:lineRule="exact" w:before="17"/>
                          <w:ind w:left="80"/>
                          <w:rPr>
                            <w:sz w:val="12"/>
                          </w:rPr>
                        </w:pPr>
                        <w:r>
                          <w:rPr>
                            <w:w w:val="110"/>
                            <w:sz w:val="12"/>
                          </w:rPr>
                          <w:t>Barbed</w:t>
                        </w:r>
                      </w:p>
                    </w:tc>
                    <w:tc>
                      <w:tcPr>
                        <w:tcW w:w="1122" w:type="dxa"/>
                      </w:tcPr>
                      <w:p>
                        <w:pPr>
                          <w:pStyle w:val="TableParagraph"/>
                          <w:spacing w:line="135" w:lineRule="exact" w:before="17"/>
                          <w:ind w:left="247"/>
                          <w:rPr>
                            <w:sz w:val="12"/>
                          </w:rPr>
                        </w:pPr>
                        <w:r>
                          <w:rPr>
                            <w:w w:val="110"/>
                            <w:sz w:val="12"/>
                          </w:rPr>
                          <w:t>Traditional</w:t>
                        </w:r>
                      </w:p>
                    </w:tc>
                    <w:tc>
                      <w:tcPr>
                        <w:tcW w:w="1309" w:type="dxa"/>
                      </w:tcPr>
                      <w:p>
                        <w:pPr>
                          <w:pStyle w:val="TableParagraph"/>
                          <w:spacing w:line="136" w:lineRule="exact" w:before="16"/>
                          <w:ind w:left="217"/>
                          <w:rPr>
                            <w:sz w:val="12"/>
                          </w:rPr>
                        </w:pPr>
                        <w:r>
                          <w:rPr>
                            <w:w w:val="110"/>
                            <w:sz w:val="12"/>
                          </w:rPr>
                          <w:t>Staples </w:t>
                        </w:r>
                        <w:r>
                          <w:rPr>
                            <w:rFonts w:ascii="Lucida Sans"/>
                            <w:w w:val="110"/>
                            <w:sz w:val="12"/>
                          </w:rPr>
                          <w:t>&amp; </w:t>
                        </w:r>
                        <w:r>
                          <w:rPr>
                            <w:w w:val="110"/>
                            <w:sz w:val="12"/>
                          </w:rPr>
                          <w:t>TSA</w:t>
                        </w:r>
                      </w:p>
                    </w:tc>
                    <w:tc>
                      <w:tcPr>
                        <w:tcW w:w="495" w:type="dxa"/>
                      </w:tcPr>
                      <w:p>
                        <w:pPr>
                          <w:pStyle w:val="TableParagraph"/>
                          <w:spacing w:line="135" w:lineRule="exact" w:before="17"/>
                          <w:ind w:left="124"/>
                          <w:rPr>
                            <w:sz w:val="12"/>
                          </w:rPr>
                        </w:pPr>
                        <w:r>
                          <w:rPr>
                            <w:w w:val="126"/>
                            <w:sz w:val="12"/>
                          </w:rPr>
                          <w:t>1</w:t>
                        </w:r>
                      </w:p>
                    </w:tc>
                    <w:tc>
                      <w:tcPr>
                        <w:tcW w:w="837" w:type="dxa"/>
                      </w:tcPr>
                      <w:p>
                        <w:pPr>
                          <w:pStyle w:val="TableParagraph"/>
                          <w:spacing w:line="135" w:lineRule="exact" w:before="17"/>
                          <w:ind w:right="140"/>
                          <w:jc w:val="right"/>
                          <w:rPr>
                            <w:sz w:val="12"/>
                          </w:rPr>
                        </w:pPr>
                        <w:r>
                          <w:rPr>
                            <w:w w:val="125"/>
                            <w:sz w:val="12"/>
                          </w:rPr>
                          <w:t>191</w:t>
                        </w:r>
                      </w:p>
                    </w:tc>
                    <w:tc>
                      <w:tcPr>
                        <w:tcW w:w="903" w:type="dxa"/>
                      </w:tcPr>
                      <w:p>
                        <w:pPr>
                          <w:pStyle w:val="TableParagraph"/>
                          <w:spacing w:line="135" w:lineRule="exact" w:before="17"/>
                          <w:ind w:left="151"/>
                          <w:rPr>
                            <w:sz w:val="12"/>
                          </w:rPr>
                        </w:pPr>
                        <w:r>
                          <w:rPr>
                            <w:w w:val="105"/>
                            <w:sz w:val="12"/>
                          </w:rPr>
                          <w:t>0.5%</w:t>
                        </w:r>
                      </w:p>
                    </w:tc>
                    <w:tc>
                      <w:tcPr>
                        <w:tcW w:w="963" w:type="dxa"/>
                      </w:tcPr>
                      <w:p>
                        <w:pPr>
                          <w:pStyle w:val="TableParagraph"/>
                          <w:spacing w:line="135" w:lineRule="exact" w:before="17"/>
                          <w:ind w:left="136"/>
                          <w:rPr>
                            <w:sz w:val="12"/>
                          </w:rPr>
                        </w:pPr>
                        <w:r>
                          <w:rPr>
                            <w:w w:val="105"/>
                            <w:sz w:val="12"/>
                          </w:rPr>
                          <w:t>3.1%</w:t>
                        </w:r>
                      </w:p>
                    </w:tc>
                    <w:tc>
                      <w:tcPr>
                        <w:tcW w:w="924" w:type="dxa"/>
                        <w:gridSpan w:val="2"/>
                      </w:tcPr>
                      <w:p>
                        <w:pPr>
                          <w:pStyle w:val="TableParagraph"/>
                          <w:spacing w:line="135" w:lineRule="exact" w:before="17"/>
                          <w:ind w:left="36"/>
                          <w:rPr>
                            <w:sz w:val="12"/>
                          </w:rPr>
                        </w:pPr>
                        <w:r>
                          <w:rPr>
                            <w:sz w:val="12"/>
                          </w:rPr>
                          <w:t>NR</w:t>
                        </w:r>
                      </w:p>
                    </w:tc>
                    <w:tc>
                      <w:tcPr>
                        <w:tcW w:w="1092" w:type="dxa"/>
                      </w:tcPr>
                      <w:p>
                        <w:pPr>
                          <w:pStyle w:val="TableParagraph"/>
                          <w:spacing w:line="135" w:lineRule="exact" w:before="17"/>
                          <w:ind w:left="77"/>
                          <w:rPr>
                            <w:sz w:val="12"/>
                          </w:rPr>
                        </w:pPr>
                        <w:r>
                          <w:rPr>
                            <w:sz w:val="12"/>
                          </w:rPr>
                          <w:t>NR</w:t>
                        </w:r>
                      </w:p>
                    </w:tc>
                  </w:tr>
                  <w:tr>
                    <w:trPr>
                      <w:trHeight w:val="171" w:hRule="atLeast"/>
                    </w:trPr>
                    <w:tc>
                      <w:tcPr>
                        <w:tcW w:w="984" w:type="dxa"/>
                      </w:tcPr>
                      <w:p>
                        <w:pPr>
                          <w:pStyle w:val="TableParagraph"/>
                          <w:spacing w:line="134" w:lineRule="exact" w:before="17"/>
                          <w:ind w:left="247"/>
                          <w:rPr>
                            <w:sz w:val="12"/>
                          </w:rPr>
                        </w:pPr>
                        <w:r>
                          <w:rPr>
                            <w:w w:val="125"/>
                            <w:sz w:val="12"/>
                          </w:rPr>
                          <w:t>20</w:t>
                        </w:r>
                      </w:p>
                    </w:tc>
                    <w:tc>
                      <w:tcPr>
                        <w:tcW w:w="773" w:type="dxa"/>
                      </w:tcPr>
                      <w:p>
                        <w:pPr>
                          <w:pStyle w:val="TableParagraph"/>
                          <w:spacing w:line="134" w:lineRule="exact" w:before="17"/>
                          <w:ind w:left="34"/>
                          <w:rPr>
                            <w:sz w:val="12"/>
                          </w:rPr>
                        </w:pPr>
                        <w:r>
                          <w:rPr>
                            <w:w w:val="110"/>
                            <w:sz w:val="12"/>
                          </w:rPr>
                          <w:t>Barbed</w:t>
                        </w:r>
                      </w:p>
                    </w:tc>
                    <w:tc>
                      <w:tcPr>
                        <w:tcW w:w="986" w:type="dxa"/>
                      </w:tcPr>
                      <w:p>
                        <w:pPr>
                          <w:pStyle w:val="TableParagraph"/>
                          <w:spacing w:line="134" w:lineRule="exact" w:before="17"/>
                          <w:ind w:left="80"/>
                          <w:rPr>
                            <w:sz w:val="12"/>
                          </w:rPr>
                        </w:pPr>
                        <w:r>
                          <w:rPr>
                            <w:w w:val="110"/>
                            <w:sz w:val="12"/>
                          </w:rPr>
                          <w:t>Barbed</w:t>
                        </w:r>
                      </w:p>
                    </w:tc>
                    <w:tc>
                      <w:tcPr>
                        <w:tcW w:w="1122" w:type="dxa"/>
                      </w:tcPr>
                      <w:p>
                        <w:pPr>
                          <w:pStyle w:val="TableParagraph"/>
                          <w:spacing w:line="134" w:lineRule="exact" w:before="17"/>
                          <w:ind w:left="247"/>
                          <w:rPr>
                            <w:sz w:val="12"/>
                          </w:rPr>
                        </w:pPr>
                        <w:r>
                          <w:rPr>
                            <w:w w:val="110"/>
                            <w:sz w:val="12"/>
                          </w:rPr>
                          <w:t>Barbed</w:t>
                        </w:r>
                      </w:p>
                    </w:tc>
                    <w:tc>
                      <w:tcPr>
                        <w:tcW w:w="1309" w:type="dxa"/>
                      </w:tcPr>
                      <w:p>
                        <w:pPr>
                          <w:pStyle w:val="TableParagraph"/>
                          <w:rPr>
                            <w:rFonts w:ascii="Times New Roman"/>
                            <w:sz w:val="10"/>
                          </w:rPr>
                        </w:pPr>
                      </w:p>
                    </w:tc>
                    <w:tc>
                      <w:tcPr>
                        <w:tcW w:w="495" w:type="dxa"/>
                      </w:tcPr>
                      <w:p>
                        <w:pPr>
                          <w:pStyle w:val="TableParagraph"/>
                          <w:spacing w:line="134" w:lineRule="exact" w:before="17"/>
                          <w:ind w:left="124"/>
                          <w:rPr>
                            <w:sz w:val="12"/>
                          </w:rPr>
                        </w:pPr>
                        <w:r>
                          <w:rPr>
                            <w:w w:val="126"/>
                            <w:sz w:val="12"/>
                          </w:rPr>
                          <w:t>3</w:t>
                        </w:r>
                      </w:p>
                    </w:tc>
                    <w:tc>
                      <w:tcPr>
                        <w:tcW w:w="837" w:type="dxa"/>
                      </w:tcPr>
                      <w:p>
                        <w:pPr>
                          <w:pStyle w:val="TableParagraph"/>
                          <w:spacing w:line="134" w:lineRule="exact" w:before="17"/>
                          <w:ind w:right="140"/>
                          <w:jc w:val="right"/>
                          <w:rPr>
                            <w:sz w:val="12"/>
                          </w:rPr>
                        </w:pPr>
                        <w:r>
                          <w:rPr>
                            <w:w w:val="125"/>
                            <w:sz w:val="12"/>
                          </w:rPr>
                          <w:t>220</w:t>
                        </w:r>
                      </w:p>
                    </w:tc>
                    <w:tc>
                      <w:tcPr>
                        <w:tcW w:w="903" w:type="dxa"/>
                      </w:tcPr>
                      <w:p>
                        <w:pPr>
                          <w:pStyle w:val="TableParagraph"/>
                          <w:spacing w:line="134" w:lineRule="exact" w:before="17"/>
                          <w:ind w:left="151"/>
                          <w:rPr>
                            <w:sz w:val="12"/>
                          </w:rPr>
                        </w:pPr>
                        <w:r>
                          <w:rPr>
                            <w:w w:val="110"/>
                            <w:sz w:val="12"/>
                          </w:rPr>
                          <w:t>0.0% to 2.0%</w:t>
                        </w:r>
                      </w:p>
                    </w:tc>
                    <w:tc>
                      <w:tcPr>
                        <w:tcW w:w="963" w:type="dxa"/>
                      </w:tcPr>
                      <w:p>
                        <w:pPr>
                          <w:pStyle w:val="TableParagraph"/>
                          <w:spacing w:line="134" w:lineRule="exact" w:before="17"/>
                          <w:ind w:right="94"/>
                          <w:jc w:val="right"/>
                          <w:rPr>
                            <w:sz w:val="12"/>
                          </w:rPr>
                        </w:pPr>
                        <w:r>
                          <w:rPr>
                            <w:w w:val="110"/>
                            <w:sz w:val="12"/>
                          </w:rPr>
                          <w:t>0.0% to 6.1%</w:t>
                        </w:r>
                      </w:p>
                    </w:tc>
                    <w:tc>
                      <w:tcPr>
                        <w:tcW w:w="924" w:type="dxa"/>
                        <w:gridSpan w:val="2"/>
                      </w:tcPr>
                      <w:p>
                        <w:pPr>
                          <w:pStyle w:val="TableParagraph"/>
                          <w:spacing w:line="134" w:lineRule="exact" w:before="17"/>
                          <w:ind w:left="138"/>
                          <w:rPr>
                            <w:sz w:val="12"/>
                          </w:rPr>
                        </w:pPr>
                        <w:r>
                          <w:rPr>
                            <w:w w:val="105"/>
                            <w:sz w:val="12"/>
                          </w:rPr>
                          <w:t>6.7%</w:t>
                        </w:r>
                      </w:p>
                    </w:tc>
                    <w:tc>
                      <w:tcPr>
                        <w:tcW w:w="1092" w:type="dxa"/>
                      </w:tcPr>
                      <w:p>
                        <w:pPr>
                          <w:pStyle w:val="TableParagraph"/>
                          <w:spacing w:line="134" w:lineRule="exact" w:before="17"/>
                          <w:ind w:left="179"/>
                          <w:rPr>
                            <w:sz w:val="12"/>
                          </w:rPr>
                        </w:pPr>
                        <w:r>
                          <w:rPr>
                            <w:w w:val="110"/>
                            <w:sz w:val="12"/>
                          </w:rPr>
                          <w:t>0.0% to 8.2%</w:t>
                        </w:r>
                      </w:p>
                    </w:tc>
                  </w:tr>
                  <w:tr>
                    <w:trPr>
                      <w:trHeight w:val="722" w:hRule="atLeast"/>
                    </w:trPr>
                    <w:tc>
                      <w:tcPr>
                        <w:tcW w:w="984" w:type="dxa"/>
                        <w:tcBorders>
                          <w:bottom w:val="single" w:sz="6" w:space="0" w:color="000000"/>
                        </w:tcBorders>
                      </w:tcPr>
                      <w:p>
                        <w:pPr>
                          <w:pStyle w:val="TableParagraph"/>
                          <w:spacing w:before="17"/>
                          <w:ind w:left="247"/>
                          <w:rPr>
                            <w:sz w:val="12"/>
                          </w:rPr>
                        </w:pPr>
                        <w:r>
                          <w:rPr>
                            <w:w w:val="125"/>
                            <w:sz w:val="12"/>
                          </w:rPr>
                          <w:t>21</w:t>
                        </w:r>
                      </w:p>
                      <w:p>
                        <w:pPr>
                          <w:pStyle w:val="TableParagraph"/>
                          <w:spacing w:line="276" w:lineRule="auto" w:before="22"/>
                          <w:ind w:left="247" w:right="22" w:hanging="129"/>
                          <w:rPr>
                            <w:sz w:val="12"/>
                          </w:rPr>
                        </w:pPr>
                        <w:r>
                          <w:rPr>
                            <w:w w:val="115"/>
                            <w:sz w:val="12"/>
                          </w:rPr>
                          <w:t>Cateogory</w:t>
                        </w:r>
                        <w:r>
                          <w:rPr>
                            <w:spacing w:val="-13"/>
                            <w:w w:val="115"/>
                            <w:sz w:val="12"/>
                          </w:rPr>
                          <w:t> </w:t>
                        </w:r>
                        <w:r>
                          <w:rPr>
                            <w:spacing w:val="-6"/>
                            <w:w w:val="115"/>
                            <w:sz w:val="12"/>
                          </w:rPr>
                          <w:t>Six </w:t>
                        </w:r>
                        <w:r>
                          <w:rPr>
                            <w:w w:val="115"/>
                            <w:sz w:val="12"/>
                          </w:rPr>
                          <w:t>22</w:t>
                        </w:r>
                      </w:p>
                    </w:tc>
                    <w:tc>
                      <w:tcPr>
                        <w:tcW w:w="773" w:type="dxa"/>
                        <w:tcBorders>
                          <w:bottom w:val="single" w:sz="6" w:space="0" w:color="000000"/>
                        </w:tcBorders>
                      </w:tcPr>
                      <w:p>
                        <w:pPr>
                          <w:pStyle w:val="TableParagraph"/>
                          <w:spacing w:before="17"/>
                          <w:ind w:left="34"/>
                          <w:rPr>
                            <w:sz w:val="12"/>
                          </w:rPr>
                        </w:pPr>
                        <w:r>
                          <w:rPr>
                            <w:w w:val="110"/>
                            <w:sz w:val="12"/>
                          </w:rPr>
                          <w:t>Barbed</w:t>
                        </w:r>
                      </w:p>
                      <w:p>
                        <w:pPr>
                          <w:pStyle w:val="TableParagraph"/>
                          <w:spacing w:before="6"/>
                          <w:rPr>
                            <w:sz w:val="15"/>
                          </w:rPr>
                        </w:pPr>
                      </w:p>
                      <w:p>
                        <w:pPr>
                          <w:pStyle w:val="TableParagraph"/>
                          <w:ind w:left="34"/>
                          <w:rPr>
                            <w:sz w:val="12"/>
                          </w:rPr>
                        </w:pPr>
                        <w:r>
                          <w:rPr>
                            <w:w w:val="110"/>
                            <w:sz w:val="12"/>
                          </w:rPr>
                          <w:t>Barbed</w:t>
                        </w:r>
                      </w:p>
                    </w:tc>
                    <w:tc>
                      <w:tcPr>
                        <w:tcW w:w="986" w:type="dxa"/>
                        <w:tcBorders>
                          <w:bottom w:val="single" w:sz="6" w:space="0" w:color="000000"/>
                        </w:tcBorders>
                      </w:tcPr>
                      <w:p>
                        <w:pPr>
                          <w:pStyle w:val="TableParagraph"/>
                          <w:spacing w:before="17"/>
                          <w:ind w:left="80"/>
                          <w:rPr>
                            <w:sz w:val="12"/>
                          </w:rPr>
                        </w:pPr>
                        <w:r>
                          <w:rPr>
                            <w:w w:val="110"/>
                            <w:sz w:val="12"/>
                          </w:rPr>
                          <w:t>Barbed</w:t>
                        </w:r>
                      </w:p>
                      <w:p>
                        <w:pPr>
                          <w:pStyle w:val="TableParagraph"/>
                          <w:spacing w:before="6"/>
                          <w:rPr>
                            <w:sz w:val="15"/>
                          </w:rPr>
                        </w:pPr>
                      </w:p>
                      <w:p>
                        <w:pPr>
                          <w:pStyle w:val="TableParagraph"/>
                          <w:ind w:left="80"/>
                          <w:rPr>
                            <w:sz w:val="12"/>
                          </w:rPr>
                        </w:pPr>
                        <w:r>
                          <w:rPr>
                            <w:w w:val="110"/>
                            <w:sz w:val="12"/>
                          </w:rPr>
                          <w:t>Barbed</w:t>
                        </w:r>
                      </w:p>
                    </w:tc>
                    <w:tc>
                      <w:tcPr>
                        <w:tcW w:w="1122" w:type="dxa"/>
                        <w:tcBorders>
                          <w:bottom w:val="single" w:sz="6" w:space="0" w:color="000000"/>
                        </w:tcBorders>
                      </w:tcPr>
                      <w:p>
                        <w:pPr>
                          <w:pStyle w:val="TableParagraph"/>
                          <w:spacing w:before="17"/>
                          <w:ind w:left="247"/>
                          <w:rPr>
                            <w:sz w:val="12"/>
                          </w:rPr>
                        </w:pPr>
                        <w:r>
                          <w:rPr>
                            <w:w w:val="110"/>
                            <w:sz w:val="12"/>
                          </w:rPr>
                          <w:t>Barbed</w:t>
                        </w:r>
                      </w:p>
                      <w:p>
                        <w:pPr>
                          <w:pStyle w:val="TableParagraph"/>
                          <w:spacing w:before="6"/>
                          <w:rPr>
                            <w:sz w:val="15"/>
                          </w:rPr>
                        </w:pPr>
                      </w:p>
                      <w:p>
                        <w:pPr>
                          <w:pStyle w:val="TableParagraph"/>
                          <w:ind w:left="247"/>
                          <w:rPr>
                            <w:sz w:val="12"/>
                          </w:rPr>
                        </w:pPr>
                        <w:r>
                          <w:rPr>
                            <w:w w:val="110"/>
                            <w:sz w:val="12"/>
                          </w:rPr>
                          <w:t>Barbed</w:t>
                        </w:r>
                      </w:p>
                    </w:tc>
                    <w:tc>
                      <w:tcPr>
                        <w:tcW w:w="1309" w:type="dxa"/>
                        <w:tcBorders>
                          <w:bottom w:val="single" w:sz="6" w:space="0" w:color="000000"/>
                        </w:tcBorders>
                      </w:tcPr>
                      <w:p>
                        <w:pPr>
                          <w:pStyle w:val="TableParagraph"/>
                          <w:spacing w:line="542" w:lineRule="auto" w:before="17"/>
                          <w:ind w:left="217"/>
                          <w:rPr>
                            <w:sz w:val="12"/>
                          </w:rPr>
                        </w:pPr>
                        <w:r>
                          <w:rPr>
                            <w:w w:val="115"/>
                            <w:sz w:val="12"/>
                          </w:rPr>
                          <w:t>Barbed sutures TSA </w:t>
                        </w:r>
                        <w:r>
                          <w:rPr>
                            <w:rFonts w:ascii="Century Gothic" w:hAnsi="Century Gothic"/>
                            <w:w w:val="115"/>
                            <w:sz w:val="12"/>
                          </w:rPr>
                          <w:t>þ </w:t>
                        </w:r>
                        <w:r>
                          <w:rPr>
                            <w:w w:val="115"/>
                            <w:sz w:val="12"/>
                          </w:rPr>
                          <w:t>polyester</w:t>
                        </w:r>
                      </w:p>
                    </w:tc>
                    <w:tc>
                      <w:tcPr>
                        <w:tcW w:w="495" w:type="dxa"/>
                        <w:tcBorders>
                          <w:bottom w:val="single" w:sz="6" w:space="0" w:color="000000"/>
                        </w:tcBorders>
                      </w:tcPr>
                      <w:p>
                        <w:pPr>
                          <w:pStyle w:val="TableParagraph"/>
                          <w:spacing w:before="17"/>
                          <w:ind w:left="124"/>
                          <w:rPr>
                            <w:sz w:val="12"/>
                          </w:rPr>
                        </w:pPr>
                        <w:r>
                          <w:rPr>
                            <w:w w:val="126"/>
                            <w:sz w:val="12"/>
                          </w:rPr>
                          <w:t>1</w:t>
                        </w:r>
                      </w:p>
                      <w:p>
                        <w:pPr>
                          <w:pStyle w:val="TableParagraph"/>
                          <w:spacing w:before="6"/>
                          <w:rPr>
                            <w:sz w:val="15"/>
                          </w:rPr>
                        </w:pPr>
                      </w:p>
                      <w:p>
                        <w:pPr>
                          <w:pStyle w:val="TableParagraph"/>
                          <w:ind w:left="124"/>
                          <w:rPr>
                            <w:sz w:val="12"/>
                          </w:rPr>
                        </w:pPr>
                        <w:r>
                          <w:rPr>
                            <w:w w:val="126"/>
                            <w:sz w:val="12"/>
                          </w:rPr>
                          <w:t>3</w:t>
                        </w:r>
                      </w:p>
                    </w:tc>
                    <w:tc>
                      <w:tcPr>
                        <w:tcW w:w="837" w:type="dxa"/>
                        <w:tcBorders>
                          <w:bottom w:val="single" w:sz="6" w:space="0" w:color="000000"/>
                        </w:tcBorders>
                      </w:tcPr>
                      <w:p>
                        <w:pPr>
                          <w:pStyle w:val="TableParagraph"/>
                          <w:spacing w:before="17"/>
                          <w:ind w:right="140"/>
                          <w:jc w:val="right"/>
                          <w:rPr>
                            <w:sz w:val="12"/>
                          </w:rPr>
                        </w:pPr>
                        <w:r>
                          <w:rPr>
                            <w:w w:val="125"/>
                            <w:sz w:val="12"/>
                          </w:rPr>
                          <w:t>193</w:t>
                        </w:r>
                      </w:p>
                      <w:p>
                        <w:pPr>
                          <w:pStyle w:val="TableParagraph"/>
                          <w:spacing w:before="5"/>
                          <w:rPr>
                            <w:sz w:val="15"/>
                          </w:rPr>
                        </w:pPr>
                      </w:p>
                      <w:p>
                        <w:pPr>
                          <w:pStyle w:val="TableParagraph"/>
                          <w:spacing w:before="1"/>
                          <w:ind w:right="140"/>
                          <w:jc w:val="right"/>
                          <w:rPr>
                            <w:sz w:val="12"/>
                          </w:rPr>
                        </w:pPr>
                        <w:r>
                          <w:rPr>
                            <w:rFonts w:ascii="Lucida Sans"/>
                            <w:spacing w:val="-1"/>
                            <w:w w:val="125"/>
                            <w:sz w:val="12"/>
                          </w:rPr>
                          <w:t>&gt;</w:t>
                        </w:r>
                        <w:r>
                          <w:rPr>
                            <w:spacing w:val="-1"/>
                            <w:w w:val="125"/>
                            <w:sz w:val="12"/>
                          </w:rPr>
                          <w:t>2362</w:t>
                        </w:r>
                      </w:p>
                    </w:tc>
                    <w:tc>
                      <w:tcPr>
                        <w:tcW w:w="903" w:type="dxa"/>
                        <w:tcBorders>
                          <w:bottom w:val="single" w:sz="6" w:space="0" w:color="000000"/>
                        </w:tcBorders>
                      </w:tcPr>
                      <w:p>
                        <w:pPr>
                          <w:pStyle w:val="TableParagraph"/>
                          <w:spacing w:before="17"/>
                          <w:ind w:left="151"/>
                          <w:rPr>
                            <w:sz w:val="12"/>
                          </w:rPr>
                        </w:pPr>
                        <w:r>
                          <w:rPr>
                            <w:w w:val="105"/>
                            <w:sz w:val="12"/>
                          </w:rPr>
                          <w:t>2.1%</w:t>
                        </w:r>
                      </w:p>
                      <w:p>
                        <w:pPr>
                          <w:pStyle w:val="TableParagraph"/>
                          <w:spacing w:before="6"/>
                          <w:rPr>
                            <w:sz w:val="15"/>
                          </w:rPr>
                        </w:pPr>
                      </w:p>
                      <w:p>
                        <w:pPr>
                          <w:pStyle w:val="TableParagraph"/>
                          <w:ind w:left="151"/>
                          <w:rPr>
                            <w:sz w:val="12"/>
                          </w:rPr>
                        </w:pPr>
                        <w:r>
                          <w:rPr>
                            <w:w w:val="110"/>
                            <w:sz w:val="12"/>
                          </w:rPr>
                          <w:t>0.0% to 1.1%</w:t>
                        </w:r>
                      </w:p>
                    </w:tc>
                    <w:tc>
                      <w:tcPr>
                        <w:tcW w:w="963" w:type="dxa"/>
                        <w:tcBorders>
                          <w:bottom w:val="single" w:sz="6" w:space="0" w:color="000000"/>
                        </w:tcBorders>
                      </w:tcPr>
                      <w:p>
                        <w:pPr>
                          <w:pStyle w:val="TableParagraph"/>
                          <w:spacing w:before="17"/>
                          <w:ind w:left="136"/>
                          <w:rPr>
                            <w:sz w:val="12"/>
                          </w:rPr>
                        </w:pPr>
                        <w:r>
                          <w:rPr>
                            <w:w w:val="105"/>
                            <w:sz w:val="12"/>
                          </w:rPr>
                          <w:t>9.8%</w:t>
                        </w:r>
                      </w:p>
                      <w:p>
                        <w:pPr>
                          <w:pStyle w:val="TableParagraph"/>
                          <w:spacing w:before="6"/>
                          <w:rPr>
                            <w:sz w:val="15"/>
                          </w:rPr>
                        </w:pPr>
                      </w:p>
                      <w:p>
                        <w:pPr>
                          <w:pStyle w:val="TableParagraph"/>
                          <w:ind w:left="136"/>
                          <w:rPr>
                            <w:sz w:val="12"/>
                          </w:rPr>
                        </w:pPr>
                        <w:r>
                          <w:rPr>
                            <w:w w:val="105"/>
                            <w:sz w:val="12"/>
                          </w:rPr>
                          <w:t>0.0%</w:t>
                        </w:r>
                      </w:p>
                    </w:tc>
                    <w:tc>
                      <w:tcPr>
                        <w:tcW w:w="924" w:type="dxa"/>
                        <w:gridSpan w:val="2"/>
                        <w:tcBorders>
                          <w:bottom w:val="single" w:sz="6" w:space="0" w:color="000000"/>
                        </w:tcBorders>
                      </w:tcPr>
                      <w:p>
                        <w:pPr>
                          <w:pStyle w:val="TableParagraph"/>
                          <w:spacing w:before="17"/>
                          <w:ind w:left="36"/>
                          <w:rPr>
                            <w:sz w:val="12"/>
                          </w:rPr>
                        </w:pPr>
                        <w:r>
                          <w:rPr>
                            <w:sz w:val="12"/>
                          </w:rPr>
                          <w:t>NR</w:t>
                        </w:r>
                      </w:p>
                      <w:p>
                        <w:pPr>
                          <w:pStyle w:val="TableParagraph"/>
                          <w:spacing w:before="6"/>
                          <w:rPr>
                            <w:sz w:val="15"/>
                          </w:rPr>
                        </w:pPr>
                      </w:p>
                      <w:p>
                        <w:pPr>
                          <w:pStyle w:val="TableParagraph"/>
                          <w:ind w:left="36"/>
                          <w:rPr>
                            <w:sz w:val="12"/>
                          </w:rPr>
                        </w:pPr>
                        <w:r>
                          <w:rPr>
                            <w:sz w:val="12"/>
                          </w:rPr>
                          <w:t>NR</w:t>
                        </w:r>
                      </w:p>
                    </w:tc>
                    <w:tc>
                      <w:tcPr>
                        <w:tcW w:w="1092" w:type="dxa"/>
                        <w:tcBorders>
                          <w:bottom w:val="single" w:sz="6" w:space="0" w:color="000000"/>
                        </w:tcBorders>
                      </w:tcPr>
                      <w:p>
                        <w:pPr>
                          <w:pStyle w:val="TableParagraph"/>
                          <w:spacing w:before="17"/>
                          <w:ind w:left="77"/>
                          <w:rPr>
                            <w:sz w:val="12"/>
                          </w:rPr>
                        </w:pPr>
                        <w:r>
                          <w:rPr>
                            <w:sz w:val="12"/>
                          </w:rPr>
                          <w:t>NR</w:t>
                        </w:r>
                      </w:p>
                      <w:p>
                        <w:pPr>
                          <w:pStyle w:val="TableParagraph"/>
                          <w:spacing w:before="6"/>
                          <w:rPr>
                            <w:sz w:val="15"/>
                          </w:rPr>
                        </w:pPr>
                      </w:p>
                      <w:p>
                        <w:pPr>
                          <w:pStyle w:val="TableParagraph"/>
                          <w:ind w:left="179"/>
                          <w:rPr>
                            <w:sz w:val="12"/>
                          </w:rPr>
                        </w:pPr>
                        <w:r>
                          <w:rPr>
                            <w:w w:val="105"/>
                            <w:sz w:val="12"/>
                          </w:rPr>
                          <w:t>0.0%</w:t>
                        </w:r>
                      </w:p>
                    </w:tc>
                  </w:tr>
                </w:tbl>
                <w:p>
                  <w:pPr>
                    <w:pStyle w:val="BodyText"/>
                  </w:pPr>
                </w:p>
              </w:txbxContent>
            </v:textbox>
            <w10:wrap type="none"/>
          </v:shape>
        </w:pict>
      </w:r>
      <w:r>
        <w:rPr>
          <w:w w:val="110"/>
          <w:sz w:val="12"/>
        </w:rPr>
        <w:t>Two</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1"/>
        </w:rPr>
      </w:pPr>
    </w:p>
    <w:p>
      <w:pPr>
        <w:spacing w:before="0"/>
        <w:ind w:left="2059" w:right="4155" w:firstLine="0"/>
        <w:jc w:val="center"/>
        <w:rPr>
          <w:sz w:val="12"/>
        </w:rPr>
      </w:pPr>
      <w:r>
        <w:rPr>
          <w:w w:val="115"/>
          <w:sz w:val="12"/>
        </w:rPr>
        <w:t>mesh</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124"/>
        <w:ind w:left="2059" w:right="4155" w:firstLine="0"/>
        <w:jc w:val="center"/>
        <w:rPr>
          <w:sz w:val="12"/>
        </w:rPr>
      </w:pPr>
      <w:r>
        <w:rPr>
          <w:w w:val="115"/>
          <w:sz w:val="12"/>
        </w:rPr>
        <w:t>mesh</w:t>
      </w:r>
    </w:p>
    <w:p>
      <w:pPr>
        <w:spacing w:line="276" w:lineRule="auto" w:before="113"/>
        <w:ind w:left="116" w:right="249" w:firstLine="0"/>
        <w:jc w:val="left"/>
        <w:rPr>
          <w:sz w:val="12"/>
        </w:rPr>
      </w:pPr>
      <w:r>
        <w:rPr>
          <w:w w:val="115"/>
          <w:sz w:val="12"/>
        </w:rPr>
        <w:t>Note: Studies in each technique with </w:t>
      </w:r>
      <w:r>
        <w:rPr>
          <w:rFonts w:ascii="Lucida Sans" w:hAnsi="Lucida Sans"/>
          <w:w w:val="115"/>
          <w:sz w:val="12"/>
        </w:rPr>
        <w:t>“</w:t>
      </w:r>
      <w:r>
        <w:rPr>
          <w:w w:val="115"/>
          <w:sz w:val="12"/>
        </w:rPr>
        <w:t>NR</w:t>
      </w:r>
      <w:r>
        <w:rPr>
          <w:rFonts w:ascii="Lucida Sans" w:hAnsi="Lucida Sans"/>
          <w:w w:val="115"/>
          <w:sz w:val="12"/>
        </w:rPr>
        <w:t>” </w:t>
      </w:r>
      <w:r>
        <w:rPr>
          <w:w w:val="115"/>
          <w:sz w:val="12"/>
        </w:rPr>
        <w:t>outcomes were not captured in the presented ranges, please see </w:t>
      </w:r>
      <w:hyperlink w:history="true" w:anchor="_bookmark83">
        <w:r>
          <w:rPr>
            <w:color w:val="007FAC"/>
            <w:w w:val="115"/>
            <w:sz w:val="12"/>
          </w:rPr>
          <w:t>Supplement Tables 3-5</w:t>
        </w:r>
      </w:hyperlink>
      <w:r>
        <w:rPr>
          <w:color w:val="007FAC"/>
          <w:w w:val="115"/>
          <w:sz w:val="12"/>
        </w:rPr>
        <w:t> </w:t>
      </w:r>
      <w:r>
        <w:rPr>
          <w:w w:val="115"/>
          <w:sz w:val="12"/>
        </w:rPr>
        <w:t>in the Appendix for article speci</w:t>
      </w:r>
      <w:r>
        <w:rPr>
          <w:rFonts w:ascii="Times New Roman" w:hAnsi="Times New Roman"/>
          <w:w w:val="115"/>
          <w:sz w:val="12"/>
        </w:rPr>
        <w:t>ﬁ</w:t>
      </w:r>
      <w:r>
        <w:rPr>
          <w:w w:val="115"/>
          <w:sz w:val="12"/>
        </w:rPr>
        <w:t>c outcomes.</w:t>
      </w:r>
    </w:p>
    <w:p>
      <w:pPr>
        <w:spacing w:line="144" w:lineRule="exact" w:before="0"/>
        <w:ind w:left="116" w:right="0" w:firstLine="0"/>
        <w:jc w:val="left"/>
        <w:rPr>
          <w:sz w:val="12"/>
        </w:rPr>
      </w:pPr>
      <w:bookmarkStart w:name="_bookmark11" w:id="17"/>
      <w:bookmarkEnd w:id="17"/>
      <w:r>
        <w:rPr/>
      </w:r>
      <w:r>
        <w:rPr>
          <w:w w:val="115"/>
          <w:sz w:val="12"/>
        </w:rPr>
        <w:t>AM, antimicrobial sutures; NR, not reported.</w:t>
      </w:r>
    </w:p>
    <w:p>
      <w:pPr>
        <w:spacing w:line="176" w:lineRule="exact" w:before="0"/>
        <w:ind w:left="233" w:right="0" w:firstLine="0"/>
        <w:jc w:val="left"/>
        <w:rPr>
          <w:sz w:val="12"/>
        </w:rPr>
      </w:pPr>
      <w:r>
        <w:rPr>
          <w:w w:val="115"/>
          <w:position w:val="6"/>
          <w:sz w:val="9"/>
        </w:rPr>
        <w:t>a </w:t>
      </w:r>
      <w:r>
        <w:rPr>
          <w:w w:val="115"/>
          <w:sz w:val="12"/>
        </w:rPr>
        <w:t>Columns with only one value indicate that only one study reported on this outcome.</w:t>
      </w:r>
    </w:p>
    <w:p>
      <w:pPr>
        <w:pStyle w:val="BodyText"/>
        <w:spacing w:before="11"/>
        <w:rPr>
          <w:sz w:val="23"/>
        </w:rPr>
      </w:pPr>
    </w:p>
    <w:p>
      <w:pPr>
        <w:spacing w:after="0"/>
        <w:rPr>
          <w:sz w:val="23"/>
        </w:rPr>
        <w:sectPr>
          <w:pgSz w:w="11910" w:h="15880"/>
          <w:pgMar w:header="210" w:footer="165" w:top="840" w:bottom="360" w:left="540" w:right="540"/>
        </w:sectPr>
      </w:pPr>
    </w:p>
    <w:p>
      <w:pPr>
        <w:pStyle w:val="BodyText"/>
        <w:spacing w:line="252" w:lineRule="auto" w:before="106"/>
        <w:ind w:left="116" w:right="38"/>
        <w:jc w:val="both"/>
      </w:pPr>
      <w:r>
        <w:rPr>
          <w:w w:val="110"/>
        </w:rPr>
        <w:t>was</w:t>
      </w:r>
      <w:r>
        <w:rPr>
          <w:spacing w:val="-21"/>
          <w:w w:val="110"/>
        </w:rPr>
        <w:t> </w:t>
      </w:r>
      <w:r>
        <w:rPr>
          <w:w w:val="110"/>
        </w:rPr>
        <w:t>conducted</w:t>
      </w:r>
      <w:r>
        <w:rPr>
          <w:spacing w:val="-21"/>
          <w:w w:val="110"/>
        </w:rPr>
        <w:t> </w:t>
      </w:r>
      <w:r>
        <w:rPr>
          <w:w w:val="110"/>
        </w:rPr>
        <w:t>in</w:t>
      </w:r>
      <w:r>
        <w:rPr>
          <w:spacing w:val="-21"/>
          <w:w w:val="110"/>
        </w:rPr>
        <w:t> </w:t>
      </w:r>
      <w:r>
        <w:rPr>
          <w:w w:val="110"/>
        </w:rPr>
        <w:t>over</w:t>
      </w:r>
      <w:r>
        <w:rPr>
          <w:spacing w:val="-22"/>
          <w:w w:val="110"/>
        </w:rPr>
        <w:t> </w:t>
      </w:r>
      <w:r>
        <w:rPr>
          <w:spacing w:val="2"/>
          <w:w w:val="110"/>
        </w:rPr>
        <w:t>2000</w:t>
      </w:r>
      <w:r>
        <w:rPr>
          <w:spacing w:val="-20"/>
          <w:w w:val="110"/>
        </w:rPr>
        <w:t> </w:t>
      </w:r>
      <w:r>
        <w:rPr>
          <w:w w:val="110"/>
        </w:rPr>
        <w:t>registry-veri</w:t>
      </w:r>
      <w:r>
        <w:rPr>
          <w:rFonts w:ascii="Times New Roman" w:hAnsi="Times New Roman"/>
          <w:w w:val="110"/>
        </w:rPr>
        <w:t>ﬁ</w:t>
      </w:r>
      <w:r>
        <w:rPr>
          <w:w w:val="110"/>
        </w:rPr>
        <w:t>ed</w:t>
      </w:r>
      <w:r>
        <w:rPr>
          <w:spacing w:val="-22"/>
          <w:w w:val="110"/>
        </w:rPr>
        <w:t> </w:t>
      </w:r>
      <w:r>
        <w:rPr>
          <w:w w:val="110"/>
        </w:rPr>
        <w:t>primary</w:t>
      </w:r>
      <w:r>
        <w:rPr>
          <w:spacing w:val="-20"/>
          <w:w w:val="110"/>
        </w:rPr>
        <w:t> </w:t>
      </w:r>
      <w:r>
        <w:rPr>
          <w:w w:val="110"/>
        </w:rPr>
        <w:t>hip</w:t>
      </w:r>
      <w:r>
        <w:rPr>
          <w:spacing w:val="-21"/>
          <w:w w:val="110"/>
        </w:rPr>
        <w:t> </w:t>
      </w:r>
      <w:r>
        <w:rPr>
          <w:w w:val="110"/>
        </w:rPr>
        <w:t>and</w:t>
      </w:r>
      <w:r>
        <w:rPr>
          <w:spacing w:val="-21"/>
          <w:w w:val="110"/>
        </w:rPr>
        <w:t> </w:t>
      </w:r>
      <w:r>
        <w:rPr>
          <w:w w:val="110"/>
        </w:rPr>
        <w:t>knee arthroplasties to simultaneously address multiple adverse</w:t>
      </w:r>
      <w:r>
        <w:rPr>
          <w:spacing w:val="-32"/>
          <w:w w:val="110"/>
        </w:rPr>
        <w:t> </w:t>
      </w:r>
      <w:r>
        <w:rPr>
          <w:spacing w:val="-3"/>
          <w:w w:val="110"/>
        </w:rPr>
        <w:t>events [</w:t>
      </w:r>
      <w:hyperlink w:history="true" w:anchor="_bookmark29">
        <w:r>
          <w:rPr>
            <w:color w:val="007FAC"/>
            <w:spacing w:val="-3"/>
            <w:w w:val="110"/>
          </w:rPr>
          <w:t>18</w:t>
        </w:r>
      </w:hyperlink>
      <w:r>
        <w:rPr>
          <w:spacing w:val="-3"/>
          <w:w w:val="110"/>
        </w:rPr>
        <w:t>]. </w:t>
      </w:r>
      <w:r>
        <w:rPr>
          <w:w w:val="110"/>
        </w:rPr>
        <w:t>In knee arthroplasty, closure included speci</w:t>
      </w:r>
      <w:r>
        <w:rPr>
          <w:rFonts w:ascii="Times New Roman" w:hAnsi="Times New Roman"/>
          <w:w w:val="110"/>
        </w:rPr>
        <w:t>ﬁ</w:t>
      </w:r>
      <w:r>
        <w:rPr>
          <w:w w:val="110"/>
        </w:rPr>
        <w:t>c products and techniques for the synovium, joint capsule, subcutaneous, </w:t>
      </w:r>
      <w:r>
        <w:rPr>
          <w:spacing w:val="-3"/>
          <w:w w:val="110"/>
        </w:rPr>
        <w:t>sub- </w:t>
      </w:r>
      <w:r>
        <w:rPr>
          <w:w w:val="110"/>
        </w:rPr>
        <w:t>cuticular, and </w:t>
      </w:r>
      <w:r>
        <w:rPr>
          <w:rFonts w:ascii="Times New Roman" w:hAnsi="Times New Roman"/>
          <w:w w:val="110"/>
        </w:rPr>
        <w:t>ﬁ</w:t>
      </w:r>
      <w:r>
        <w:rPr>
          <w:w w:val="110"/>
        </w:rPr>
        <w:t>nal layers. In hip arthroplasty, closure included speci</w:t>
      </w:r>
      <w:r>
        <w:rPr>
          <w:rFonts w:ascii="Times New Roman" w:hAnsi="Times New Roman"/>
          <w:w w:val="110"/>
        </w:rPr>
        <w:t>ﬁ</w:t>
      </w:r>
      <w:r>
        <w:rPr>
          <w:w w:val="110"/>
        </w:rPr>
        <w:t>c products and techniques for the joint capsule, hip bursa, iliotibial band, subcutaneous, subcuticular, and </w:t>
      </w:r>
      <w:r>
        <w:rPr>
          <w:rFonts w:ascii="Times New Roman" w:hAnsi="Times New Roman"/>
          <w:w w:val="110"/>
        </w:rPr>
        <w:t>ﬁ</w:t>
      </w:r>
      <w:r>
        <w:rPr>
          <w:w w:val="110"/>
        </w:rPr>
        <w:t>nal layers. By </w:t>
      </w:r>
      <w:r>
        <w:rPr>
          <w:w w:val="105"/>
        </w:rPr>
        <w:t>implementing systematic and comprehensive ICPs with multilayer, </w:t>
      </w:r>
      <w:r>
        <w:rPr>
          <w:w w:val="110"/>
        </w:rPr>
        <w:t>watertight closure, Snyder et al. found improved outcomes compared</w:t>
      </w:r>
      <w:r>
        <w:rPr>
          <w:spacing w:val="-5"/>
          <w:w w:val="110"/>
        </w:rPr>
        <w:t> </w:t>
      </w:r>
      <w:r>
        <w:rPr>
          <w:w w:val="110"/>
        </w:rPr>
        <w:t>with</w:t>
      </w:r>
      <w:r>
        <w:rPr>
          <w:spacing w:val="-5"/>
          <w:w w:val="110"/>
        </w:rPr>
        <w:t> </w:t>
      </w:r>
      <w:r>
        <w:rPr>
          <w:w w:val="110"/>
        </w:rPr>
        <w:t>historical</w:t>
      </w:r>
      <w:r>
        <w:rPr>
          <w:spacing w:val="-5"/>
          <w:w w:val="110"/>
        </w:rPr>
        <w:t> </w:t>
      </w:r>
      <w:r>
        <w:rPr>
          <w:w w:val="110"/>
        </w:rPr>
        <w:t>conventional</w:t>
      </w:r>
      <w:r>
        <w:rPr>
          <w:spacing w:val="-5"/>
          <w:w w:val="110"/>
        </w:rPr>
        <w:t> </w:t>
      </w:r>
      <w:r>
        <w:rPr>
          <w:w w:val="110"/>
        </w:rPr>
        <w:t>methods,</w:t>
      </w:r>
      <w:r>
        <w:rPr>
          <w:spacing w:val="-5"/>
          <w:w w:val="110"/>
        </w:rPr>
        <w:t> </w:t>
      </w:r>
      <w:r>
        <w:rPr>
          <w:w w:val="110"/>
        </w:rPr>
        <w:t>with</w:t>
      </w:r>
      <w:r>
        <w:rPr>
          <w:spacing w:val="-5"/>
          <w:w w:val="110"/>
        </w:rPr>
        <w:t> </w:t>
      </w:r>
      <w:r>
        <w:rPr>
          <w:w w:val="110"/>
        </w:rPr>
        <w:t>zero</w:t>
      </w:r>
      <w:r>
        <w:rPr>
          <w:spacing w:val="-6"/>
          <w:w w:val="110"/>
        </w:rPr>
        <w:t> </w:t>
      </w:r>
      <w:r>
        <w:rPr>
          <w:w w:val="110"/>
        </w:rPr>
        <w:t>trans- fusion,</w:t>
      </w:r>
      <w:r>
        <w:rPr>
          <w:spacing w:val="-21"/>
          <w:w w:val="110"/>
        </w:rPr>
        <w:t> </w:t>
      </w:r>
      <w:r>
        <w:rPr>
          <w:w w:val="110"/>
        </w:rPr>
        <w:t>no</w:t>
      </w:r>
      <w:r>
        <w:rPr>
          <w:spacing w:val="-19"/>
          <w:w w:val="110"/>
        </w:rPr>
        <w:t> </w:t>
      </w:r>
      <w:r>
        <w:rPr>
          <w:w w:val="110"/>
        </w:rPr>
        <w:t>injurious</w:t>
      </w:r>
      <w:r>
        <w:rPr>
          <w:spacing w:val="-20"/>
          <w:w w:val="110"/>
        </w:rPr>
        <w:t> </w:t>
      </w:r>
      <w:r>
        <w:rPr>
          <w:w w:val="110"/>
        </w:rPr>
        <w:t>hospital</w:t>
      </w:r>
      <w:r>
        <w:rPr>
          <w:spacing w:val="-19"/>
          <w:w w:val="110"/>
        </w:rPr>
        <w:t> </w:t>
      </w:r>
      <w:r>
        <w:rPr>
          <w:w w:val="110"/>
        </w:rPr>
        <w:t>falls,</w:t>
      </w:r>
      <w:r>
        <w:rPr>
          <w:spacing w:val="-19"/>
          <w:w w:val="110"/>
        </w:rPr>
        <w:t> </w:t>
      </w:r>
      <w:r>
        <w:rPr>
          <w:w w:val="110"/>
        </w:rPr>
        <w:t>no</w:t>
      </w:r>
      <w:r>
        <w:rPr>
          <w:spacing w:val="-20"/>
          <w:w w:val="110"/>
        </w:rPr>
        <w:t> </w:t>
      </w:r>
      <w:r>
        <w:rPr>
          <w:w w:val="110"/>
        </w:rPr>
        <w:t>SSIs,</w:t>
      </w:r>
      <w:r>
        <w:rPr>
          <w:spacing w:val="-20"/>
          <w:w w:val="110"/>
        </w:rPr>
        <w:t> </w:t>
      </w:r>
      <w:r>
        <w:rPr>
          <w:w w:val="110"/>
        </w:rPr>
        <w:t>no</w:t>
      </w:r>
      <w:r>
        <w:rPr>
          <w:spacing w:val="-20"/>
          <w:w w:val="110"/>
        </w:rPr>
        <w:t> </w:t>
      </w:r>
      <w:r>
        <w:rPr>
          <w:w w:val="110"/>
        </w:rPr>
        <w:t>serious</w:t>
      </w:r>
      <w:r>
        <w:rPr>
          <w:spacing w:val="-19"/>
          <w:w w:val="110"/>
        </w:rPr>
        <w:t> </w:t>
      </w:r>
      <w:r>
        <w:rPr>
          <w:w w:val="110"/>
        </w:rPr>
        <w:t>90-day</w:t>
      </w:r>
      <w:r>
        <w:rPr>
          <w:spacing w:val="-21"/>
          <w:w w:val="110"/>
        </w:rPr>
        <w:t> </w:t>
      </w:r>
      <w:r>
        <w:rPr>
          <w:w w:val="110"/>
        </w:rPr>
        <w:t>opioid complications, no early hip dislocations, and fewer than </w:t>
      </w:r>
      <w:r>
        <w:rPr>
          <w:spacing w:val="-6"/>
          <w:w w:val="110"/>
        </w:rPr>
        <w:t>0.1% </w:t>
      </w:r>
      <w:r>
        <w:rPr>
          <w:w w:val="110"/>
        </w:rPr>
        <w:t>venous thromboembolism-related readmissions </w:t>
      </w:r>
      <w:r>
        <w:rPr>
          <w:spacing w:val="-3"/>
          <w:w w:val="110"/>
        </w:rPr>
        <w:t>[</w:t>
      </w:r>
      <w:hyperlink w:history="true" w:anchor="_bookmark29">
        <w:r>
          <w:rPr>
            <w:color w:val="007FAC"/>
            <w:spacing w:val="-3"/>
            <w:w w:val="110"/>
          </w:rPr>
          <w:t>18</w:t>
        </w:r>
      </w:hyperlink>
      <w:r>
        <w:rPr>
          <w:spacing w:val="-3"/>
          <w:w w:val="110"/>
        </w:rPr>
        <w:t>]. </w:t>
      </w:r>
      <w:r>
        <w:rPr>
          <w:w w:val="110"/>
        </w:rPr>
        <w:t>In</w:t>
      </w:r>
      <w:r>
        <w:rPr>
          <w:spacing w:val="-21"/>
          <w:w w:val="110"/>
        </w:rPr>
        <w:t> </w:t>
      </w:r>
      <w:r>
        <w:rPr>
          <w:w w:val="110"/>
        </w:rPr>
        <w:t>addition, the program found total per-episode cost of care was reduced</w:t>
      </w:r>
      <w:r>
        <w:rPr>
          <w:spacing w:val="-15"/>
          <w:w w:val="110"/>
        </w:rPr>
        <w:t> </w:t>
      </w:r>
      <w:r>
        <w:rPr>
          <w:w w:val="110"/>
        </w:rPr>
        <w:t>by more than 20% due to lower length of stay and readmissions, veri</w:t>
      </w:r>
      <w:r>
        <w:rPr>
          <w:rFonts w:ascii="Times New Roman" w:hAnsi="Times New Roman"/>
          <w:w w:val="110"/>
        </w:rPr>
        <w:t>ﬁ</w:t>
      </w:r>
      <w:r>
        <w:rPr>
          <w:w w:val="110"/>
        </w:rPr>
        <w:t>ed by a formal Centers for Medicare </w:t>
      </w:r>
      <w:r>
        <w:rPr>
          <w:rFonts w:ascii="Lucida Sans" w:hAnsi="Lucida Sans"/>
          <w:w w:val="110"/>
        </w:rPr>
        <w:t>&amp; </w:t>
      </w:r>
      <w:r>
        <w:rPr>
          <w:w w:val="110"/>
        </w:rPr>
        <w:t>Medicaid Services comparison</w:t>
      </w:r>
      <w:r>
        <w:rPr>
          <w:spacing w:val="-9"/>
          <w:w w:val="110"/>
        </w:rPr>
        <w:t> </w:t>
      </w:r>
      <w:r>
        <w:rPr>
          <w:spacing w:val="-3"/>
          <w:w w:val="110"/>
        </w:rPr>
        <w:t>[</w:t>
      </w:r>
      <w:hyperlink w:history="true" w:anchor="_bookmark29">
        <w:r>
          <w:rPr>
            <w:color w:val="007FAC"/>
            <w:spacing w:val="-3"/>
            <w:w w:val="110"/>
          </w:rPr>
          <w:t>18</w:t>
        </w:r>
      </w:hyperlink>
      <w:r>
        <w:rPr>
          <w:spacing w:val="-3"/>
          <w:w w:val="110"/>
        </w:rPr>
        <w:t>].</w:t>
      </w:r>
      <w:r>
        <w:rPr>
          <w:spacing w:val="-9"/>
          <w:w w:val="110"/>
        </w:rPr>
        <w:t> </w:t>
      </w:r>
      <w:r>
        <w:rPr>
          <w:w w:val="110"/>
        </w:rPr>
        <w:t>These</w:t>
      </w:r>
      <w:r>
        <w:rPr>
          <w:spacing w:val="-8"/>
          <w:w w:val="110"/>
        </w:rPr>
        <w:t> </w:t>
      </w:r>
      <w:r>
        <w:rPr>
          <w:rFonts w:ascii="Times New Roman" w:hAnsi="Times New Roman"/>
          <w:w w:val="110"/>
        </w:rPr>
        <w:t>ﬁ</w:t>
      </w:r>
      <w:r>
        <w:rPr>
          <w:w w:val="110"/>
        </w:rPr>
        <w:t>ndings</w:t>
      </w:r>
      <w:r>
        <w:rPr>
          <w:spacing w:val="-10"/>
          <w:w w:val="110"/>
        </w:rPr>
        <w:t> </w:t>
      </w:r>
      <w:r>
        <w:rPr>
          <w:w w:val="110"/>
        </w:rPr>
        <w:t>highlight</w:t>
      </w:r>
      <w:r>
        <w:rPr>
          <w:spacing w:val="-8"/>
          <w:w w:val="110"/>
        </w:rPr>
        <w:t> </w:t>
      </w:r>
      <w:r>
        <w:rPr>
          <w:w w:val="110"/>
        </w:rPr>
        <w:t>the</w:t>
      </w:r>
      <w:r>
        <w:rPr>
          <w:spacing w:val="-8"/>
          <w:w w:val="110"/>
        </w:rPr>
        <w:t> </w:t>
      </w:r>
      <w:r>
        <w:rPr>
          <w:w w:val="110"/>
        </w:rPr>
        <w:t>potential</w:t>
      </w:r>
      <w:r>
        <w:rPr>
          <w:spacing w:val="-8"/>
          <w:w w:val="110"/>
        </w:rPr>
        <w:t> </w:t>
      </w:r>
      <w:r>
        <w:rPr>
          <w:w w:val="110"/>
        </w:rPr>
        <w:t>bene</w:t>
      </w:r>
      <w:r>
        <w:rPr>
          <w:rFonts w:ascii="Times New Roman" w:hAnsi="Times New Roman"/>
          <w:w w:val="110"/>
        </w:rPr>
        <w:t>ﬁ</w:t>
      </w:r>
      <w:r>
        <w:rPr>
          <w:w w:val="110"/>
        </w:rPr>
        <w:t>ts</w:t>
      </w:r>
      <w:r>
        <w:rPr>
          <w:spacing w:val="-9"/>
          <w:w w:val="110"/>
        </w:rPr>
        <w:t> </w:t>
      </w:r>
      <w:r>
        <w:rPr>
          <w:w w:val="110"/>
        </w:rPr>
        <w:t>of clinical</w:t>
      </w:r>
      <w:r>
        <w:rPr>
          <w:spacing w:val="-20"/>
          <w:w w:val="110"/>
        </w:rPr>
        <w:t> </w:t>
      </w:r>
      <w:r>
        <w:rPr>
          <w:w w:val="110"/>
        </w:rPr>
        <w:t>pathways</w:t>
      </w:r>
      <w:r>
        <w:rPr>
          <w:spacing w:val="-19"/>
          <w:w w:val="110"/>
        </w:rPr>
        <w:t> </w:t>
      </w:r>
      <w:r>
        <w:rPr>
          <w:w w:val="110"/>
        </w:rPr>
        <w:t>that</w:t>
      </w:r>
      <w:r>
        <w:rPr>
          <w:spacing w:val="-19"/>
          <w:w w:val="110"/>
        </w:rPr>
        <w:t> </w:t>
      </w:r>
      <w:r>
        <w:rPr>
          <w:w w:val="110"/>
        </w:rPr>
        <w:t>focus</w:t>
      </w:r>
      <w:r>
        <w:rPr>
          <w:spacing w:val="-19"/>
          <w:w w:val="110"/>
        </w:rPr>
        <w:t> </w:t>
      </w:r>
      <w:r>
        <w:rPr>
          <w:w w:val="110"/>
        </w:rPr>
        <w:t>on</w:t>
      </w:r>
      <w:r>
        <w:rPr>
          <w:spacing w:val="-20"/>
          <w:w w:val="110"/>
        </w:rPr>
        <w:t> </w:t>
      </w:r>
      <w:r>
        <w:rPr>
          <w:w w:val="110"/>
        </w:rPr>
        <w:t>consistent,</w:t>
      </w:r>
      <w:r>
        <w:rPr>
          <w:spacing w:val="-20"/>
          <w:w w:val="110"/>
        </w:rPr>
        <w:t> </w:t>
      </w:r>
      <w:r>
        <w:rPr>
          <w:w w:val="110"/>
        </w:rPr>
        <w:t>uniform,</w:t>
      </w:r>
      <w:r>
        <w:rPr>
          <w:spacing w:val="-19"/>
          <w:w w:val="110"/>
        </w:rPr>
        <w:t> </w:t>
      </w:r>
      <w:r>
        <w:rPr>
          <w:w w:val="110"/>
        </w:rPr>
        <w:t>and</w:t>
      </w:r>
      <w:r>
        <w:rPr>
          <w:spacing w:val="-19"/>
          <w:w w:val="110"/>
        </w:rPr>
        <w:t> </w:t>
      </w:r>
      <w:r>
        <w:rPr>
          <w:spacing w:val="-3"/>
          <w:w w:val="110"/>
        </w:rPr>
        <w:t>watertight </w:t>
      </w:r>
      <w:r>
        <w:rPr>
          <w:w w:val="110"/>
        </w:rPr>
        <w:t>multilayer</w:t>
      </w:r>
      <w:r>
        <w:rPr>
          <w:spacing w:val="3"/>
          <w:w w:val="110"/>
        </w:rPr>
        <w:t> </w:t>
      </w:r>
      <w:r>
        <w:rPr>
          <w:w w:val="110"/>
        </w:rPr>
        <w:t>closure.</w:t>
      </w:r>
    </w:p>
    <w:p>
      <w:pPr>
        <w:pStyle w:val="BodyText"/>
        <w:spacing w:line="252" w:lineRule="auto" w:before="8"/>
        <w:ind w:left="116" w:right="38" w:firstLine="239"/>
        <w:jc w:val="both"/>
      </w:pPr>
      <w:r>
        <w:rPr>
          <w:w w:val="105"/>
        </w:rPr>
        <w:t>In addition, optimizing wound closure is an important factor to improve patient outcomes and reduce health-care costs given</w:t>
      </w:r>
    </w:p>
    <w:p>
      <w:pPr>
        <w:pStyle w:val="BodyText"/>
        <w:spacing w:line="252" w:lineRule="auto" w:before="106"/>
        <w:ind w:left="116" w:right="304"/>
        <w:jc w:val="both"/>
      </w:pPr>
      <w:r>
        <w:rPr/>
        <w:br w:type="column"/>
      </w:r>
      <w:r>
        <w:rPr>
          <w:w w:val="105"/>
        </w:rPr>
        <w:t>current health-care reform and bundled payment </w:t>
      </w:r>
      <w:r>
        <w:rPr>
          <w:spacing w:val="-3"/>
          <w:w w:val="105"/>
        </w:rPr>
        <w:t>initiatives </w:t>
      </w:r>
      <w:r>
        <w:rPr>
          <w:w w:val="105"/>
        </w:rPr>
        <w:t>established by Centers for Medicare </w:t>
      </w:r>
      <w:r>
        <w:rPr>
          <w:rFonts w:ascii="Lucida Sans" w:hAnsi="Lucida Sans"/>
          <w:w w:val="105"/>
        </w:rPr>
        <w:t>&amp; </w:t>
      </w:r>
      <w:r>
        <w:rPr>
          <w:w w:val="105"/>
        </w:rPr>
        <w:t>Medicaid Services for </w:t>
      </w:r>
      <w:r>
        <w:rPr>
          <w:spacing w:val="-3"/>
          <w:w w:val="105"/>
        </w:rPr>
        <w:t>hos- </w:t>
      </w:r>
      <w:r>
        <w:rPr>
          <w:w w:val="105"/>
        </w:rPr>
        <w:t>pital reimbursement of hip and knee arthroplasties [</w:t>
      </w:r>
      <w:hyperlink w:history="true" w:anchor="_bookmark70">
        <w:r>
          <w:rPr>
            <w:color w:val="007FAC"/>
            <w:w w:val="105"/>
          </w:rPr>
          <w:t>62</w:t>
        </w:r>
      </w:hyperlink>
      <w:r>
        <w:rPr>
          <w:w w:val="105"/>
        </w:rPr>
        <w:t>]. Imple- menting a patient pathway incorporating multilayer, watertight closure, such as the ICPs that have demonstrated low rates of adverse events or delayed wound-healing complications, can enable hospitals to avoid excess costs given that high rates of adverse events will unfavorably impact bundled </w:t>
      </w:r>
      <w:r>
        <w:rPr>
          <w:spacing w:val="-3"/>
          <w:w w:val="105"/>
        </w:rPr>
        <w:t>payments. </w:t>
      </w:r>
      <w:r>
        <w:rPr>
          <w:w w:val="105"/>
        </w:rPr>
        <w:t>Another important consideration is the impact of different closure methods on value-based purchasing programs such as the Hospital Readmissions Reduction Program [</w:t>
      </w:r>
      <w:hyperlink w:history="true" w:anchor="_bookmark71">
        <w:r>
          <w:rPr>
            <w:color w:val="007FAC"/>
            <w:w w:val="105"/>
          </w:rPr>
          <w:t>63</w:t>
        </w:r>
      </w:hyperlink>
      <w:r>
        <w:rPr>
          <w:w w:val="105"/>
        </w:rPr>
        <w:t>]. Adverse events associated with delayed wound healing, such as SSI, wound dehiscence, </w:t>
      </w:r>
      <w:r>
        <w:rPr>
          <w:spacing w:val="-4"/>
          <w:w w:val="105"/>
        </w:rPr>
        <w:t>and </w:t>
      </w:r>
      <w:r>
        <w:rPr>
          <w:w w:val="105"/>
        </w:rPr>
        <w:t>prolonged drainage, may impact the stress experienced by patients and providers, potentially diminishing the bene</w:t>
      </w:r>
      <w:r>
        <w:rPr>
          <w:rFonts w:ascii="Times New Roman" w:hAnsi="Times New Roman"/>
          <w:w w:val="105"/>
        </w:rPr>
        <w:t>ﬁ</w:t>
      </w:r>
      <w:r>
        <w:rPr>
          <w:w w:val="105"/>
        </w:rPr>
        <w:t>t of these pro- grams</w:t>
      </w:r>
      <w:r>
        <w:rPr>
          <w:spacing w:val="8"/>
          <w:w w:val="105"/>
        </w:rPr>
        <w:t> </w:t>
      </w:r>
      <w:r>
        <w:rPr>
          <w:w w:val="105"/>
        </w:rPr>
        <w:t>[</w:t>
      </w:r>
      <w:hyperlink w:history="true" w:anchor="_bookmark64">
        <w:r>
          <w:rPr>
            <w:color w:val="007FAC"/>
            <w:w w:val="105"/>
          </w:rPr>
          <w:t>52</w:t>
        </w:r>
      </w:hyperlink>
      <w:r>
        <w:rPr>
          <w:w w:val="105"/>
        </w:rPr>
        <w:t>].</w:t>
      </w:r>
    </w:p>
    <w:p>
      <w:pPr>
        <w:pStyle w:val="BodyText"/>
        <w:spacing w:line="252" w:lineRule="auto" w:before="6"/>
        <w:ind w:left="116" w:right="305" w:firstLine="238"/>
        <w:jc w:val="both"/>
      </w:pPr>
      <w:r>
        <w:rPr>
          <w:w w:val="105"/>
        </w:rPr>
        <w:t>The </w:t>
      </w:r>
      <w:r>
        <w:rPr>
          <w:rFonts w:ascii="Times New Roman" w:hAnsi="Times New Roman"/>
          <w:w w:val="105"/>
        </w:rPr>
        <w:t>ﬁ</w:t>
      </w:r>
      <w:r>
        <w:rPr>
          <w:w w:val="105"/>
        </w:rPr>
        <w:t>ndings of this qualitative systematic review are aligned with the </w:t>
      </w:r>
      <w:r>
        <w:rPr>
          <w:rFonts w:ascii="Times New Roman" w:hAnsi="Times New Roman"/>
          <w:w w:val="105"/>
        </w:rPr>
        <w:t>ﬁ</w:t>
      </w:r>
      <w:r>
        <w:rPr>
          <w:w w:val="105"/>
        </w:rPr>
        <w:t>ndings from existing reviews; however, several impor- tant differences exist. In general, both this study and previous literature identi</w:t>
      </w:r>
      <w:r>
        <w:rPr>
          <w:rFonts w:ascii="Times New Roman" w:hAnsi="Times New Roman"/>
          <w:w w:val="105"/>
        </w:rPr>
        <w:t>ﬁ</w:t>
      </w:r>
      <w:r>
        <w:rPr>
          <w:w w:val="105"/>
        </w:rPr>
        <w:t>ed a wide range of wound closure adverse events reported across studies [</w:t>
      </w:r>
      <w:hyperlink w:history="true" w:anchor="_bookmark21">
        <w:r>
          <w:rPr>
            <w:color w:val="007FAC"/>
            <w:w w:val="105"/>
          </w:rPr>
          <w:t>10</w:t>
        </w:r>
      </w:hyperlink>
      <w:r>
        <w:rPr>
          <w:rFonts w:ascii="Lucida Sans" w:hAnsi="Lucida Sans"/>
          <w:color w:val="007FAC"/>
          <w:w w:val="105"/>
        </w:rPr>
        <w:t>e</w:t>
      </w:r>
      <w:hyperlink w:history="true" w:anchor="_bookmark21">
        <w:r>
          <w:rPr>
            <w:color w:val="007FAC"/>
            <w:w w:val="105"/>
          </w:rPr>
          <w:t>12</w:t>
        </w:r>
      </w:hyperlink>
      <w:r>
        <w:rPr>
          <w:w w:val="105"/>
        </w:rPr>
        <w:t>,</w:t>
      </w:r>
      <w:hyperlink w:history="true" w:anchor="_bookmark72">
        <w:r>
          <w:rPr>
            <w:color w:val="007FAC"/>
            <w:w w:val="105"/>
          </w:rPr>
          <w:t>64</w:t>
        </w:r>
      </w:hyperlink>
      <w:r>
        <w:rPr>
          <w:rFonts w:ascii="Lucida Sans" w:hAnsi="Lucida Sans"/>
          <w:color w:val="007FAC"/>
          <w:w w:val="105"/>
        </w:rPr>
        <w:t>e</w:t>
      </w:r>
      <w:hyperlink w:history="true" w:anchor="_bookmark72">
        <w:r>
          <w:rPr>
            <w:color w:val="007FAC"/>
            <w:w w:val="105"/>
          </w:rPr>
          <w:t>66</w:t>
        </w:r>
      </w:hyperlink>
      <w:r>
        <w:rPr>
          <w:w w:val="105"/>
        </w:rPr>
        <w:t>]. Key strengths of this study, compared with past publications, is the more comprehensive,</w:t>
      </w:r>
    </w:p>
    <w:p>
      <w:pPr>
        <w:spacing w:after="0" w:line="252" w:lineRule="auto"/>
        <w:jc w:val="both"/>
        <w:sectPr>
          <w:type w:val="continuous"/>
          <w:pgSz w:w="11910" w:h="15880"/>
          <w:pgMar w:top="840" w:bottom="360" w:left="540" w:right="540"/>
          <w:cols w:num="2" w:equalWidth="0">
            <w:col w:w="5180" w:space="201"/>
            <w:col w:w="5449"/>
          </w:cols>
        </w:sectPr>
      </w:pPr>
    </w:p>
    <w:p>
      <w:pPr>
        <w:tabs>
          <w:tab w:pos="10711" w:val="right" w:leader="none"/>
        </w:tabs>
        <w:spacing w:before="99"/>
        <w:ind w:left="3851" w:right="0" w:firstLine="0"/>
        <w:jc w:val="left"/>
        <w:rPr>
          <w:sz w:val="12"/>
        </w:rPr>
      </w:pPr>
      <w:bookmarkStart w:name="Conclusions" w:id="18"/>
      <w:bookmarkEnd w:id="18"/>
      <w:r>
        <w:rPr/>
      </w:r>
      <w:bookmarkStart w:name="Conflicts of interest" w:id="19"/>
      <w:bookmarkEnd w:id="19"/>
      <w:r>
        <w:rPr/>
      </w:r>
      <w:bookmarkStart w:name="Acknowledgment" w:id="20"/>
      <w:bookmarkEnd w:id="20"/>
      <w:r>
        <w:rPr/>
      </w:r>
      <w:bookmarkStart w:name="References" w:id="21"/>
      <w:bookmarkEnd w:id="21"/>
      <w:r>
        <w:rPr/>
      </w:r>
      <w:r>
        <w:rPr>
          <w:i/>
          <w:w w:val="110"/>
          <w:sz w:val="12"/>
        </w:rPr>
        <w:t>M.A. Snyder et al. / Arthroplasty Today xxx</w:t>
      </w:r>
      <w:r>
        <w:rPr>
          <w:i/>
          <w:spacing w:val="8"/>
          <w:w w:val="110"/>
          <w:sz w:val="12"/>
        </w:rPr>
        <w:t> </w:t>
      </w:r>
      <w:r>
        <w:rPr>
          <w:i/>
          <w:w w:val="110"/>
          <w:sz w:val="12"/>
        </w:rPr>
        <w:t>(2021)</w:t>
      </w:r>
      <w:r>
        <w:rPr>
          <w:i/>
          <w:spacing w:val="10"/>
          <w:w w:val="110"/>
          <w:sz w:val="12"/>
        </w:rPr>
        <w:t> </w:t>
      </w:r>
      <w:r>
        <w:rPr>
          <w:i/>
          <w:spacing w:val="-3"/>
          <w:w w:val="110"/>
          <w:sz w:val="12"/>
        </w:rPr>
        <w:t>1</w:t>
      </w:r>
      <w:r>
        <w:rPr>
          <w:rFonts w:ascii="Lucida Sans"/>
          <w:spacing w:val="-3"/>
          <w:w w:val="110"/>
          <w:sz w:val="12"/>
        </w:rPr>
        <w:t>e</w:t>
      </w:r>
      <w:r>
        <w:rPr>
          <w:i/>
          <w:spacing w:val="-3"/>
          <w:w w:val="110"/>
          <w:sz w:val="12"/>
        </w:rPr>
        <w:t>10.e7</w:t>
        <w:tab/>
      </w:r>
      <w:r>
        <w:rPr>
          <w:w w:val="110"/>
          <w:sz w:val="12"/>
        </w:rPr>
        <w:t>9</w:t>
      </w:r>
    </w:p>
    <w:p>
      <w:pPr>
        <w:spacing w:after="0"/>
        <w:jc w:val="left"/>
        <w:rPr>
          <w:sz w:val="12"/>
        </w:rPr>
        <w:sectPr>
          <w:pgSz w:w="11910" w:h="15880"/>
          <w:pgMar w:header="210" w:footer="165" w:top="840" w:bottom="360" w:left="540" w:right="540"/>
        </w:sectPr>
      </w:pPr>
    </w:p>
    <w:p>
      <w:pPr>
        <w:pStyle w:val="BodyText"/>
        <w:spacing w:before="8"/>
      </w:pPr>
    </w:p>
    <w:p>
      <w:pPr>
        <w:pStyle w:val="BodyText"/>
        <w:spacing w:line="252" w:lineRule="auto"/>
        <w:ind w:left="310"/>
        <w:jc w:val="both"/>
      </w:pPr>
      <w:r>
        <w:rPr>
          <w:w w:val="105"/>
        </w:rPr>
        <w:t>systematic approach taken for identifying and categorizing closure methods, with detailed techniques used within different tissue layers</w:t>
      </w:r>
      <w:r>
        <w:rPr>
          <w:rFonts w:ascii="Lucida Sans" w:hAnsi="Lucida Sans"/>
          <w:w w:val="105"/>
        </w:rPr>
        <w:t>d</w:t>
      </w:r>
      <w:r>
        <w:rPr>
          <w:w w:val="105"/>
        </w:rPr>
        <w:t>from joint capsule/fascia to super</w:t>
      </w:r>
      <w:r>
        <w:rPr>
          <w:rFonts w:ascii="Times New Roman" w:hAnsi="Times New Roman"/>
          <w:w w:val="105"/>
        </w:rPr>
        <w:t>ﬁ</w:t>
      </w:r>
      <w:r>
        <w:rPr>
          <w:w w:val="105"/>
        </w:rPr>
        <w:t>cial layer</w:t>
      </w:r>
      <w:r>
        <w:rPr>
          <w:rFonts w:ascii="Lucida Sans" w:hAnsi="Lucida Sans"/>
          <w:w w:val="105"/>
        </w:rPr>
        <w:t>d</w:t>
      </w:r>
      <w:r>
        <w:rPr>
          <w:w w:val="105"/>
        </w:rPr>
        <w:t>being sum- marized to present a more complete assessment of wound closure after hip and knee arthroplasties. Past studies have not compre- hensively assessed all different types of wound closure methods and products used in practice in a single review.</w:t>
      </w:r>
    </w:p>
    <w:p>
      <w:pPr>
        <w:pStyle w:val="BodyText"/>
        <w:spacing w:line="252" w:lineRule="auto" w:before="1"/>
        <w:ind w:left="310" w:firstLine="239"/>
        <w:jc w:val="both"/>
      </w:pPr>
      <w:r>
        <w:rPr>
          <w:w w:val="105"/>
        </w:rPr>
        <w:t>As a result of the comprehensive inclusion of various studies, a key limitation of this systematic review was the inability to pool evidence in a meta-analysis. This was due to substantial hetero- geneity across studies for methods of closure by tissue layer, product types used within layers, other factors impacting SSIs and PJIs, lack of consistent SSI de</w:t>
      </w:r>
      <w:r>
        <w:rPr>
          <w:rFonts w:ascii="Times New Roman" w:hAnsi="Times New Roman"/>
          <w:w w:val="105"/>
        </w:rPr>
        <w:t>ﬁ</w:t>
      </w:r>
      <w:r>
        <w:rPr>
          <w:w w:val="105"/>
        </w:rPr>
        <w:t>nitions, and absent standardized reporting. Furthermore, many of the recently introduced technol- ogies (eg, TSA with polyester mesh) and wound closure methods have relatively limited data compared with conventional methods. Finally, the quality assessment in our study indicated that several randomized studies were associated with high risk of bias. Although a large source of this bias appeared to be suboptimal study blinding, due to inherent challenges associated with blinding of devices and supplies, several assessments had additional sources of bias which could not be clearly elucidated. As such, additional high-quality, comparative studies that comprehensively assess promising technologies with early reports of low rates of wound- healing-related adverse events are needed.</w:t>
      </w:r>
    </w:p>
    <w:p>
      <w:pPr>
        <w:pStyle w:val="BodyText"/>
        <w:spacing w:before="5"/>
        <w:rPr>
          <w:sz w:val="22"/>
        </w:rPr>
      </w:pPr>
    </w:p>
    <w:p>
      <w:pPr>
        <w:pStyle w:val="BodyText"/>
        <w:ind w:left="310"/>
      </w:pPr>
      <w:r>
        <w:rPr>
          <w:w w:val="110"/>
        </w:rPr>
        <w:t>Conclusions</w:t>
      </w:r>
    </w:p>
    <w:p>
      <w:pPr>
        <w:pStyle w:val="BodyText"/>
        <w:spacing w:before="8"/>
        <w:rPr>
          <w:sz w:val="17"/>
        </w:rPr>
      </w:pPr>
    </w:p>
    <w:p>
      <w:pPr>
        <w:pStyle w:val="BodyText"/>
        <w:spacing w:line="252" w:lineRule="auto" w:before="1"/>
        <w:ind w:left="310" w:firstLine="239"/>
        <w:jc w:val="both"/>
      </w:pPr>
      <w:r>
        <w:rPr>
          <w:w w:val="105"/>
        </w:rPr>
        <w:t>There is a need to standardize methods for wound closure in</w:t>
      </w:r>
      <w:r>
        <w:rPr>
          <w:spacing w:val="-29"/>
          <w:w w:val="105"/>
        </w:rPr>
        <w:t> </w:t>
      </w:r>
      <w:r>
        <w:rPr>
          <w:spacing w:val="-4"/>
          <w:w w:val="105"/>
        </w:rPr>
        <w:t>hip </w:t>
      </w:r>
      <w:r>
        <w:rPr>
          <w:w w:val="105"/>
        </w:rPr>
        <w:t>and knee arthroplasties to minimize the risk of complications </w:t>
      </w:r>
      <w:r>
        <w:rPr>
          <w:spacing w:val="-3"/>
          <w:w w:val="105"/>
        </w:rPr>
        <w:t>after </w:t>
      </w:r>
      <w:r>
        <w:rPr>
          <w:w w:val="105"/>
        </w:rPr>
        <w:t>the procedure. The optimal tools available to powerfully mitigate practice variations may include ICPs in conjunction with</w:t>
      </w:r>
      <w:r>
        <w:rPr>
          <w:spacing w:val="-24"/>
          <w:w w:val="105"/>
        </w:rPr>
        <w:t> </w:t>
      </w:r>
      <w:r>
        <w:rPr>
          <w:spacing w:val="-4"/>
          <w:w w:val="105"/>
        </w:rPr>
        <w:t>multilayer, </w:t>
      </w:r>
      <w:r>
        <w:rPr>
          <w:w w:val="105"/>
        </w:rPr>
        <w:t>watertight closure because they standardize important </w:t>
      </w:r>
      <w:r>
        <w:rPr>
          <w:spacing w:val="-3"/>
          <w:w w:val="105"/>
        </w:rPr>
        <w:t>periopera- </w:t>
      </w:r>
      <w:r>
        <w:rPr>
          <w:w w:val="105"/>
        </w:rPr>
        <w:t>tive best practices impacting multiple adverse events. The use </w:t>
      </w:r>
      <w:r>
        <w:rPr>
          <w:spacing w:val="-7"/>
          <w:w w:val="105"/>
        </w:rPr>
        <w:t>of </w:t>
      </w:r>
      <w:r>
        <w:rPr>
          <w:w w:val="105"/>
        </w:rPr>
        <w:t>multilayer watertight closure technologies, including, </w:t>
      </w:r>
      <w:r>
        <w:rPr>
          <w:spacing w:val="-3"/>
          <w:w w:val="105"/>
        </w:rPr>
        <w:t>antimicro- </w:t>
      </w:r>
      <w:r>
        <w:rPr>
          <w:w w:val="105"/>
        </w:rPr>
        <w:t>bial sutures, barbed sutures, and TSA with polyester mesh, </w:t>
      </w:r>
      <w:r>
        <w:rPr>
          <w:spacing w:val="-4"/>
          <w:w w:val="105"/>
        </w:rPr>
        <w:t>has </w:t>
      </w:r>
      <w:r>
        <w:rPr>
          <w:w w:val="105"/>
        </w:rPr>
        <w:t>demonstrated very low rates of wound-healing complications, </w:t>
      </w:r>
      <w:r>
        <w:rPr>
          <w:spacing w:val="-4"/>
          <w:w w:val="105"/>
        </w:rPr>
        <w:t>such </w:t>
      </w:r>
      <w:r>
        <w:rPr>
          <w:w w:val="105"/>
        </w:rPr>
        <w:t>as SSIs and delayed wound healing, in patients who </w:t>
      </w:r>
      <w:r>
        <w:rPr>
          <w:spacing w:val="-3"/>
          <w:w w:val="105"/>
        </w:rPr>
        <w:t>underwent </w:t>
      </w:r>
      <w:r>
        <w:rPr>
          <w:w w:val="105"/>
        </w:rPr>
        <w:t>primary hip or knee</w:t>
      </w:r>
      <w:r>
        <w:rPr>
          <w:spacing w:val="27"/>
          <w:w w:val="105"/>
        </w:rPr>
        <w:t> </w:t>
      </w:r>
      <w:r>
        <w:rPr>
          <w:w w:val="105"/>
        </w:rPr>
        <w:t>arthroplasty.</w:t>
      </w:r>
    </w:p>
    <w:p>
      <w:pPr>
        <w:pStyle w:val="BodyText"/>
        <w:spacing w:before="2"/>
        <w:rPr>
          <w:sz w:val="22"/>
        </w:rPr>
      </w:pPr>
    </w:p>
    <w:p>
      <w:pPr>
        <w:pStyle w:val="BodyText"/>
        <w:spacing w:before="1"/>
        <w:ind w:left="310"/>
      </w:pPr>
      <w:r>
        <w:rPr>
          <w:w w:val="115"/>
        </w:rPr>
        <w:t>Con</w:t>
      </w:r>
      <w:r>
        <w:rPr>
          <w:rFonts w:ascii="Times New Roman" w:hAnsi="Times New Roman"/>
          <w:w w:val="115"/>
        </w:rPr>
        <w:t>ﬂ</w:t>
      </w:r>
      <w:r>
        <w:rPr>
          <w:w w:val="115"/>
        </w:rPr>
        <w:t>icts of interest</w:t>
      </w:r>
    </w:p>
    <w:p>
      <w:pPr>
        <w:pStyle w:val="BodyText"/>
        <w:spacing w:before="8"/>
        <w:rPr>
          <w:sz w:val="17"/>
        </w:rPr>
      </w:pPr>
    </w:p>
    <w:p>
      <w:pPr>
        <w:pStyle w:val="BodyText"/>
        <w:spacing w:line="252" w:lineRule="auto"/>
        <w:ind w:left="310" w:firstLine="239"/>
        <w:jc w:val="both"/>
      </w:pPr>
      <w:r>
        <w:rPr>
          <w:w w:val="105"/>
        </w:rPr>
        <w:t>The authors declare the following </w:t>
      </w:r>
      <w:r>
        <w:rPr>
          <w:rFonts w:ascii="Times New Roman" w:hAnsi="Times New Roman"/>
          <w:w w:val="105"/>
        </w:rPr>
        <w:t>ﬁ</w:t>
      </w:r>
      <w:r>
        <w:rPr>
          <w:w w:val="105"/>
        </w:rPr>
        <w:t>nancial interests/personal relationships which may be considered as potential competing interests: Mark A. Snyder is a paid consultant of Ethicon, Inc. Brian</w:t>
      </w:r>
    </w:p>
    <w:p>
      <w:pPr>
        <w:pStyle w:val="BodyText"/>
        <w:spacing w:line="252" w:lineRule="auto" w:before="2"/>
        <w:ind w:left="310"/>
        <w:jc w:val="both"/>
      </w:pPr>
      <w:r>
        <w:rPr>
          <w:spacing w:val="-7"/>
          <w:w w:val="105"/>
        </w:rPr>
        <w:t>P. </w:t>
      </w:r>
      <w:r>
        <w:rPr>
          <w:w w:val="105"/>
        </w:rPr>
        <w:t>Chen is an employee of Ethicon, Inc. George </w:t>
      </w:r>
      <w:r>
        <w:rPr>
          <w:spacing w:val="-3"/>
          <w:w w:val="105"/>
        </w:rPr>
        <w:t>W.J. </w:t>
      </w:r>
      <w:r>
        <w:rPr>
          <w:w w:val="105"/>
        </w:rPr>
        <w:t>Wright </w:t>
      </w:r>
      <w:r>
        <w:rPr>
          <w:spacing w:val="-4"/>
          <w:w w:val="105"/>
        </w:rPr>
        <w:t>and </w:t>
      </w:r>
      <w:r>
        <w:rPr>
          <w:w w:val="105"/>
        </w:rPr>
        <w:t>Andrew</w:t>
      </w:r>
      <w:r>
        <w:rPr>
          <w:spacing w:val="-6"/>
          <w:w w:val="105"/>
        </w:rPr>
        <w:t> </w:t>
      </w:r>
      <w:r>
        <w:rPr>
          <w:w w:val="105"/>
        </w:rPr>
        <w:t>Hogan</w:t>
      </w:r>
      <w:r>
        <w:rPr>
          <w:spacing w:val="-4"/>
          <w:w w:val="105"/>
        </w:rPr>
        <w:t> </w:t>
      </w:r>
      <w:r>
        <w:rPr>
          <w:w w:val="105"/>
        </w:rPr>
        <w:t>are</w:t>
      </w:r>
      <w:r>
        <w:rPr>
          <w:spacing w:val="-5"/>
          <w:w w:val="105"/>
        </w:rPr>
        <w:t> </w:t>
      </w:r>
      <w:r>
        <w:rPr>
          <w:w w:val="105"/>
        </w:rPr>
        <w:t>employees</w:t>
      </w:r>
      <w:r>
        <w:rPr>
          <w:spacing w:val="-4"/>
          <w:w w:val="105"/>
        </w:rPr>
        <w:t> </w:t>
      </w:r>
      <w:r>
        <w:rPr>
          <w:w w:val="105"/>
        </w:rPr>
        <w:t>of</w:t>
      </w:r>
      <w:r>
        <w:rPr>
          <w:spacing w:val="-5"/>
          <w:w w:val="105"/>
        </w:rPr>
        <w:t> </w:t>
      </w:r>
      <w:r>
        <w:rPr>
          <w:w w:val="105"/>
        </w:rPr>
        <w:t>CRG-EVERSANA,</w:t>
      </w:r>
      <w:r>
        <w:rPr>
          <w:spacing w:val="-5"/>
          <w:w w:val="105"/>
        </w:rPr>
        <w:t> </w:t>
      </w:r>
      <w:r>
        <w:rPr>
          <w:w w:val="105"/>
        </w:rPr>
        <w:t>which</w:t>
      </w:r>
      <w:r>
        <w:rPr>
          <w:spacing w:val="-4"/>
          <w:w w:val="105"/>
        </w:rPr>
        <w:t> </w:t>
      </w:r>
      <w:r>
        <w:rPr>
          <w:spacing w:val="-3"/>
          <w:w w:val="105"/>
        </w:rPr>
        <w:t>received </w:t>
      </w:r>
      <w:r>
        <w:rPr>
          <w:w w:val="105"/>
        </w:rPr>
        <w:t>funding from Ethicon,</w:t>
      </w:r>
      <w:r>
        <w:rPr>
          <w:spacing w:val="19"/>
          <w:w w:val="105"/>
        </w:rPr>
        <w:t> </w:t>
      </w:r>
      <w:r>
        <w:rPr>
          <w:w w:val="105"/>
        </w:rPr>
        <w:t>Inc.</w:t>
      </w:r>
    </w:p>
    <w:p>
      <w:pPr>
        <w:pStyle w:val="BodyText"/>
        <w:spacing w:before="10"/>
        <w:rPr>
          <w:sz w:val="21"/>
        </w:rPr>
      </w:pPr>
    </w:p>
    <w:p>
      <w:pPr>
        <w:pStyle w:val="BodyText"/>
        <w:ind w:left="310"/>
      </w:pPr>
      <w:r>
        <w:rPr>
          <w:w w:val="110"/>
        </w:rPr>
        <w:t>Acknowledgment</w:t>
      </w:r>
    </w:p>
    <w:p>
      <w:pPr>
        <w:pStyle w:val="BodyText"/>
        <w:spacing w:before="9"/>
        <w:rPr>
          <w:sz w:val="17"/>
        </w:rPr>
      </w:pPr>
    </w:p>
    <w:p>
      <w:pPr>
        <w:pStyle w:val="BodyText"/>
        <w:spacing w:line="252" w:lineRule="auto"/>
        <w:ind w:left="310" w:right="1" w:firstLine="239"/>
        <w:jc w:val="both"/>
      </w:pPr>
      <w:r>
        <w:rPr>
          <w:w w:val="105"/>
        </w:rPr>
        <w:t>The authors would like to acknowledge Aleeshah Ahmad for proofreading the manuscript.</w:t>
      </w:r>
    </w:p>
    <w:p>
      <w:pPr>
        <w:pStyle w:val="BodyText"/>
        <w:spacing w:before="1"/>
        <w:ind w:left="549"/>
      </w:pPr>
      <w:r>
        <w:rPr>
          <w:w w:val="105"/>
        </w:rPr>
        <w:t>Funding: Funding for this project was provided by Ethicon, Inc.</w:t>
      </w:r>
    </w:p>
    <w:p>
      <w:pPr>
        <w:pStyle w:val="BodyText"/>
        <w:spacing w:before="7"/>
        <w:rPr>
          <w:sz w:val="22"/>
        </w:rPr>
      </w:pPr>
    </w:p>
    <w:p>
      <w:pPr>
        <w:pStyle w:val="BodyText"/>
        <w:ind w:left="310"/>
      </w:pPr>
      <w:bookmarkStart w:name="_bookmark12" w:id="22"/>
      <w:bookmarkEnd w:id="22"/>
      <w:r>
        <w:rPr/>
      </w:r>
      <w:r>
        <w:rPr>
          <w:w w:val="115"/>
        </w:rPr>
        <w:t>References</w:t>
      </w:r>
    </w:p>
    <w:p>
      <w:pPr>
        <w:pStyle w:val="BodyText"/>
        <w:spacing w:before="2"/>
      </w:pPr>
    </w:p>
    <w:p>
      <w:pPr>
        <w:pStyle w:val="ListParagraph"/>
        <w:numPr>
          <w:ilvl w:val="0"/>
          <w:numId w:val="3"/>
        </w:numPr>
        <w:tabs>
          <w:tab w:pos="628" w:val="left" w:leader="none"/>
        </w:tabs>
        <w:spacing w:line="256" w:lineRule="auto" w:before="1" w:after="0"/>
        <w:ind w:left="627" w:right="1" w:hanging="250"/>
        <w:jc w:val="both"/>
        <w:rPr>
          <w:sz w:val="12"/>
        </w:rPr>
      </w:pPr>
      <w:bookmarkStart w:name="_bookmark13" w:id="23"/>
      <w:bookmarkEnd w:id="23"/>
      <w:r>
        <w:rPr/>
      </w:r>
      <w:hyperlink r:id="rId36">
        <w:bookmarkStart w:name="_bookmark13" w:id="24"/>
        <w:bookmarkEnd w:id="24"/>
        <w:r>
          <w:rPr>
            <w:color w:val="007FAC"/>
            <w:w w:val="115"/>
            <w:sz w:val="12"/>
          </w:rPr>
          <w:t>Lawrie</w:t>
        </w:r>
        <w:r>
          <w:rPr>
            <w:color w:val="007FAC"/>
            <w:w w:val="115"/>
            <w:sz w:val="12"/>
          </w:rPr>
          <w:t> CM, Nunley RM. Advances in closure technology and technique </w:t>
        </w:r>
        <w:r>
          <w:rPr>
            <w:color w:val="007FAC"/>
            <w:spacing w:val="-4"/>
            <w:w w:val="115"/>
            <w:sz w:val="12"/>
          </w:rPr>
          <w:t>for</w:t>
        </w:r>
      </w:hyperlink>
      <w:hyperlink r:id="rId36">
        <w:r>
          <w:rPr>
            <w:color w:val="007FAC"/>
            <w:spacing w:val="-4"/>
            <w:w w:val="115"/>
            <w:sz w:val="12"/>
          </w:rPr>
          <w:t> </w:t>
        </w:r>
        <w:r>
          <w:rPr>
            <w:color w:val="007FAC"/>
            <w:w w:val="115"/>
            <w:sz w:val="12"/>
          </w:rPr>
          <w:t>total</w:t>
        </w:r>
        <w:r>
          <w:rPr>
            <w:color w:val="007FAC"/>
            <w:spacing w:val="16"/>
            <w:w w:val="115"/>
            <w:sz w:val="12"/>
          </w:rPr>
          <w:t> </w:t>
        </w:r>
        <w:r>
          <w:rPr>
            <w:color w:val="007FAC"/>
            <w:w w:val="115"/>
            <w:sz w:val="12"/>
          </w:rPr>
          <w:t>joint</w:t>
        </w:r>
        <w:r>
          <w:rPr>
            <w:color w:val="007FAC"/>
            <w:spacing w:val="16"/>
            <w:w w:val="115"/>
            <w:sz w:val="12"/>
          </w:rPr>
          <w:t> </w:t>
        </w:r>
        <w:r>
          <w:rPr>
            <w:color w:val="007FAC"/>
            <w:w w:val="115"/>
            <w:sz w:val="12"/>
          </w:rPr>
          <w:t>arthroplasty:</w:t>
        </w:r>
        <w:r>
          <w:rPr>
            <w:color w:val="007FAC"/>
            <w:spacing w:val="16"/>
            <w:w w:val="115"/>
            <w:sz w:val="12"/>
          </w:rPr>
          <w:t> </w:t>
        </w:r>
        <w:r>
          <w:rPr>
            <w:color w:val="007FAC"/>
            <w:w w:val="115"/>
            <w:sz w:val="12"/>
          </w:rPr>
          <w:t>stitches</w:t>
        </w:r>
        <w:r>
          <w:rPr>
            <w:color w:val="007FAC"/>
            <w:spacing w:val="17"/>
            <w:w w:val="115"/>
            <w:sz w:val="12"/>
          </w:rPr>
          <w:t> </w:t>
        </w:r>
        <w:r>
          <w:rPr>
            <w:color w:val="007FAC"/>
            <w:w w:val="115"/>
            <w:sz w:val="12"/>
          </w:rPr>
          <w:t>in</w:t>
        </w:r>
        <w:r>
          <w:rPr>
            <w:color w:val="007FAC"/>
            <w:spacing w:val="17"/>
            <w:w w:val="115"/>
            <w:sz w:val="12"/>
          </w:rPr>
          <w:t> </w:t>
        </w:r>
        <w:r>
          <w:rPr>
            <w:color w:val="007FAC"/>
            <w:w w:val="115"/>
            <w:sz w:val="12"/>
          </w:rPr>
          <w:t>time.</w:t>
        </w:r>
        <w:r>
          <w:rPr>
            <w:color w:val="007FAC"/>
            <w:spacing w:val="15"/>
            <w:w w:val="115"/>
            <w:sz w:val="12"/>
          </w:rPr>
          <w:t> </w:t>
        </w:r>
        <w:r>
          <w:rPr>
            <w:color w:val="007FAC"/>
            <w:w w:val="115"/>
            <w:sz w:val="12"/>
          </w:rPr>
          <w:t>Semin</w:t>
        </w:r>
        <w:r>
          <w:rPr>
            <w:color w:val="007FAC"/>
            <w:spacing w:val="17"/>
            <w:w w:val="115"/>
            <w:sz w:val="12"/>
          </w:rPr>
          <w:t> </w:t>
        </w:r>
        <w:r>
          <w:rPr>
            <w:color w:val="007FAC"/>
            <w:w w:val="115"/>
            <w:sz w:val="12"/>
          </w:rPr>
          <w:t>Arthroplasty</w:t>
        </w:r>
        <w:r>
          <w:rPr>
            <w:color w:val="007FAC"/>
            <w:spacing w:val="16"/>
            <w:w w:val="115"/>
            <w:sz w:val="12"/>
          </w:rPr>
          <w:t> </w:t>
        </w:r>
        <w:r>
          <w:rPr>
            <w:color w:val="007FAC"/>
            <w:w w:val="115"/>
            <w:sz w:val="12"/>
          </w:rPr>
          <w:t>2018;29(1):14</w:t>
        </w:r>
      </w:hyperlink>
      <w:r>
        <w:rPr>
          <w:w w:val="115"/>
          <w:sz w:val="12"/>
        </w:rPr>
        <w:t>.</w:t>
      </w:r>
    </w:p>
    <w:p>
      <w:pPr>
        <w:pStyle w:val="ListParagraph"/>
        <w:numPr>
          <w:ilvl w:val="0"/>
          <w:numId w:val="3"/>
        </w:numPr>
        <w:tabs>
          <w:tab w:pos="628" w:val="left" w:leader="none"/>
        </w:tabs>
        <w:spacing w:line="256" w:lineRule="auto" w:before="0" w:after="0"/>
        <w:ind w:left="627" w:right="1" w:hanging="250"/>
        <w:jc w:val="both"/>
        <w:rPr>
          <w:sz w:val="12"/>
        </w:rPr>
      </w:pPr>
      <w:bookmarkStart w:name="_bookmark14" w:id="25"/>
      <w:bookmarkEnd w:id="25"/>
      <w:r>
        <w:rPr/>
      </w:r>
      <w:hyperlink r:id="rId37">
        <w:bookmarkStart w:name="_bookmark14" w:id="26"/>
        <w:bookmarkEnd w:id="26"/>
        <w:r>
          <w:rPr>
            <w:color w:val="007FAC"/>
            <w:w w:val="110"/>
            <w:sz w:val="12"/>
          </w:rPr>
          <w:t>Mondini</w:t>
        </w:r>
        <w:r>
          <w:rPr>
            <w:color w:val="007FAC"/>
            <w:w w:val="110"/>
            <w:sz w:val="12"/>
          </w:rPr>
          <w:t> A, Bianchi L, Zagra L. Wound closure and wound monitoring in </w:t>
        </w:r>
        <w:r>
          <w:rPr>
            <w:color w:val="007FAC"/>
            <w:spacing w:val="-3"/>
            <w:w w:val="110"/>
            <w:sz w:val="12"/>
          </w:rPr>
          <w:t>total</w:t>
        </w:r>
      </w:hyperlink>
      <w:hyperlink r:id="rId37">
        <w:r>
          <w:rPr>
            <w:color w:val="007FAC"/>
            <w:spacing w:val="-3"/>
            <w:w w:val="110"/>
            <w:sz w:val="12"/>
          </w:rPr>
          <w:t> </w:t>
        </w:r>
        <w:r>
          <w:rPr>
            <w:color w:val="007FAC"/>
            <w:w w:val="110"/>
            <w:sz w:val="12"/>
          </w:rPr>
          <w:t>hip</w:t>
        </w:r>
        <w:r>
          <w:rPr>
            <w:color w:val="007FAC"/>
            <w:spacing w:val="15"/>
            <w:w w:val="110"/>
            <w:sz w:val="12"/>
          </w:rPr>
          <w:t> </w:t>
        </w:r>
        <w:r>
          <w:rPr>
            <w:color w:val="007FAC"/>
            <w:w w:val="110"/>
            <w:sz w:val="12"/>
          </w:rPr>
          <w:t>arthroplasty.</w:t>
        </w:r>
        <w:r>
          <w:rPr>
            <w:color w:val="007FAC"/>
            <w:spacing w:val="15"/>
            <w:w w:val="110"/>
            <w:sz w:val="12"/>
          </w:rPr>
          <w:t> </w:t>
        </w:r>
        <w:r>
          <w:rPr>
            <w:color w:val="007FAC"/>
            <w:w w:val="110"/>
            <w:sz w:val="12"/>
          </w:rPr>
          <w:t>An</w:t>
        </w:r>
        <w:r>
          <w:rPr>
            <w:color w:val="007FAC"/>
            <w:spacing w:val="15"/>
            <w:w w:val="110"/>
            <w:sz w:val="12"/>
          </w:rPr>
          <w:t> </w:t>
        </w:r>
        <w:r>
          <w:rPr>
            <w:color w:val="007FAC"/>
            <w:w w:val="110"/>
            <w:sz w:val="12"/>
          </w:rPr>
          <w:t>overview.</w:t>
        </w:r>
        <w:r>
          <w:rPr>
            <w:color w:val="007FAC"/>
            <w:spacing w:val="16"/>
            <w:w w:val="110"/>
            <w:sz w:val="12"/>
          </w:rPr>
          <w:t> </w:t>
        </w:r>
        <w:r>
          <w:rPr>
            <w:color w:val="007FAC"/>
            <w:w w:val="110"/>
            <w:sz w:val="12"/>
          </w:rPr>
          <w:t>Hip</w:t>
        </w:r>
        <w:r>
          <w:rPr>
            <w:color w:val="007FAC"/>
            <w:spacing w:val="14"/>
            <w:w w:val="110"/>
            <w:sz w:val="12"/>
          </w:rPr>
          <w:t> </w:t>
        </w:r>
        <w:r>
          <w:rPr>
            <w:color w:val="007FAC"/>
            <w:w w:val="110"/>
            <w:sz w:val="12"/>
          </w:rPr>
          <w:t>Int</w:t>
        </w:r>
        <w:r>
          <w:rPr>
            <w:color w:val="007FAC"/>
            <w:spacing w:val="16"/>
            <w:w w:val="110"/>
            <w:sz w:val="12"/>
          </w:rPr>
          <w:t> </w:t>
        </w:r>
        <w:r>
          <w:rPr>
            <w:color w:val="007FAC"/>
            <w:w w:val="110"/>
            <w:sz w:val="12"/>
          </w:rPr>
          <w:t>2012;22(Suppl</w:t>
        </w:r>
        <w:r>
          <w:rPr>
            <w:color w:val="007FAC"/>
            <w:spacing w:val="16"/>
            <w:w w:val="110"/>
            <w:sz w:val="12"/>
          </w:rPr>
          <w:t> </w:t>
        </w:r>
        <w:r>
          <w:rPr>
            <w:color w:val="007FAC"/>
            <w:w w:val="110"/>
            <w:sz w:val="12"/>
          </w:rPr>
          <w:t>8):S15</w:t>
        </w:r>
      </w:hyperlink>
      <w:r>
        <w:rPr>
          <w:w w:val="110"/>
          <w:sz w:val="12"/>
        </w:rPr>
        <w:t>.</w:t>
      </w:r>
    </w:p>
    <w:p>
      <w:pPr>
        <w:pStyle w:val="ListParagraph"/>
        <w:numPr>
          <w:ilvl w:val="0"/>
          <w:numId w:val="3"/>
        </w:numPr>
        <w:tabs>
          <w:tab w:pos="628" w:val="left" w:leader="none"/>
        </w:tabs>
        <w:spacing w:line="256" w:lineRule="auto" w:before="0" w:after="0"/>
        <w:ind w:left="627" w:right="0" w:hanging="250"/>
        <w:jc w:val="both"/>
        <w:rPr>
          <w:sz w:val="12"/>
        </w:rPr>
      </w:pPr>
      <w:bookmarkStart w:name="_bookmark15" w:id="27"/>
      <w:bookmarkEnd w:id="27"/>
      <w:r>
        <w:rPr/>
      </w:r>
      <w:hyperlink r:id="rId38">
        <w:bookmarkStart w:name="_bookmark15" w:id="28"/>
        <w:bookmarkEnd w:id="28"/>
        <w:r>
          <w:rPr>
            <w:color w:val="007FAC"/>
            <w:w w:val="115"/>
            <w:sz w:val="12"/>
          </w:rPr>
          <w:t>Maradit</w:t>
        </w:r>
        <w:r>
          <w:rPr>
            <w:color w:val="007FAC"/>
            <w:spacing w:val="-7"/>
            <w:w w:val="115"/>
            <w:sz w:val="12"/>
          </w:rPr>
          <w:t> </w:t>
        </w:r>
        <w:r>
          <w:rPr>
            <w:color w:val="007FAC"/>
            <w:w w:val="115"/>
            <w:sz w:val="12"/>
          </w:rPr>
          <w:t>Kremers</w:t>
        </w:r>
        <w:r>
          <w:rPr>
            <w:color w:val="007FAC"/>
            <w:spacing w:val="-7"/>
            <w:w w:val="115"/>
            <w:sz w:val="12"/>
          </w:rPr>
          <w:t> </w:t>
        </w:r>
        <w:r>
          <w:rPr>
            <w:color w:val="007FAC"/>
            <w:w w:val="115"/>
            <w:sz w:val="12"/>
          </w:rPr>
          <w:t>H,</w:t>
        </w:r>
        <w:r>
          <w:rPr>
            <w:color w:val="007FAC"/>
            <w:spacing w:val="-5"/>
            <w:w w:val="115"/>
            <w:sz w:val="12"/>
          </w:rPr>
          <w:t> </w:t>
        </w:r>
        <w:r>
          <w:rPr>
            <w:color w:val="007FAC"/>
            <w:w w:val="115"/>
            <w:sz w:val="12"/>
          </w:rPr>
          <w:t>Larson</w:t>
        </w:r>
        <w:r>
          <w:rPr>
            <w:color w:val="007FAC"/>
            <w:spacing w:val="-7"/>
            <w:w w:val="115"/>
            <w:sz w:val="12"/>
          </w:rPr>
          <w:t> </w:t>
        </w:r>
        <w:r>
          <w:rPr>
            <w:color w:val="007FAC"/>
            <w:w w:val="115"/>
            <w:sz w:val="12"/>
          </w:rPr>
          <w:t>DR,</w:t>
        </w:r>
        <w:r>
          <w:rPr>
            <w:color w:val="007FAC"/>
            <w:spacing w:val="-6"/>
            <w:w w:val="115"/>
            <w:sz w:val="12"/>
          </w:rPr>
          <w:t> </w:t>
        </w:r>
        <w:r>
          <w:rPr>
            <w:color w:val="007FAC"/>
            <w:w w:val="115"/>
            <w:sz w:val="12"/>
          </w:rPr>
          <w:t>Crowson</w:t>
        </w:r>
        <w:r>
          <w:rPr>
            <w:color w:val="007FAC"/>
            <w:spacing w:val="-7"/>
            <w:w w:val="115"/>
            <w:sz w:val="12"/>
          </w:rPr>
          <w:t> </w:t>
        </w:r>
        <w:r>
          <w:rPr>
            <w:color w:val="007FAC"/>
            <w:w w:val="115"/>
            <w:sz w:val="12"/>
          </w:rPr>
          <w:t>CS,</w:t>
        </w:r>
        <w:r>
          <w:rPr>
            <w:color w:val="007FAC"/>
            <w:spacing w:val="-7"/>
            <w:w w:val="115"/>
            <w:sz w:val="12"/>
          </w:rPr>
          <w:t> </w:t>
        </w:r>
        <w:r>
          <w:rPr>
            <w:color w:val="007FAC"/>
            <w:w w:val="115"/>
            <w:sz w:val="12"/>
          </w:rPr>
          <w:t>et</w:t>
        </w:r>
        <w:r>
          <w:rPr>
            <w:color w:val="007FAC"/>
            <w:spacing w:val="-6"/>
            <w:w w:val="115"/>
            <w:sz w:val="12"/>
          </w:rPr>
          <w:t> </w:t>
        </w:r>
        <w:r>
          <w:rPr>
            <w:color w:val="007FAC"/>
            <w:w w:val="115"/>
            <w:sz w:val="12"/>
          </w:rPr>
          <w:t>al.</w:t>
        </w:r>
        <w:r>
          <w:rPr>
            <w:color w:val="007FAC"/>
            <w:spacing w:val="-6"/>
            <w:w w:val="115"/>
            <w:sz w:val="12"/>
          </w:rPr>
          <w:t> </w:t>
        </w:r>
        <w:r>
          <w:rPr>
            <w:color w:val="007FAC"/>
            <w:w w:val="115"/>
            <w:sz w:val="12"/>
          </w:rPr>
          <w:t>Prevalence</w:t>
        </w:r>
        <w:r>
          <w:rPr>
            <w:color w:val="007FAC"/>
            <w:spacing w:val="-6"/>
            <w:w w:val="115"/>
            <w:sz w:val="12"/>
          </w:rPr>
          <w:t> </w:t>
        </w:r>
        <w:r>
          <w:rPr>
            <w:color w:val="007FAC"/>
            <w:w w:val="115"/>
            <w:sz w:val="12"/>
          </w:rPr>
          <w:t>of</w:t>
        </w:r>
        <w:r>
          <w:rPr>
            <w:color w:val="007FAC"/>
            <w:spacing w:val="-7"/>
            <w:w w:val="115"/>
            <w:sz w:val="12"/>
          </w:rPr>
          <w:t> </w:t>
        </w:r>
        <w:r>
          <w:rPr>
            <w:color w:val="007FAC"/>
            <w:w w:val="115"/>
            <w:sz w:val="12"/>
          </w:rPr>
          <w:t>total</w:t>
        </w:r>
        <w:r>
          <w:rPr>
            <w:color w:val="007FAC"/>
            <w:spacing w:val="-6"/>
            <w:w w:val="115"/>
            <w:sz w:val="12"/>
          </w:rPr>
          <w:t> </w:t>
        </w:r>
        <w:r>
          <w:rPr>
            <w:color w:val="007FAC"/>
            <w:w w:val="115"/>
            <w:sz w:val="12"/>
          </w:rPr>
          <w:t>hip</w:t>
        </w:r>
        <w:r>
          <w:rPr>
            <w:color w:val="007FAC"/>
            <w:spacing w:val="-6"/>
            <w:w w:val="115"/>
            <w:sz w:val="12"/>
          </w:rPr>
          <w:t> </w:t>
        </w:r>
        <w:r>
          <w:rPr>
            <w:color w:val="007FAC"/>
            <w:w w:val="115"/>
            <w:sz w:val="12"/>
          </w:rPr>
          <w:t>and</w:t>
        </w:r>
      </w:hyperlink>
      <w:hyperlink r:id="rId38">
        <w:r>
          <w:rPr>
            <w:color w:val="007FAC"/>
            <w:w w:val="115"/>
            <w:sz w:val="12"/>
          </w:rPr>
          <w:t> knee</w:t>
        </w:r>
        <w:r>
          <w:rPr>
            <w:color w:val="007FAC"/>
            <w:spacing w:val="-5"/>
            <w:w w:val="115"/>
            <w:sz w:val="12"/>
          </w:rPr>
          <w:t> </w:t>
        </w:r>
        <w:r>
          <w:rPr>
            <w:color w:val="007FAC"/>
            <w:w w:val="115"/>
            <w:sz w:val="12"/>
          </w:rPr>
          <w:t>replacement</w:t>
        </w:r>
        <w:r>
          <w:rPr>
            <w:color w:val="007FAC"/>
            <w:spacing w:val="-2"/>
            <w:w w:val="115"/>
            <w:sz w:val="12"/>
          </w:rPr>
          <w:t> </w:t>
        </w:r>
        <w:r>
          <w:rPr>
            <w:color w:val="007FAC"/>
            <w:w w:val="115"/>
            <w:sz w:val="12"/>
          </w:rPr>
          <w:t>in</w:t>
        </w:r>
        <w:r>
          <w:rPr>
            <w:color w:val="007FAC"/>
            <w:spacing w:val="-4"/>
            <w:w w:val="115"/>
            <w:sz w:val="12"/>
          </w:rPr>
          <w:t> </w:t>
        </w:r>
        <w:r>
          <w:rPr>
            <w:color w:val="007FAC"/>
            <w:w w:val="115"/>
            <w:sz w:val="12"/>
          </w:rPr>
          <w:t>the</w:t>
        </w:r>
        <w:r>
          <w:rPr>
            <w:color w:val="007FAC"/>
            <w:spacing w:val="-3"/>
            <w:w w:val="115"/>
            <w:sz w:val="12"/>
          </w:rPr>
          <w:t> </w:t>
        </w:r>
        <w:r>
          <w:rPr>
            <w:color w:val="007FAC"/>
            <w:w w:val="115"/>
            <w:sz w:val="12"/>
          </w:rPr>
          <w:t>United</w:t>
        </w:r>
        <w:r>
          <w:rPr>
            <w:color w:val="007FAC"/>
            <w:spacing w:val="-5"/>
            <w:w w:val="115"/>
            <w:sz w:val="12"/>
          </w:rPr>
          <w:t> </w:t>
        </w:r>
        <w:r>
          <w:rPr>
            <w:color w:val="007FAC"/>
            <w:w w:val="115"/>
            <w:sz w:val="12"/>
          </w:rPr>
          <w:t>States.</w:t>
        </w:r>
        <w:r>
          <w:rPr>
            <w:color w:val="007FAC"/>
            <w:spacing w:val="-4"/>
            <w:w w:val="115"/>
            <w:sz w:val="12"/>
          </w:rPr>
          <w:t> </w:t>
        </w:r>
        <w:r>
          <w:rPr>
            <w:color w:val="007FAC"/>
            <w:w w:val="115"/>
            <w:sz w:val="12"/>
          </w:rPr>
          <w:t>J</w:t>
        </w:r>
        <w:r>
          <w:rPr>
            <w:color w:val="007FAC"/>
            <w:spacing w:val="-4"/>
            <w:w w:val="115"/>
            <w:sz w:val="12"/>
          </w:rPr>
          <w:t> </w:t>
        </w:r>
        <w:r>
          <w:rPr>
            <w:color w:val="007FAC"/>
            <w:w w:val="115"/>
            <w:sz w:val="12"/>
          </w:rPr>
          <w:t>Bone</w:t>
        </w:r>
        <w:r>
          <w:rPr>
            <w:color w:val="007FAC"/>
            <w:spacing w:val="-4"/>
            <w:w w:val="115"/>
            <w:sz w:val="12"/>
          </w:rPr>
          <w:t> </w:t>
        </w:r>
        <w:r>
          <w:rPr>
            <w:color w:val="007FAC"/>
            <w:w w:val="115"/>
            <w:sz w:val="12"/>
          </w:rPr>
          <w:t>Joint</w:t>
        </w:r>
        <w:r>
          <w:rPr>
            <w:color w:val="007FAC"/>
            <w:spacing w:val="-4"/>
            <w:w w:val="115"/>
            <w:sz w:val="12"/>
          </w:rPr>
          <w:t> </w:t>
        </w:r>
        <w:r>
          <w:rPr>
            <w:color w:val="007FAC"/>
            <w:w w:val="115"/>
            <w:sz w:val="12"/>
          </w:rPr>
          <w:t>Surg</w:t>
        </w:r>
        <w:r>
          <w:rPr>
            <w:color w:val="007FAC"/>
            <w:spacing w:val="-4"/>
            <w:w w:val="115"/>
            <w:sz w:val="12"/>
          </w:rPr>
          <w:t> </w:t>
        </w:r>
        <w:r>
          <w:rPr>
            <w:color w:val="007FAC"/>
            <w:w w:val="115"/>
            <w:sz w:val="12"/>
          </w:rPr>
          <w:t>Am</w:t>
        </w:r>
        <w:r>
          <w:rPr>
            <w:color w:val="007FAC"/>
            <w:spacing w:val="-4"/>
            <w:w w:val="115"/>
            <w:sz w:val="12"/>
          </w:rPr>
          <w:t> </w:t>
        </w:r>
        <w:r>
          <w:rPr>
            <w:color w:val="007FAC"/>
            <w:w w:val="115"/>
            <w:sz w:val="12"/>
          </w:rPr>
          <w:t>2015;97(17):1386</w:t>
        </w:r>
      </w:hyperlink>
      <w:r>
        <w:rPr>
          <w:w w:val="115"/>
          <w:sz w:val="12"/>
        </w:rPr>
        <w:t>.</w:t>
      </w:r>
    </w:p>
    <w:p>
      <w:pPr>
        <w:pStyle w:val="ListParagraph"/>
        <w:numPr>
          <w:ilvl w:val="0"/>
          <w:numId w:val="3"/>
        </w:numPr>
        <w:tabs>
          <w:tab w:pos="628" w:val="left" w:leader="none"/>
        </w:tabs>
        <w:spacing w:line="256" w:lineRule="auto" w:before="0" w:after="0"/>
        <w:ind w:left="627" w:right="1" w:hanging="250"/>
        <w:jc w:val="both"/>
        <w:rPr>
          <w:sz w:val="12"/>
        </w:rPr>
      </w:pPr>
      <w:hyperlink r:id="rId39">
        <w:r>
          <w:rPr>
            <w:color w:val="007FAC"/>
            <w:w w:val="115"/>
            <w:sz w:val="12"/>
          </w:rPr>
          <w:t>Agarwala S, Vijayvargiya M. Concealed cosmetic closure in total </w:t>
        </w:r>
        <w:r>
          <w:rPr>
            <w:color w:val="007FAC"/>
            <w:spacing w:val="-3"/>
            <w:w w:val="115"/>
            <w:sz w:val="12"/>
          </w:rPr>
          <w:t>knee</w:t>
        </w:r>
      </w:hyperlink>
      <w:hyperlink r:id="rId39">
        <w:r>
          <w:rPr>
            <w:color w:val="007FAC"/>
            <w:spacing w:val="-3"/>
            <w:w w:val="115"/>
            <w:sz w:val="12"/>
          </w:rPr>
          <w:t> </w:t>
        </w:r>
        <w:r>
          <w:rPr>
            <w:color w:val="007FAC"/>
            <w:w w:val="115"/>
            <w:sz w:val="12"/>
          </w:rPr>
          <w:t>replacement surgery - a prospective audit assessing appearance and patient</w:t>
        </w:r>
      </w:hyperlink>
      <w:hyperlink r:id="rId39">
        <w:r>
          <w:rPr>
            <w:color w:val="007FAC"/>
            <w:w w:val="115"/>
            <w:sz w:val="12"/>
          </w:rPr>
          <w:t> satisfaction. J Clin Orthop Trauma</w:t>
        </w:r>
        <w:r>
          <w:rPr>
            <w:color w:val="007FAC"/>
            <w:spacing w:val="14"/>
            <w:w w:val="115"/>
            <w:sz w:val="12"/>
          </w:rPr>
          <w:t> </w:t>
        </w:r>
        <w:r>
          <w:rPr>
            <w:color w:val="007FAC"/>
            <w:w w:val="115"/>
            <w:sz w:val="12"/>
          </w:rPr>
          <w:t>2019;10(1):111</w:t>
        </w:r>
      </w:hyperlink>
      <w:r>
        <w:rPr>
          <w:w w:val="115"/>
          <w:sz w:val="12"/>
        </w:rPr>
        <w:t>.</w:t>
      </w:r>
    </w:p>
    <w:p>
      <w:pPr>
        <w:pStyle w:val="BodyText"/>
        <w:spacing w:before="10"/>
        <w:rPr>
          <w:sz w:val="17"/>
        </w:rPr>
      </w:pPr>
      <w:r>
        <w:rPr/>
        <w:br w:type="column"/>
      </w:r>
      <w:r>
        <w:rPr>
          <w:sz w:val="17"/>
        </w:rPr>
      </w:r>
    </w:p>
    <w:p>
      <w:pPr>
        <w:pStyle w:val="ListParagraph"/>
        <w:numPr>
          <w:ilvl w:val="0"/>
          <w:numId w:val="3"/>
        </w:numPr>
        <w:tabs>
          <w:tab w:pos="628" w:val="left" w:leader="none"/>
        </w:tabs>
        <w:spacing w:line="256" w:lineRule="auto" w:before="0" w:after="0"/>
        <w:ind w:left="627" w:right="112" w:hanging="250"/>
        <w:jc w:val="both"/>
        <w:rPr>
          <w:sz w:val="12"/>
        </w:rPr>
      </w:pPr>
      <w:bookmarkStart w:name="_bookmark16" w:id="29"/>
      <w:bookmarkEnd w:id="29"/>
      <w:r>
        <w:rPr/>
      </w:r>
      <w:hyperlink r:id="rId40">
        <w:bookmarkStart w:name="_bookmark16" w:id="30"/>
        <w:bookmarkEnd w:id="30"/>
        <w:r>
          <w:rPr>
            <w:color w:val="007FAC"/>
            <w:w w:val="110"/>
            <w:sz w:val="12"/>
          </w:rPr>
          <w:t>Courtney</w:t>
        </w:r>
        <w:r>
          <w:rPr>
            <w:color w:val="007FAC"/>
            <w:w w:val="110"/>
            <w:sz w:val="12"/>
          </w:rPr>
          <w:t> PM, Boniello AJ, Berger RA. Complications following outpatient </w:t>
        </w:r>
        <w:r>
          <w:rPr>
            <w:color w:val="007FAC"/>
            <w:spacing w:val="-3"/>
            <w:w w:val="110"/>
            <w:sz w:val="12"/>
          </w:rPr>
          <w:t>total</w:t>
        </w:r>
      </w:hyperlink>
      <w:hyperlink r:id="rId40">
        <w:r>
          <w:rPr>
            <w:color w:val="007FAC"/>
            <w:spacing w:val="-3"/>
            <w:w w:val="110"/>
            <w:sz w:val="12"/>
          </w:rPr>
          <w:t> </w:t>
        </w:r>
        <w:r>
          <w:rPr>
            <w:color w:val="007FAC"/>
            <w:w w:val="110"/>
            <w:sz w:val="12"/>
          </w:rPr>
          <w:t>joint arthroplasty: an analysis of a national database. J Arthroplasty 2017;32(5):</w:t>
        </w:r>
      </w:hyperlink>
      <w:bookmarkStart w:name="_bookmark17" w:id="31"/>
      <w:bookmarkEnd w:id="31"/>
      <w:r>
        <w:rPr>
          <w:color w:val="007FAC"/>
          <w:w w:val="110"/>
          <w:sz w:val="12"/>
        </w:rPr>
      </w:r>
      <w:hyperlink r:id="rId40">
        <w:r>
          <w:rPr>
            <w:color w:val="007FAC"/>
            <w:w w:val="110"/>
            <w:sz w:val="12"/>
          </w:rPr>
          <w:t> 1426</w:t>
        </w:r>
      </w:hyperlink>
      <w:r>
        <w:rPr>
          <w:w w:val="110"/>
          <w:sz w:val="12"/>
        </w:rPr>
        <w:t>.</w:t>
      </w:r>
    </w:p>
    <w:p>
      <w:pPr>
        <w:pStyle w:val="ListParagraph"/>
        <w:numPr>
          <w:ilvl w:val="0"/>
          <w:numId w:val="3"/>
        </w:numPr>
        <w:tabs>
          <w:tab w:pos="628" w:val="left" w:leader="none"/>
        </w:tabs>
        <w:spacing w:line="256" w:lineRule="auto" w:before="0" w:after="0"/>
        <w:ind w:left="627" w:right="112" w:hanging="250"/>
        <w:jc w:val="both"/>
        <w:rPr>
          <w:sz w:val="12"/>
        </w:rPr>
      </w:pPr>
      <w:hyperlink r:id="rId41">
        <w:r>
          <w:rPr>
            <w:color w:val="007FAC"/>
            <w:w w:val="115"/>
            <w:sz w:val="12"/>
          </w:rPr>
          <w:t>Kapadia</w:t>
        </w:r>
        <w:r>
          <w:rPr>
            <w:color w:val="007FAC"/>
            <w:spacing w:val="-10"/>
            <w:w w:val="115"/>
            <w:sz w:val="12"/>
          </w:rPr>
          <w:t> </w:t>
        </w:r>
        <w:r>
          <w:rPr>
            <w:color w:val="007FAC"/>
            <w:w w:val="115"/>
            <w:sz w:val="12"/>
          </w:rPr>
          <w:t>BH,</w:t>
        </w:r>
        <w:r>
          <w:rPr>
            <w:color w:val="007FAC"/>
            <w:spacing w:val="-10"/>
            <w:w w:val="115"/>
            <w:sz w:val="12"/>
          </w:rPr>
          <w:t> </w:t>
        </w:r>
        <w:r>
          <w:rPr>
            <w:color w:val="007FAC"/>
            <w:w w:val="115"/>
            <w:sz w:val="12"/>
          </w:rPr>
          <w:t>Pivec</w:t>
        </w:r>
        <w:r>
          <w:rPr>
            <w:color w:val="007FAC"/>
            <w:spacing w:val="-10"/>
            <w:w w:val="115"/>
            <w:sz w:val="12"/>
          </w:rPr>
          <w:t> </w:t>
        </w:r>
        <w:r>
          <w:rPr>
            <w:color w:val="007FAC"/>
            <w:w w:val="115"/>
            <w:sz w:val="12"/>
          </w:rPr>
          <w:t>R,</w:t>
        </w:r>
        <w:r>
          <w:rPr>
            <w:color w:val="007FAC"/>
            <w:spacing w:val="-9"/>
            <w:w w:val="115"/>
            <w:sz w:val="12"/>
          </w:rPr>
          <w:t> </w:t>
        </w:r>
        <w:r>
          <w:rPr>
            <w:color w:val="007FAC"/>
            <w:w w:val="115"/>
            <w:sz w:val="12"/>
          </w:rPr>
          <w:t>Johnson</w:t>
        </w:r>
        <w:r>
          <w:rPr>
            <w:color w:val="007FAC"/>
            <w:spacing w:val="-10"/>
            <w:w w:val="115"/>
            <w:sz w:val="12"/>
          </w:rPr>
          <w:t> </w:t>
        </w:r>
        <w:r>
          <w:rPr>
            <w:color w:val="007FAC"/>
            <w:w w:val="115"/>
            <w:sz w:val="12"/>
          </w:rPr>
          <w:t>AJ,</w:t>
        </w:r>
        <w:r>
          <w:rPr>
            <w:color w:val="007FAC"/>
            <w:spacing w:val="-10"/>
            <w:w w:val="115"/>
            <w:sz w:val="12"/>
          </w:rPr>
          <w:t> </w:t>
        </w:r>
        <w:r>
          <w:rPr>
            <w:color w:val="007FAC"/>
            <w:w w:val="115"/>
            <w:sz w:val="12"/>
          </w:rPr>
          <w:t>et</w:t>
        </w:r>
        <w:r>
          <w:rPr>
            <w:color w:val="007FAC"/>
            <w:spacing w:val="-10"/>
            <w:w w:val="115"/>
            <w:sz w:val="12"/>
          </w:rPr>
          <w:t> </w:t>
        </w:r>
        <w:r>
          <w:rPr>
            <w:color w:val="007FAC"/>
            <w:w w:val="115"/>
            <w:sz w:val="12"/>
          </w:rPr>
          <w:t>al.</w:t>
        </w:r>
        <w:r>
          <w:rPr>
            <w:color w:val="007FAC"/>
            <w:spacing w:val="-9"/>
            <w:w w:val="115"/>
            <w:sz w:val="12"/>
          </w:rPr>
          <w:t> </w:t>
        </w:r>
        <w:r>
          <w:rPr>
            <w:color w:val="007FAC"/>
            <w:w w:val="115"/>
            <w:sz w:val="12"/>
          </w:rPr>
          <w:t>Infection</w:t>
        </w:r>
        <w:r>
          <w:rPr>
            <w:color w:val="007FAC"/>
            <w:spacing w:val="-9"/>
            <w:w w:val="115"/>
            <w:sz w:val="12"/>
          </w:rPr>
          <w:t> </w:t>
        </w:r>
        <w:r>
          <w:rPr>
            <w:color w:val="007FAC"/>
            <w:w w:val="115"/>
            <w:sz w:val="12"/>
          </w:rPr>
          <w:t>prevention</w:t>
        </w:r>
        <w:r>
          <w:rPr>
            <w:color w:val="007FAC"/>
            <w:spacing w:val="-9"/>
            <w:w w:val="115"/>
            <w:sz w:val="12"/>
          </w:rPr>
          <w:t> </w:t>
        </w:r>
        <w:r>
          <w:rPr>
            <w:color w:val="007FAC"/>
            <w:w w:val="115"/>
            <w:sz w:val="12"/>
          </w:rPr>
          <w:t>methodologies</w:t>
        </w:r>
        <w:r>
          <w:rPr>
            <w:color w:val="007FAC"/>
            <w:spacing w:val="-10"/>
            <w:w w:val="115"/>
            <w:sz w:val="12"/>
          </w:rPr>
          <w:t> </w:t>
        </w:r>
        <w:r>
          <w:rPr>
            <w:color w:val="007FAC"/>
            <w:spacing w:val="-4"/>
            <w:w w:val="115"/>
            <w:sz w:val="12"/>
          </w:rPr>
          <w:t>for</w:t>
        </w:r>
      </w:hyperlink>
      <w:hyperlink r:id="rId41">
        <w:r>
          <w:rPr>
            <w:color w:val="007FAC"/>
            <w:spacing w:val="-4"/>
            <w:w w:val="115"/>
            <w:sz w:val="12"/>
          </w:rPr>
          <w:t> </w:t>
        </w:r>
        <w:r>
          <w:rPr>
            <w:color w:val="007FAC"/>
            <w:w w:val="115"/>
            <w:sz w:val="12"/>
          </w:rPr>
          <w:t>lower extremity total joint arthroplasty. Expert Rev Med Devices 2013;10(2):</w:t>
        </w:r>
      </w:hyperlink>
      <w:bookmarkStart w:name="_bookmark18" w:id="32"/>
      <w:bookmarkEnd w:id="32"/>
      <w:r>
        <w:rPr>
          <w:color w:val="007FAC"/>
          <w:w w:val="115"/>
          <w:sz w:val="12"/>
        </w:rPr>
      </w:r>
      <w:hyperlink r:id="rId41">
        <w:r>
          <w:rPr>
            <w:color w:val="007FAC"/>
            <w:w w:val="115"/>
            <w:sz w:val="12"/>
          </w:rPr>
          <w:t> 215</w:t>
        </w:r>
      </w:hyperlink>
      <w:r>
        <w:rPr>
          <w:w w:val="115"/>
          <w:sz w:val="12"/>
        </w:rPr>
        <w:t>.</w:t>
      </w:r>
    </w:p>
    <w:p>
      <w:pPr>
        <w:pStyle w:val="ListParagraph"/>
        <w:numPr>
          <w:ilvl w:val="0"/>
          <w:numId w:val="3"/>
        </w:numPr>
        <w:tabs>
          <w:tab w:pos="628" w:val="left" w:leader="none"/>
        </w:tabs>
        <w:spacing w:line="256" w:lineRule="auto" w:before="0" w:after="0"/>
        <w:ind w:left="627" w:right="112" w:hanging="250"/>
        <w:jc w:val="both"/>
        <w:rPr>
          <w:sz w:val="12"/>
        </w:rPr>
      </w:pPr>
      <w:r>
        <w:rPr>
          <w:w w:val="110"/>
          <w:sz w:val="12"/>
        </w:rPr>
        <w:t>Centers for Disease Control and Prevention. 2019 NHSN surgical site infection (SSI) checklist. </w:t>
      </w:r>
      <w:hyperlink r:id="rId42">
        <w:r>
          <w:rPr>
            <w:color w:val="007FAC"/>
            <w:w w:val="110"/>
            <w:sz w:val="12"/>
          </w:rPr>
          <w:t>https://www.cdc.gov/nhsn/pdfs/checklists/ssi-checklist-508.</w:t>
        </w:r>
      </w:hyperlink>
      <w:bookmarkStart w:name="_bookmark19" w:id="33"/>
      <w:bookmarkEnd w:id="33"/>
      <w:r>
        <w:rPr>
          <w:color w:val="007FAC"/>
          <w:w w:val="110"/>
          <w:sz w:val="12"/>
        </w:rPr>
      </w:r>
      <w:hyperlink r:id="rId42">
        <w:r>
          <w:rPr>
            <w:color w:val="007FAC"/>
            <w:w w:val="110"/>
            <w:sz w:val="12"/>
          </w:rPr>
          <w:t> pdf</w:t>
        </w:r>
      </w:hyperlink>
      <w:r>
        <w:rPr>
          <w:w w:val="110"/>
          <w:sz w:val="12"/>
        </w:rPr>
        <w:t>; 2019. [accessed</w:t>
      </w:r>
      <w:r>
        <w:rPr>
          <w:spacing w:val="5"/>
          <w:w w:val="110"/>
          <w:sz w:val="12"/>
        </w:rPr>
        <w:t> </w:t>
      </w:r>
      <w:r>
        <w:rPr>
          <w:w w:val="110"/>
          <w:sz w:val="12"/>
        </w:rPr>
        <w:t>03.12.19].</w:t>
      </w:r>
    </w:p>
    <w:p>
      <w:pPr>
        <w:pStyle w:val="ListParagraph"/>
        <w:numPr>
          <w:ilvl w:val="0"/>
          <w:numId w:val="3"/>
        </w:numPr>
        <w:tabs>
          <w:tab w:pos="628" w:val="left" w:leader="none"/>
        </w:tabs>
        <w:spacing w:line="256" w:lineRule="auto" w:before="0" w:after="0"/>
        <w:ind w:left="627" w:right="112" w:hanging="250"/>
        <w:jc w:val="both"/>
        <w:rPr>
          <w:sz w:val="12"/>
        </w:rPr>
      </w:pPr>
      <w:hyperlink r:id="rId43">
        <w:r>
          <w:rPr>
            <w:color w:val="007FAC"/>
            <w:w w:val="110"/>
            <w:sz w:val="12"/>
          </w:rPr>
          <w:t>Berrios-Torres SI, Umscheid CA, Bratzler DW, et al. Centers for Disease Control</w:t>
        </w:r>
      </w:hyperlink>
      <w:hyperlink r:id="rId43">
        <w:r>
          <w:rPr>
            <w:color w:val="007FAC"/>
            <w:w w:val="110"/>
            <w:sz w:val="12"/>
          </w:rPr>
          <w:t> and prevention guideline for the prevention of surgical site infection, 2017.</w:t>
        </w:r>
      </w:hyperlink>
      <w:hyperlink r:id="rId43">
        <w:r>
          <w:rPr>
            <w:color w:val="007FAC"/>
            <w:w w:val="110"/>
            <w:sz w:val="12"/>
          </w:rPr>
          <w:t> JAMA Surg</w:t>
        </w:r>
        <w:r>
          <w:rPr>
            <w:color w:val="007FAC"/>
            <w:spacing w:val="-10"/>
            <w:w w:val="110"/>
            <w:sz w:val="12"/>
          </w:rPr>
          <w:t> </w:t>
        </w:r>
        <w:r>
          <w:rPr>
            <w:color w:val="007FAC"/>
            <w:w w:val="110"/>
            <w:sz w:val="12"/>
          </w:rPr>
          <w:t>2017;152(8):784</w:t>
        </w:r>
      </w:hyperlink>
      <w:r>
        <w:rPr>
          <w:w w:val="110"/>
          <w:sz w:val="12"/>
        </w:rPr>
        <w:t>.</w:t>
      </w:r>
    </w:p>
    <w:p>
      <w:pPr>
        <w:pStyle w:val="ListParagraph"/>
        <w:numPr>
          <w:ilvl w:val="0"/>
          <w:numId w:val="3"/>
        </w:numPr>
        <w:tabs>
          <w:tab w:pos="628" w:val="left" w:leader="none"/>
        </w:tabs>
        <w:spacing w:line="240" w:lineRule="auto" w:before="0" w:after="0"/>
        <w:ind w:left="627" w:right="0" w:hanging="250"/>
        <w:jc w:val="both"/>
        <w:rPr>
          <w:sz w:val="12"/>
        </w:rPr>
      </w:pPr>
      <w:bookmarkStart w:name="_bookmark20" w:id="34"/>
      <w:bookmarkEnd w:id="34"/>
      <w:r>
        <w:rPr/>
      </w:r>
      <w:hyperlink r:id="rId44">
        <w:bookmarkStart w:name="_bookmark20" w:id="35"/>
        <w:bookmarkEnd w:id="35"/>
        <w:r>
          <w:rPr>
            <w:color w:val="007FAC"/>
            <w:w w:val="110"/>
            <w:sz w:val="12"/>
          </w:rPr>
          <w:t>Tande</w:t>
        </w:r>
        <w:r>
          <w:rPr>
            <w:color w:val="007FAC"/>
            <w:w w:val="110"/>
            <w:sz w:val="12"/>
          </w:rPr>
          <w:t> AJ, Patel R. Prosthetic joint infection. Clin Microbiol Rev</w:t>
        </w:r>
        <w:r>
          <w:rPr>
            <w:color w:val="007FAC"/>
            <w:spacing w:val="14"/>
            <w:w w:val="110"/>
            <w:sz w:val="12"/>
          </w:rPr>
          <w:t> </w:t>
        </w:r>
        <w:r>
          <w:rPr>
            <w:color w:val="007FAC"/>
            <w:w w:val="110"/>
            <w:sz w:val="12"/>
          </w:rPr>
          <w:t>2014;27(2):302</w:t>
        </w:r>
      </w:hyperlink>
      <w:r>
        <w:rPr>
          <w:w w:val="110"/>
          <w:sz w:val="12"/>
        </w:rPr>
        <w:t>.</w:t>
      </w:r>
    </w:p>
    <w:p>
      <w:pPr>
        <w:pStyle w:val="ListParagraph"/>
        <w:numPr>
          <w:ilvl w:val="0"/>
          <w:numId w:val="3"/>
        </w:numPr>
        <w:tabs>
          <w:tab w:pos="636" w:val="left" w:leader="none"/>
        </w:tabs>
        <w:spacing w:line="256" w:lineRule="auto" w:before="9" w:after="0"/>
        <w:ind w:left="635" w:right="112" w:hanging="326"/>
        <w:jc w:val="both"/>
        <w:rPr>
          <w:sz w:val="12"/>
        </w:rPr>
      </w:pPr>
      <w:bookmarkStart w:name="_bookmark21" w:id="36"/>
      <w:bookmarkEnd w:id="36"/>
      <w:r>
        <w:rPr/>
      </w:r>
      <w:hyperlink r:id="rId45">
        <w:bookmarkStart w:name="_bookmark21" w:id="37"/>
        <w:bookmarkEnd w:id="37"/>
        <w:r>
          <w:rPr>
            <w:color w:val="007FAC"/>
            <w:w w:val="115"/>
            <w:sz w:val="12"/>
          </w:rPr>
          <w:t>Krebs</w:t>
        </w:r>
        <w:r>
          <w:rPr>
            <w:color w:val="007FAC"/>
            <w:w w:val="115"/>
            <w:sz w:val="12"/>
          </w:rPr>
          <w:t> VE, Elmallah RK, Khlopas A, et al. Wound closure techniques for total</w:t>
        </w:r>
      </w:hyperlink>
      <w:hyperlink r:id="rId45">
        <w:r>
          <w:rPr>
            <w:color w:val="007FAC"/>
            <w:w w:val="115"/>
            <w:sz w:val="12"/>
          </w:rPr>
          <w:t> knee arthroplasty: an evidence-based review of the literature. J Arthroplasty</w:t>
        </w:r>
      </w:hyperlink>
      <w:hyperlink r:id="rId45">
        <w:r>
          <w:rPr>
            <w:color w:val="007FAC"/>
            <w:w w:val="115"/>
            <w:sz w:val="12"/>
          </w:rPr>
          <w:t> 2018;33(2):633</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22" w:id="38"/>
      <w:bookmarkEnd w:id="38"/>
      <w:r>
        <w:rPr/>
      </w:r>
      <w:hyperlink r:id="rId46">
        <w:bookmarkStart w:name="_bookmark22" w:id="39"/>
        <w:bookmarkEnd w:id="39"/>
        <w:r>
          <w:rPr>
            <w:color w:val="007FAC"/>
            <w:w w:val="110"/>
            <w:sz w:val="12"/>
          </w:rPr>
          <w:t>Krishnan</w:t>
        </w:r>
        <w:r>
          <w:rPr>
            <w:color w:val="007FAC"/>
            <w:w w:val="110"/>
            <w:sz w:val="12"/>
          </w:rPr>
          <w:t> R, MacNeil SD, Malvankar-Mehta MS. Comparing sutures </w:t>
        </w:r>
        <w:r>
          <w:rPr>
            <w:color w:val="007FAC"/>
            <w:spacing w:val="-3"/>
            <w:w w:val="110"/>
            <w:sz w:val="12"/>
          </w:rPr>
          <w:t>versus</w:t>
        </w:r>
      </w:hyperlink>
      <w:hyperlink r:id="rId46">
        <w:r>
          <w:rPr>
            <w:color w:val="007FAC"/>
            <w:spacing w:val="-3"/>
            <w:w w:val="110"/>
            <w:sz w:val="12"/>
          </w:rPr>
          <w:t> </w:t>
        </w:r>
        <w:r>
          <w:rPr>
            <w:color w:val="007FAC"/>
            <w:w w:val="110"/>
            <w:sz w:val="12"/>
          </w:rPr>
          <w:t>staples for skin closure after orthopaedic surgery: systematic review </w:t>
        </w:r>
        <w:r>
          <w:rPr>
            <w:color w:val="007FAC"/>
            <w:spacing w:val="-4"/>
            <w:w w:val="110"/>
            <w:sz w:val="12"/>
          </w:rPr>
          <w:t>and</w:t>
        </w:r>
      </w:hyperlink>
      <w:hyperlink r:id="rId46">
        <w:r>
          <w:rPr>
            <w:color w:val="007FAC"/>
            <w:spacing w:val="-4"/>
            <w:w w:val="110"/>
            <w:sz w:val="12"/>
          </w:rPr>
          <w:t> </w:t>
        </w:r>
        <w:r>
          <w:rPr>
            <w:color w:val="007FAC"/>
            <w:w w:val="110"/>
            <w:sz w:val="12"/>
          </w:rPr>
          <w:t>meta-analysis. BMJ Open</w:t>
        </w:r>
        <w:r>
          <w:rPr>
            <w:color w:val="007FAC"/>
            <w:spacing w:val="11"/>
            <w:w w:val="110"/>
            <w:sz w:val="12"/>
          </w:rPr>
          <w:t> </w:t>
        </w:r>
        <w:r>
          <w:rPr>
            <w:color w:val="007FAC"/>
            <w:w w:val="110"/>
            <w:sz w:val="12"/>
          </w:rPr>
          <w:t>2016;6(1):e009257</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23" w:id="40"/>
      <w:bookmarkEnd w:id="40"/>
      <w:r>
        <w:rPr/>
      </w:r>
      <w:hyperlink r:id="rId47">
        <w:bookmarkStart w:name="_bookmark23" w:id="41"/>
        <w:bookmarkEnd w:id="41"/>
        <w:r>
          <w:rPr>
            <w:color w:val="007FAC"/>
            <w:w w:val="115"/>
            <w:sz w:val="12"/>
          </w:rPr>
          <w:t>Smith</w:t>
        </w:r>
        <w:r>
          <w:rPr>
            <w:color w:val="007FAC"/>
            <w:spacing w:val="-5"/>
            <w:w w:val="115"/>
            <w:sz w:val="12"/>
          </w:rPr>
          <w:t> </w:t>
        </w:r>
        <w:r>
          <w:rPr>
            <w:color w:val="007FAC"/>
            <w:w w:val="115"/>
            <w:sz w:val="12"/>
          </w:rPr>
          <w:t>TO,</w:t>
        </w:r>
        <w:r>
          <w:rPr>
            <w:color w:val="007FAC"/>
            <w:spacing w:val="-5"/>
            <w:w w:val="115"/>
            <w:sz w:val="12"/>
          </w:rPr>
          <w:t> </w:t>
        </w:r>
        <w:r>
          <w:rPr>
            <w:color w:val="007FAC"/>
            <w:w w:val="115"/>
            <w:sz w:val="12"/>
          </w:rPr>
          <w:t>Sexton</w:t>
        </w:r>
        <w:r>
          <w:rPr>
            <w:color w:val="007FAC"/>
            <w:spacing w:val="-4"/>
            <w:w w:val="115"/>
            <w:sz w:val="12"/>
          </w:rPr>
          <w:t> </w:t>
        </w:r>
        <w:r>
          <w:rPr>
            <w:color w:val="007FAC"/>
            <w:w w:val="115"/>
            <w:sz w:val="12"/>
          </w:rPr>
          <w:t>D,</w:t>
        </w:r>
        <w:r>
          <w:rPr>
            <w:color w:val="007FAC"/>
            <w:spacing w:val="-4"/>
            <w:w w:val="115"/>
            <w:sz w:val="12"/>
          </w:rPr>
          <w:t> </w:t>
        </w:r>
        <w:r>
          <w:rPr>
            <w:color w:val="007FAC"/>
            <w:w w:val="115"/>
            <w:sz w:val="12"/>
          </w:rPr>
          <w:t>Mann</w:t>
        </w:r>
        <w:r>
          <w:rPr>
            <w:color w:val="007FAC"/>
            <w:spacing w:val="-4"/>
            <w:w w:val="115"/>
            <w:sz w:val="12"/>
          </w:rPr>
          <w:t> </w:t>
        </w:r>
        <w:r>
          <w:rPr>
            <w:color w:val="007FAC"/>
            <w:w w:val="115"/>
            <w:sz w:val="12"/>
          </w:rPr>
          <w:t>C,</w:t>
        </w:r>
        <w:r>
          <w:rPr>
            <w:color w:val="007FAC"/>
            <w:spacing w:val="-5"/>
            <w:w w:val="115"/>
            <w:sz w:val="12"/>
          </w:rPr>
          <w:t> </w:t>
        </w:r>
        <w:r>
          <w:rPr>
            <w:color w:val="007FAC"/>
            <w:w w:val="115"/>
            <w:sz w:val="12"/>
          </w:rPr>
          <w:t>Donell</w:t>
        </w:r>
        <w:r>
          <w:rPr>
            <w:color w:val="007FAC"/>
            <w:spacing w:val="-5"/>
            <w:w w:val="115"/>
            <w:sz w:val="12"/>
          </w:rPr>
          <w:t> </w:t>
        </w:r>
        <w:r>
          <w:rPr>
            <w:color w:val="007FAC"/>
            <w:w w:val="115"/>
            <w:sz w:val="12"/>
          </w:rPr>
          <w:t>S.</w:t>
        </w:r>
        <w:r>
          <w:rPr>
            <w:color w:val="007FAC"/>
            <w:spacing w:val="-3"/>
            <w:w w:val="115"/>
            <w:sz w:val="12"/>
          </w:rPr>
          <w:t> </w:t>
        </w:r>
        <w:r>
          <w:rPr>
            <w:color w:val="007FAC"/>
            <w:w w:val="115"/>
            <w:sz w:val="12"/>
          </w:rPr>
          <w:t>Sutures</w:t>
        </w:r>
        <w:r>
          <w:rPr>
            <w:color w:val="007FAC"/>
            <w:spacing w:val="-5"/>
            <w:w w:val="115"/>
            <w:sz w:val="12"/>
          </w:rPr>
          <w:t> </w:t>
        </w:r>
        <w:r>
          <w:rPr>
            <w:color w:val="007FAC"/>
            <w:w w:val="115"/>
            <w:sz w:val="12"/>
          </w:rPr>
          <w:t>versus</w:t>
        </w:r>
        <w:r>
          <w:rPr>
            <w:color w:val="007FAC"/>
            <w:spacing w:val="-4"/>
            <w:w w:val="115"/>
            <w:sz w:val="12"/>
          </w:rPr>
          <w:t> </w:t>
        </w:r>
        <w:r>
          <w:rPr>
            <w:color w:val="007FAC"/>
            <w:w w:val="115"/>
            <w:sz w:val="12"/>
          </w:rPr>
          <w:t>staples</w:t>
        </w:r>
        <w:r>
          <w:rPr>
            <w:color w:val="007FAC"/>
            <w:spacing w:val="-4"/>
            <w:w w:val="115"/>
            <w:sz w:val="12"/>
          </w:rPr>
          <w:t> </w:t>
        </w:r>
        <w:r>
          <w:rPr>
            <w:color w:val="007FAC"/>
            <w:w w:val="115"/>
            <w:sz w:val="12"/>
          </w:rPr>
          <w:t>for</w:t>
        </w:r>
        <w:r>
          <w:rPr>
            <w:color w:val="007FAC"/>
            <w:spacing w:val="-5"/>
            <w:w w:val="115"/>
            <w:sz w:val="12"/>
          </w:rPr>
          <w:t> </w:t>
        </w:r>
        <w:r>
          <w:rPr>
            <w:color w:val="007FAC"/>
            <w:w w:val="115"/>
            <w:sz w:val="12"/>
          </w:rPr>
          <w:t>skin</w:t>
        </w:r>
        <w:r>
          <w:rPr>
            <w:color w:val="007FAC"/>
            <w:spacing w:val="-4"/>
            <w:w w:val="115"/>
            <w:sz w:val="12"/>
          </w:rPr>
          <w:t> </w:t>
        </w:r>
        <w:r>
          <w:rPr>
            <w:color w:val="007FAC"/>
            <w:w w:val="115"/>
            <w:sz w:val="12"/>
          </w:rPr>
          <w:t>closure</w:t>
        </w:r>
      </w:hyperlink>
      <w:hyperlink r:id="rId47">
        <w:r>
          <w:rPr>
            <w:color w:val="007FAC"/>
            <w:w w:val="115"/>
            <w:sz w:val="12"/>
          </w:rPr>
          <w:t> in orthopaedic surgery: meta-analysis. BMJ</w:t>
        </w:r>
        <w:r>
          <w:rPr>
            <w:color w:val="007FAC"/>
            <w:spacing w:val="24"/>
            <w:w w:val="115"/>
            <w:sz w:val="12"/>
          </w:rPr>
          <w:t> </w:t>
        </w:r>
        <w:r>
          <w:rPr>
            <w:color w:val="007FAC"/>
            <w:w w:val="115"/>
            <w:sz w:val="12"/>
          </w:rPr>
          <w:t>2010;340:c1199</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24" w:id="42"/>
      <w:bookmarkEnd w:id="42"/>
      <w:r>
        <w:rPr/>
      </w:r>
      <w:hyperlink r:id="rId48">
        <w:bookmarkStart w:name="_bookmark24" w:id="43"/>
        <w:bookmarkEnd w:id="43"/>
        <w:r>
          <w:rPr>
            <w:color w:val="007FAC"/>
            <w:w w:val="110"/>
            <w:sz w:val="12"/>
          </w:rPr>
          <w:t>Higgins</w:t>
        </w:r>
        <w:r>
          <w:rPr>
            <w:color w:val="007FAC"/>
            <w:w w:val="110"/>
            <w:sz w:val="12"/>
          </w:rPr>
          <w:t> JP, Altman DG, Gotzsche PC, et al. The Cochrane Collaboration's tool</w:t>
        </w:r>
      </w:hyperlink>
      <w:hyperlink r:id="rId48">
        <w:r>
          <w:rPr>
            <w:color w:val="007FAC"/>
            <w:w w:val="110"/>
            <w:sz w:val="12"/>
          </w:rPr>
          <w:t> for</w:t>
        </w:r>
        <w:r>
          <w:rPr>
            <w:color w:val="007FAC"/>
            <w:spacing w:val="19"/>
            <w:w w:val="110"/>
            <w:sz w:val="12"/>
          </w:rPr>
          <w:t> </w:t>
        </w:r>
        <w:r>
          <w:rPr>
            <w:color w:val="007FAC"/>
            <w:w w:val="110"/>
            <w:sz w:val="12"/>
          </w:rPr>
          <w:t>assessing</w:t>
        </w:r>
        <w:r>
          <w:rPr>
            <w:color w:val="007FAC"/>
            <w:spacing w:val="20"/>
            <w:w w:val="110"/>
            <w:sz w:val="12"/>
          </w:rPr>
          <w:t> </w:t>
        </w:r>
        <w:r>
          <w:rPr>
            <w:color w:val="007FAC"/>
            <w:w w:val="110"/>
            <w:sz w:val="12"/>
          </w:rPr>
          <w:t>risk</w:t>
        </w:r>
        <w:r>
          <w:rPr>
            <w:color w:val="007FAC"/>
            <w:spacing w:val="18"/>
            <w:w w:val="110"/>
            <w:sz w:val="12"/>
          </w:rPr>
          <w:t> </w:t>
        </w:r>
        <w:r>
          <w:rPr>
            <w:color w:val="007FAC"/>
            <w:w w:val="110"/>
            <w:sz w:val="12"/>
          </w:rPr>
          <w:t>of</w:t>
        </w:r>
        <w:r>
          <w:rPr>
            <w:color w:val="007FAC"/>
            <w:spacing w:val="19"/>
            <w:w w:val="110"/>
            <w:sz w:val="12"/>
          </w:rPr>
          <w:t> </w:t>
        </w:r>
        <w:r>
          <w:rPr>
            <w:color w:val="007FAC"/>
            <w:w w:val="110"/>
            <w:sz w:val="12"/>
          </w:rPr>
          <w:t>bias</w:t>
        </w:r>
        <w:r>
          <w:rPr>
            <w:color w:val="007FAC"/>
            <w:spacing w:val="19"/>
            <w:w w:val="110"/>
            <w:sz w:val="12"/>
          </w:rPr>
          <w:t> </w:t>
        </w:r>
        <w:r>
          <w:rPr>
            <w:color w:val="007FAC"/>
            <w:w w:val="110"/>
            <w:sz w:val="12"/>
          </w:rPr>
          <w:t>in</w:t>
        </w:r>
        <w:r>
          <w:rPr>
            <w:color w:val="007FAC"/>
            <w:spacing w:val="19"/>
            <w:w w:val="110"/>
            <w:sz w:val="12"/>
          </w:rPr>
          <w:t> </w:t>
        </w:r>
        <w:r>
          <w:rPr>
            <w:color w:val="007FAC"/>
            <w:w w:val="110"/>
            <w:sz w:val="12"/>
          </w:rPr>
          <w:t>randomised</w:t>
        </w:r>
        <w:r>
          <w:rPr>
            <w:color w:val="007FAC"/>
            <w:spacing w:val="20"/>
            <w:w w:val="110"/>
            <w:sz w:val="12"/>
          </w:rPr>
          <w:t> </w:t>
        </w:r>
        <w:r>
          <w:rPr>
            <w:color w:val="007FAC"/>
            <w:w w:val="110"/>
            <w:sz w:val="12"/>
          </w:rPr>
          <w:t>trials.</w:t>
        </w:r>
        <w:r>
          <w:rPr>
            <w:color w:val="007FAC"/>
            <w:spacing w:val="19"/>
            <w:w w:val="110"/>
            <w:sz w:val="12"/>
          </w:rPr>
          <w:t> </w:t>
        </w:r>
        <w:r>
          <w:rPr>
            <w:color w:val="007FAC"/>
            <w:w w:val="110"/>
            <w:sz w:val="12"/>
          </w:rPr>
          <w:t>BMJ</w:t>
        </w:r>
        <w:r>
          <w:rPr>
            <w:color w:val="007FAC"/>
            <w:spacing w:val="20"/>
            <w:w w:val="110"/>
            <w:sz w:val="12"/>
          </w:rPr>
          <w:t> </w:t>
        </w:r>
        <w:r>
          <w:rPr>
            <w:color w:val="007FAC"/>
            <w:w w:val="110"/>
            <w:sz w:val="12"/>
          </w:rPr>
          <w:t>2011;343:d5928</w:t>
        </w:r>
      </w:hyperlink>
      <w:r>
        <w:rPr>
          <w:w w:val="110"/>
          <w:sz w:val="12"/>
        </w:rPr>
        <w:t>.</w:t>
      </w:r>
    </w:p>
    <w:p>
      <w:pPr>
        <w:pStyle w:val="ListParagraph"/>
        <w:numPr>
          <w:ilvl w:val="0"/>
          <w:numId w:val="3"/>
        </w:numPr>
        <w:tabs>
          <w:tab w:pos="636" w:val="left" w:leader="none"/>
        </w:tabs>
        <w:spacing w:line="256" w:lineRule="auto" w:before="0" w:after="0"/>
        <w:ind w:left="635" w:right="110" w:hanging="326"/>
        <w:jc w:val="both"/>
        <w:rPr>
          <w:sz w:val="12"/>
        </w:rPr>
      </w:pPr>
      <w:bookmarkStart w:name="_bookmark25" w:id="44"/>
      <w:bookmarkEnd w:id="44"/>
      <w:r>
        <w:rPr/>
      </w:r>
      <w:bookmarkStart w:name="_bookmark25" w:id="45"/>
      <w:bookmarkEnd w:id="45"/>
      <w:r>
        <w:rPr>
          <w:w w:val="110"/>
          <w:sz w:val="12"/>
        </w:rPr>
        <w:t>W</w:t>
      </w:r>
      <w:r>
        <w:rPr>
          <w:w w:val="110"/>
          <w:sz w:val="12"/>
        </w:rPr>
        <w:t>ells</w:t>
      </w:r>
      <w:r>
        <w:rPr>
          <w:spacing w:val="-12"/>
          <w:w w:val="110"/>
          <w:sz w:val="12"/>
        </w:rPr>
        <w:t> </w:t>
      </w:r>
      <w:r>
        <w:rPr>
          <w:w w:val="110"/>
          <w:sz w:val="12"/>
        </w:rPr>
        <w:t>G,</w:t>
      </w:r>
      <w:r>
        <w:rPr>
          <w:spacing w:val="-13"/>
          <w:w w:val="110"/>
          <w:sz w:val="12"/>
        </w:rPr>
        <w:t> </w:t>
      </w:r>
      <w:r>
        <w:rPr>
          <w:w w:val="110"/>
          <w:sz w:val="12"/>
        </w:rPr>
        <w:t>Shea</w:t>
      </w:r>
      <w:r>
        <w:rPr>
          <w:spacing w:val="-13"/>
          <w:w w:val="110"/>
          <w:sz w:val="12"/>
        </w:rPr>
        <w:t> </w:t>
      </w:r>
      <w:r>
        <w:rPr>
          <w:w w:val="110"/>
          <w:sz w:val="12"/>
        </w:rPr>
        <w:t>B,</w:t>
      </w:r>
      <w:r>
        <w:rPr>
          <w:spacing w:val="-13"/>
          <w:w w:val="110"/>
          <w:sz w:val="12"/>
        </w:rPr>
        <w:t> </w:t>
      </w:r>
      <w:r>
        <w:rPr>
          <w:w w:val="110"/>
          <w:sz w:val="12"/>
        </w:rPr>
        <w:t>O'Connell</w:t>
      </w:r>
      <w:r>
        <w:rPr>
          <w:spacing w:val="-10"/>
          <w:w w:val="110"/>
          <w:sz w:val="12"/>
        </w:rPr>
        <w:t> </w:t>
      </w:r>
      <w:r>
        <w:rPr>
          <w:w w:val="110"/>
          <w:sz w:val="12"/>
        </w:rPr>
        <w:t>D,</w:t>
      </w:r>
      <w:r>
        <w:rPr>
          <w:spacing w:val="-14"/>
          <w:w w:val="110"/>
          <w:sz w:val="12"/>
        </w:rPr>
        <w:t> </w:t>
      </w:r>
      <w:r>
        <w:rPr>
          <w:w w:val="110"/>
          <w:sz w:val="12"/>
        </w:rPr>
        <w:t>et</w:t>
      </w:r>
      <w:r>
        <w:rPr>
          <w:spacing w:val="-14"/>
          <w:w w:val="110"/>
          <w:sz w:val="12"/>
        </w:rPr>
        <w:t> </w:t>
      </w:r>
      <w:r>
        <w:rPr>
          <w:w w:val="110"/>
          <w:sz w:val="12"/>
        </w:rPr>
        <w:t>al.</w:t>
      </w:r>
      <w:r>
        <w:rPr>
          <w:spacing w:val="-11"/>
          <w:w w:val="110"/>
          <w:sz w:val="12"/>
        </w:rPr>
        <w:t> </w:t>
      </w:r>
      <w:r>
        <w:rPr>
          <w:w w:val="110"/>
          <w:sz w:val="12"/>
        </w:rPr>
        <w:t>(Web</w:t>
      </w:r>
      <w:r>
        <w:rPr>
          <w:spacing w:val="-14"/>
          <w:w w:val="110"/>
          <w:sz w:val="12"/>
        </w:rPr>
        <w:t> </w:t>
      </w:r>
      <w:r>
        <w:rPr>
          <w:w w:val="110"/>
          <w:sz w:val="12"/>
        </w:rPr>
        <w:t>Page)</w:t>
      </w:r>
      <w:r>
        <w:rPr>
          <w:spacing w:val="-10"/>
          <w:w w:val="110"/>
          <w:sz w:val="12"/>
        </w:rPr>
        <w:t> </w:t>
      </w:r>
      <w:r>
        <w:rPr>
          <w:w w:val="110"/>
          <w:sz w:val="12"/>
        </w:rPr>
        <w:t>the</w:t>
      </w:r>
      <w:r>
        <w:rPr>
          <w:spacing w:val="-12"/>
          <w:w w:val="110"/>
          <w:sz w:val="12"/>
        </w:rPr>
        <w:t> </w:t>
      </w:r>
      <w:r>
        <w:rPr>
          <w:w w:val="110"/>
          <w:sz w:val="12"/>
        </w:rPr>
        <w:t>Newcastle</w:t>
      </w:r>
      <w:r>
        <w:rPr>
          <w:rFonts w:ascii="Lucida Sans"/>
          <w:w w:val="110"/>
          <w:sz w:val="12"/>
        </w:rPr>
        <w:t>e</w:t>
      </w:r>
      <w:r>
        <w:rPr>
          <w:w w:val="110"/>
          <w:sz w:val="12"/>
        </w:rPr>
        <w:t>Ottawa</w:t>
      </w:r>
      <w:r>
        <w:rPr>
          <w:spacing w:val="-14"/>
          <w:w w:val="110"/>
          <w:sz w:val="12"/>
        </w:rPr>
        <w:t> </w:t>
      </w:r>
      <w:r>
        <w:rPr>
          <w:w w:val="110"/>
          <w:sz w:val="12"/>
        </w:rPr>
        <w:t>scale</w:t>
      </w:r>
      <w:r>
        <w:rPr>
          <w:spacing w:val="-10"/>
          <w:w w:val="110"/>
          <w:sz w:val="12"/>
        </w:rPr>
        <w:t> </w:t>
      </w:r>
      <w:r>
        <w:rPr>
          <w:w w:val="110"/>
          <w:sz w:val="12"/>
        </w:rPr>
        <w:t>(NOS) </w:t>
      </w:r>
      <w:r>
        <w:rPr>
          <w:w w:val="111"/>
          <w:sz w:val="12"/>
        </w:rPr>
        <w:t>f</w:t>
      </w:r>
      <w:r>
        <w:rPr>
          <w:spacing w:val="-4"/>
          <w:w w:val="111"/>
          <w:sz w:val="12"/>
        </w:rPr>
        <w:t>o</w:t>
      </w:r>
      <w:r>
        <w:rPr>
          <w:w w:val="113"/>
          <w:sz w:val="12"/>
        </w:rPr>
        <w:t>r</w:t>
      </w:r>
      <w:r>
        <w:rPr>
          <w:spacing w:val="-4"/>
          <w:sz w:val="12"/>
        </w:rPr>
        <w:t> </w:t>
      </w:r>
      <w:r>
        <w:rPr>
          <w:w w:val="112"/>
          <w:sz w:val="12"/>
        </w:rPr>
        <w:t>a</w:t>
      </w:r>
      <w:r>
        <w:rPr>
          <w:spacing w:val="-4"/>
          <w:w w:val="113"/>
          <w:sz w:val="12"/>
        </w:rPr>
        <w:t>s</w:t>
      </w:r>
      <w:r>
        <w:rPr>
          <w:w w:val="113"/>
          <w:sz w:val="12"/>
        </w:rPr>
        <w:t>s</w:t>
      </w:r>
      <w:r>
        <w:rPr>
          <w:spacing w:val="-4"/>
          <w:w w:val="119"/>
          <w:sz w:val="12"/>
        </w:rPr>
        <w:t>e</w:t>
      </w:r>
      <w:r>
        <w:rPr>
          <w:w w:val="113"/>
          <w:sz w:val="12"/>
        </w:rPr>
        <w:t>s</w:t>
      </w:r>
      <w:r>
        <w:rPr>
          <w:spacing w:val="-3"/>
          <w:w w:val="113"/>
          <w:sz w:val="12"/>
        </w:rPr>
        <w:t>s</w:t>
      </w:r>
      <w:r>
        <w:rPr>
          <w:spacing w:val="-3"/>
          <w:w w:val="110"/>
          <w:sz w:val="12"/>
        </w:rPr>
        <w:t>i</w:t>
      </w:r>
      <w:r>
        <w:rPr>
          <w:w w:val="111"/>
          <w:sz w:val="12"/>
        </w:rPr>
        <w:t>ng</w:t>
      </w:r>
      <w:r>
        <w:rPr>
          <w:spacing w:val="-5"/>
          <w:sz w:val="12"/>
        </w:rPr>
        <w:t> </w:t>
      </w:r>
      <w:r>
        <w:rPr>
          <w:w w:val="117"/>
          <w:sz w:val="12"/>
        </w:rPr>
        <w:t>t</w:t>
      </w:r>
      <w:r>
        <w:rPr>
          <w:spacing w:val="-4"/>
          <w:w w:val="117"/>
          <w:sz w:val="12"/>
        </w:rPr>
        <w:t>h</w:t>
      </w:r>
      <w:r>
        <w:rPr>
          <w:w w:val="119"/>
          <w:sz w:val="12"/>
        </w:rPr>
        <w:t>e</w:t>
      </w:r>
      <w:r>
        <w:rPr>
          <w:spacing w:val="-4"/>
          <w:sz w:val="12"/>
        </w:rPr>
        <w:t> </w:t>
      </w:r>
      <w:r>
        <w:rPr>
          <w:w w:val="115"/>
          <w:sz w:val="12"/>
        </w:rPr>
        <w:t>q</w:t>
      </w:r>
      <w:r>
        <w:rPr>
          <w:spacing w:val="-3"/>
          <w:w w:val="108"/>
          <w:sz w:val="12"/>
        </w:rPr>
        <w:t>u</w:t>
      </w:r>
      <w:r>
        <w:rPr>
          <w:w w:val="112"/>
          <w:sz w:val="12"/>
        </w:rPr>
        <w:t>a</w:t>
      </w:r>
      <w:r>
        <w:rPr>
          <w:spacing w:val="-4"/>
          <w:w w:val="110"/>
          <w:sz w:val="12"/>
        </w:rPr>
        <w:t>l</w:t>
      </w:r>
      <w:r>
        <w:rPr>
          <w:w w:val="110"/>
          <w:sz w:val="12"/>
        </w:rPr>
        <w:t>i</w:t>
      </w:r>
      <w:r>
        <w:rPr>
          <w:spacing w:val="-3"/>
          <w:w w:val="123"/>
          <w:sz w:val="12"/>
        </w:rPr>
        <w:t>t</w:t>
      </w:r>
      <w:r>
        <w:rPr>
          <w:w w:val="107"/>
          <w:sz w:val="12"/>
        </w:rPr>
        <w:t>y</w:t>
      </w:r>
      <w:r>
        <w:rPr>
          <w:spacing w:val="-5"/>
          <w:sz w:val="12"/>
        </w:rPr>
        <w:t> </w:t>
      </w:r>
      <w:r>
        <w:rPr>
          <w:w w:val="111"/>
          <w:sz w:val="12"/>
        </w:rPr>
        <w:t>of</w:t>
      </w:r>
      <w:r>
        <w:rPr>
          <w:spacing w:val="-6"/>
          <w:sz w:val="12"/>
        </w:rPr>
        <w:t> </w:t>
      </w:r>
      <w:r>
        <w:rPr>
          <w:w w:val="114"/>
          <w:sz w:val="12"/>
        </w:rPr>
        <w:t>n</w:t>
      </w:r>
      <w:r>
        <w:rPr>
          <w:spacing w:val="-3"/>
          <w:w w:val="114"/>
          <w:sz w:val="12"/>
        </w:rPr>
        <w:t>o</w:t>
      </w:r>
      <w:r>
        <w:rPr>
          <w:w w:val="114"/>
          <w:sz w:val="12"/>
        </w:rPr>
        <w:t>n</w:t>
      </w:r>
      <w:r>
        <w:rPr>
          <w:spacing w:val="-4"/>
          <w:w w:val="114"/>
          <w:sz w:val="12"/>
        </w:rPr>
        <w:t>r</w:t>
      </w:r>
      <w:r>
        <w:rPr>
          <w:w w:val="113"/>
          <w:sz w:val="12"/>
        </w:rPr>
        <w:t>a</w:t>
      </w:r>
      <w:r>
        <w:rPr>
          <w:spacing w:val="-3"/>
          <w:w w:val="113"/>
          <w:sz w:val="12"/>
        </w:rPr>
        <w:t>n</w:t>
      </w:r>
      <w:r>
        <w:rPr>
          <w:w w:val="110"/>
          <w:sz w:val="12"/>
        </w:rPr>
        <w:t>d</w:t>
      </w:r>
      <w:r>
        <w:rPr>
          <w:spacing w:val="-4"/>
          <w:w w:val="110"/>
          <w:sz w:val="12"/>
        </w:rPr>
        <w:t>o</w:t>
      </w:r>
      <w:r>
        <w:rPr>
          <w:w w:val="113"/>
          <w:sz w:val="12"/>
        </w:rPr>
        <w:t>m</w:t>
      </w:r>
      <w:r>
        <w:rPr>
          <w:spacing w:val="-3"/>
          <w:w w:val="113"/>
          <w:sz w:val="12"/>
        </w:rPr>
        <w:t>i</w:t>
      </w:r>
      <w:r>
        <w:rPr>
          <w:spacing w:val="-3"/>
          <w:w w:val="108"/>
          <w:sz w:val="12"/>
        </w:rPr>
        <w:t>z</w:t>
      </w:r>
      <w:r>
        <w:rPr>
          <w:w w:val="119"/>
          <w:sz w:val="12"/>
        </w:rPr>
        <w:t>e</w:t>
      </w:r>
      <w:r>
        <w:rPr>
          <w:w w:val="107"/>
          <w:sz w:val="12"/>
        </w:rPr>
        <w:t>d</w:t>
      </w:r>
      <w:r>
        <w:rPr>
          <w:spacing w:val="-6"/>
          <w:sz w:val="12"/>
        </w:rPr>
        <w:t> </w:t>
      </w:r>
      <w:r>
        <w:rPr>
          <w:w w:val="113"/>
          <w:sz w:val="12"/>
        </w:rPr>
        <w:t>s</w:t>
      </w:r>
      <w:r>
        <w:rPr>
          <w:spacing w:val="-4"/>
          <w:w w:val="123"/>
          <w:sz w:val="12"/>
        </w:rPr>
        <w:t>t</w:t>
      </w:r>
      <w:r>
        <w:rPr>
          <w:w w:val="108"/>
          <w:sz w:val="12"/>
        </w:rPr>
        <w:t>u</w:t>
      </w:r>
      <w:r>
        <w:rPr>
          <w:spacing w:val="-4"/>
          <w:w w:val="107"/>
          <w:sz w:val="12"/>
        </w:rPr>
        <w:t>d</w:t>
      </w:r>
      <w:r>
        <w:rPr>
          <w:w w:val="110"/>
          <w:sz w:val="12"/>
        </w:rPr>
        <w:t>i</w:t>
      </w:r>
      <w:r>
        <w:rPr>
          <w:spacing w:val="-4"/>
          <w:w w:val="119"/>
          <w:sz w:val="12"/>
        </w:rPr>
        <w:t>e</w:t>
      </w:r>
      <w:r>
        <w:rPr>
          <w:w w:val="113"/>
          <w:sz w:val="12"/>
        </w:rPr>
        <w:t>s</w:t>
      </w:r>
      <w:r>
        <w:rPr>
          <w:spacing w:val="-3"/>
          <w:sz w:val="12"/>
        </w:rPr>
        <w:t> </w:t>
      </w:r>
      <w:r>
        <w:rPr>
          <w:spacing w:val="-3"/>
          <w:w w:val="110"/>
          <w:sz w:val="12"/>
        </w:rPr>
        <w:t>i</w:t>
      </w:r>
      <w:r>
        <w:rPr>
          <w:w w:val="114"/>
          <w:sz w:val="12"/>
        </w:rPr>
        <w:t>n</w:t>
      </w:r>
      <w:r>
        <w:rPr>
          <w:spacing w:val="-4"/>
          <w:sz w:val="12"/>
        </w:rPr>
        <w:t> </w:t>
      </w:r>
      <w:r>
        <w:rPr>
          <w:w w:val="116"/>
          <w:sz w:val="12"/>
        </w:rPr>
        <w:t>m</w:t>
      </w:r>
      <w:r>
        <w:rPr>
          <w:spacing w:val="-4"/>
          <w:w w:val="116"/>
          <w:sz w:val="12"/>
        </w:rPr>
        <w:t>e</w:t>
      </w:r>
      <w:r>
        <w:rPr>
          <w:w w:val="116"/>
          <w:sz w:val="12"/>
        </w:rPr>
        <w:t>t</w:t>
      </w:r>
      <w:r>
        <w:rPr>
          <w:spacing w:val="-3"/>
          <w:w w:val="116"/>
          <w:sz w:val="12"/>
        </w:rPr>
        <w:t>a</w:t>
      </w:r>
      <w:r>
        <w:rPr>
          <w:w w:val="113"/>
          <w:sz w:val="12"/>
        </w:rPr>
        <w:t>a</w:t>
      </w:r>
      <w:r>
        <w:rPr>
          <w:spacing w:val="-4"/>
          <w:w w:val="113"/>
          <w:sz w:val="12"/>
        </w:rPr>
        <w:t>n</w:t>
      </w:r>
      <w:r>
        <w:rPr>
          <w:w w:val="111"/>
          <w:sz w:val="12"/>
        </w:rPr>
        <w:t>a</w:t>
      </w:r>
      <w:r>
        <w:rPr>
          <w:spacing w:val="-4"/>
          <w:w w:val="111"/>
          <w:sz w:val="12"/>
        </w:rPr>
        <w:t>l</w:t>
      </w:r>
      <w:r>
        <w:rPr>
          <w:w w:val="110"/>
          <w:sz w:val="12"/>
        </w:rPr>
        <w:t>y</w:t>
      </w:r>
      <w:r>
        <w:rPr>
          <w:spacing w:val="-3"/>
          <w:w w:val="110"/>
          <w:sz w:val="12"/>
        </w:rPr>
        <w:t>s</w:t>
      </w:r>
      <w:r>
        <w:rPr>
          <w:spacing w:val="-3"/>
          <w:w w:val="110"/>
          <w:sz w:val="12"/>
        </w:rPr>
        <w:t>i</w:t>
      </w:r>
      <w:r>
        <w:rPr>
          <w:w w:val="113"/>
          <w:sz w:val="12"/>
        </w:rPr>
        <w:t>s</w:t>
      </w:r>
      <w:r>
        <w:rPr>
          <w:w w:val="101"/>
          <w:sz w:val="12"/>
        </w:rPr>
        <w:t>.</w:t>
      </w:r>
      <w:r>
        <w:rPr>
          <w:spacing w:val="-5"/>
          <w:sz w:val="12"/>
        </w:rPr>
        <w:t> </w:t>
      </w:r>
      <w:hyperlink r:id="rId49">
        <w:r>
          <w:rPr>
            <w:color w:val="007FAC"/>
            <w:w w:val="117"/>
            <w:sz w:val="12"/>
          </w:rPr>
          <w:t>h</w:t>
        </w:r>
        <w:r>
          <w:rPr>
            <w:color w:val="007FAC"/>
            <w:spacing w:val="-4"/>
            <w:w w:val="117"/>
            <w:sz w:val="12"/>
          </w:rPr>
          <w:t>t</w:t>
        </w:r>
        <w:r>
          <w:rPr>
            <w:color w:val="007FAC"/>
            <w:w w:val="114"/>
            <w:sz w:val="12"/>
          </w:rPr>
          <w:t>t</w:t>
        </w:r>
        <w:r>
          <w:rPr>
            <w:color w:val="007FAC"/>
            <w:spacing w:val="-3"/>
            <w:w w:val="114"/>
            <w:sz w:val="12"/>
          </w:rPr>
          <w:t>p</w:t>
        </w:r>
        <w:r>
          <w:rPr>
            <w:color w:val="007FAC"/>
            <w:spacing w:val="-3"/>
            <w:w w:val="151"/>
            <w:sz w:val="12"/>
          </w:rPr>
          <w:t>:</w:t>
        </w:r>
        <w:r>
          <w:rPr>
            <w:color w:val="007FAC"/>
            <w:w w:val="62"/>
            <w:sz w:val="12"/>
          </w:rPr>
          <w:t>/</w:t>
        </w:r>
        <w:r>
          <w:rPr>
            <w:color w:val="007FAC"/>
            <w:spacing w:val="-3"/>
            <w:w w:val="62"/>
            <w:sz w:val="12"/>
          </w:rPr>
          <w:t>/</w:t>
        </w:r>
        <w:r>
          <w:rPr>
            <w:color w:val="007FAC"/>
            <w:w w:val="113"/>
            <w:sz w:val="12"/>
          </w:rPr>
          <w:t>w</w:t>
        </w:r>
        <w:r>
          <w:rPr>
            <w:color w:val="007FAC"/>
            <w:spacing w:val="-4"/>
            <w:w w:val="113"/>
            <w:sz w:val="12"/>
          </w:rPr>
          <w:t>w</w:t>
        </w:r>
        <w:r>
          <w:rPr>
            <w:color w:val="007FAC"/>
            <w:w w:val="113"/>
            <w:sz w:val="12"/>
          </w:rPr>
          <w:t>w</w:t>
        </w:r>
        <w:r>
          <w:rPr>
            <w:color w:val="007FAC"/>
            <w:w w:val="101"/>
            <w:sz w:val="12"/>
          </w:rPr>
          <w:t>.</w:t>
        </w:r>
      </w:hyperlink>
      <w:r>
        <w:rPr>
          <w:color w:val="007FAC"/>
          <w:w w:val="101"/>
          <w:sz w:val="12"/>
        </w:rPr>
        <w:t> </w:t>
      </w:r>
      <w:hyperlink r:id="rId49">
        <w:r>
          <w:rPr>
            <w:color w:val="007FAC"/>
            <w:w w:val="114"/>
            <w:sz w:val="12"/>
          </w:rPr>
          <w:t>o</w:t>
        </w:r>
        <w:r>
          <w:rPr>
            <w:color w:val="007FAC"/>
            <w:spacing w:val="-4"/>
            <w:w w:val="114"/>
            <w:sz w:val="12"/>
          </w:rPr>
          <w:t>h</w:t>
        </w:r>
        <w:r>
          <w:rPr>
            <w:color w:val="007FAC"/>
            <w:w w:val="112"/>
            <w:sz w:val="12"/>
          </w:rPr>
          <w:t>r</w:t>
        </w:r>
        <w:r>
          <w:rPr>
            <w:color w:val="007FAC"/>
            <w:spacing w:val="-3"/>
            <w:w w:val="112"/>
            <w:sz w:val="12"/>
          </w:rPr>
          <w:t>i</w:t>
        </w:r>
        <w:r>
          <w:rPr>
            <w:color w:val="007FAC"/>
            <w:w w:val="111"/>
            <w:sz w:val="12"/>
          </w:rPr>
          <w:t>.</w:t>
        </w:r>
        <w:r>
          <w:rPr>
            <w:color w:val="007FAC"/>
            <w:spacing w:val="-3"/>
            <w:w w:val="111"/>
            <w:sz w:val="12"/>
          </w:rPr>
          <w:t>c</w:t>
        </w:r>
        <w:r>
          <w:rPr>
            <w:color w:val="007FAC"/>
            <w:w w:val="85"/>
            <w:sz w:val="12"/>
          </w:rPr>
          <w:t>a</w:t>
        </w:r>
        <w:r>
          <w:rPr>
            <w:color w:val="007FAC"/>
            <w:spacing w:val="-4"/>
            <w:w w:val="85"/>
            <w:sz w:val="12"/>
          </w:rPr>
          <w:t>/</w:t>
        </w:r>
        <w:r>
          <w:rPr>
            <w:color w:val="007FAC"/>
            <w:w w:val="110"/>
            <w:sz w:val="12"/>
          </w:rPr>
          <w:t>p</w:t>
        </w:r>
        <w:r>
          <w:rPr>
            <w:color w:val="007FAC"/>
            <w:spacing w:val="-4"/>
            <w:w w:val="110"/>
            <w:sz w:val="12"/>
          </w:rPr>
          <w:t>r</w:t>
        </w:r>
        <w:r>
          <w:rPr>
            <w:color w:val="007FAC"/>
            <w:w w:val="110"/>
            <w:sz w:val="12"/>
          </w:rPr>
          <w:t>o</w:t>
        </w:r>
        <w:r>
          <w:rPr>
            <w:color w:val="007FAC"/>
            <w:spacing w:val="-4"/>
            <w:w w:val="110"/>
            <w:sz w:val="12"/>
          </w:rPr>
          <w:t>g</w:t>
        </w:r>
        <w:r>
          <w:rPr>
            <w:color w:val="007FAC"/>
            <w:w w:val="113"/>
            <w:sz w:val="12"/>
          </w:rPr>
          <w:t>r</w:t>
        </w:r>
        <w:r>
          <w:rPr>
            <w:color w:val="007FAC"/>
            <w:spacing w:val="-3"/>
            <w:w w:val="113"/>
            <w:sz w:val="12"/>
          </w:rPr>
          <w:t>a</w:t>
        </w:r>
        <w:r>
          <w:rPr>
            <w:color w:val="007FAC"/>
            <w:spacing w:val="-3"/>
            <w:w w:val="114"/>
            <w:sz w:val="12"/>
          </w:rPr>
          <w:t>m</w:t>
        </w:r>
        <w:r>
          <w:rPr>
            <w:color w:val="007FAC"/>
            <w:w w:val="113"/>
            <w:sz w:val="12"/>
          </w:rPr>
          <w:t>s</w:t>
        </w:r>
        <w:r>
          <w:rPr>
            <w:color w:val="007FAC"/>
            <w:spacing w:val="-3"/>
            <w:w w:val="62"/>
            <w:sz w:val="12"/>
          </w:rPr>
          <w:t>/</w:t>
        </w:r>
        <w:r>
          <w:rPr>
            <w:color w:val="007FAC"/>
            <w:w w:val="116"/>
            <w:sz w:val="12"/>
          </w:rPr>
          <w:t>c</w:t>
        </w:r>
        <w:r>
          <w:rPr>
            <w:color w:val="007FAC"/>
            <w:spacing w:val="-4"/>
            <w:w w:val="110"/>
            <w:sz w:val="12"/>
          </w:rPr>
          <w:t>l</w:t>
        </w:r>
        <w:r>
          <w:rPr>
            <w:color w:val="007FAC"/>
            <w:w w:val="110"/>
            <w:sz w:val="12"/>
          </w:rPr>
          <w:t>i</w:t>
        </w:r>
        <w:r>
          <w:rPr>
            <w:color w:val="007FAC"/>
            <w:spacing w:val="-4"/>
            <w:w w:val="114"/>
            <w:sz w:val="12"/>
          </w:rPr>
          <w:t>n</w:t>
        </w:r>
        <w:r>
          <w:rPr>
            <w:color w:val="007FAC"/>
            <w:w w:val="110"/>
            <w:sz w:val="12"/>
          </w:rPr>
          <w:t>i</w:t>
        </w:r>
        <w:r>
          <w:rPr>
            <w:color w:val="007FAC"/>
            <w:spacing w:val="-4"/>
            <w:w w:val="116"/>
            <w:sz w:val="12"/>
          </w:rPr>
          <w:t>c</w:t>
        </w:r>
        <w:r>
          <w:rPr>
            <w:color w:val="007FAC"/>
            <w:w w:val="112"/>
            <w:sz w:val="12"/>
          </w:rPr>
          <w:t>a</w:t>
        </w:r>
        <w:r>
          <w:rPr>
            <w:color w:val="007FAC"/>
            <w:spacing w:val="-4"/>
            <w:w w:val="110"/>
            <w:sz w:val="12"/>
          </w:rPr>
          <w:t>l</w:t>
        </w:r>
        <w:r>
          <w:rPr>
            <w:color w:val="007FAC"/>
            <w:w w:val="110"/>
            <w:sz w:val="12"/>
          </w:rPr>
          <w:t>_</w:t>
        </w:r>
        <w:r>
          <w:rPr>
            <w:color w:val="007FAC"/>
            <w:spacing w:val="-4"/>
            <w:w w:val="119"/>
            <w:sz w:val="12"/>
          </w:rPr>
          <w:t>e</w:t>
        </w:r>
        <w:r>
          <w:rPr>
            <w:color w:val="007FAC"/>
            <w:w w:val="109"/>
            <w:sz w:val="12"/>
          </w:rPr>
          <w:t>p</w:t>
        </w:r>
        <w:r>
          <w:rPr>
            <w:color w:val="007FAC"/>
            <w:spacing w:val="-3"/>
            <w:w w:val="110"/>
            <w:sz w:val="12"/>
          </w:rPr>
          <w:t>i</w:t>
        </w:r>
        <w:r>
          <w:rPr>
            <w:color w:val="007FAC"/>
            <w:w w:val="107"/>
            <w:sz w:val="12"/>
          </w:rPr>
          <w:t>d</w:t>
        </w:r>
        <w:r>
          <w:rPr>
            <w:color w:val="007FAC"/>
            <w:spacing w:val="-3"/>
            <w:w w:val="119"/>
            <w:sz w:val="12"/>
          </w:rPr>
          <w:t>e</w:t>
        </w:r>
        <w:r>
          <w:rPr>
            <w:color w:val="007FAC"/>
            <w:spacing w:val="-3"/>
            <w:w w:val="114"/>
            <w:sz w:val="12"/>
          </w:rPr>
          <w:t>m</w:t>
        </w:r>
        <w:r>
          <w:rPr>
            <w:color w:val="007FAC"/>
            <w:w w:val="112"/>
            <w:sz w:val="12"/>
          </w:rPr>
          <w:t>i</w:t>
        </w:r>
        <w:r>
          <w:rPr>
            <w:color w:val="007FAC"/>
            <w:spacing w:val="-4"/>
            <w:w w:val="112"/>
            <w:sz w:val="12"/>
          </w:rPr>
          <w:t>o</w:t>
        </w:r>
        <w:r>
          <w:rPr>
            <w:color w:val="007FAC"/>
            <w:w w:val="112"/>
            <w:sz w:val="12"/>
          </w:rPr>
          <w:t>l</w:t>
        </w:r>
        <w:r>
          <w:rPr>
            <w:color w:val="007FAC"/>
            <w:spacing w:val="-4"/>
            <w:w w:val="112"/>
            <w:sz w:val="12"/>
          </w:rPr>
          <w:t>o</w:t>
        </w:r>
        <w:r>
          <w:rPr>
            <w:color w:val="007FAC"/>
            <w:w w:val="107"/>
            <w:sz w:val="12"/>
          </w:rPr>
          <w:t>g</w:t>
        </w:r>
        <w:r>
          <w:rPr>
            <w:color w:val="007FAC"/>
            <w:spacing w:val="-3"/>
            <w:w w:val="107"/>
            <w:sz w:val="12"/>
          </w:rPr>
          <w:t>y</w:t>
        </w:r>
        <w:r>
          <w:rPr>
            <w:color w:val="007FAC"/>
            <w:w w:val="86"/>
            <w:sz w:val="12"/>
          </w:rPr>
          <w:t>/</w:t>
        </w:r>
        <w:r>
          <w:rPr>
            <w:color w:val="007FAC"/>
            <w:spacing w:val="-4"/>
            <w:w w:val="86"/>
            <w:sz w:val="12"/>
          </w:rPr>
          <w:t>o</w:t>
        </w:r>
        <w:r>
          <w:rPr>
            <w:color w:val="007FAC"/>
            <w:w w:val="113"/>
            <w:sz w:val="12"/>
          </w:rPr>
          <w:t>x</w:t>
        </w:r>
        <w:r>
          <w:rPr>
            <w:color w:val="007FAC"/>
            <w:spacing w:val="-3"/>
            <w:w w:val="113"/>
            <w:sz w:val="12"/>
          </w:rPr>
          <w:t>f</w:t>
        </w:r>
        <w:r>
          <w:rPr>
            <w:color w:val="007FAC"/>
            <w:w w:val="113"/>
            <w:sz w:val="12"/>
          </w:rPr>
          <w:t>o</w:t>
        </w:r>
        <w:r>
          <w:rPr>
            <w:color w:val="007FAC"/>
            <w:spacing w:val="-4"/>
            <w:w w:val="113"/>
            <w:sz w:val="12"/>
          </w:rPr>
          <w:t>r</w:t>
        </w:r>
        <w:r>
          <w:rPr>
            <w:color w:val="007FAC"/>
            <w:w w:val="105"/>
            <w:sz w:val="12"/>
          </w:rPr>
          <w:t>d</w:t>
        </w:r>
        <w:r>
          <w:rPr>
            <w:color w:val="007FAC"/>
            <w:spacing w:val="-3"/>
            <w:w w:val="105"/>
            <w:sz w:val="12"/>
          </w:rPr>
          <w:t>.</w:t>
        </w:r>
        <w:r>
          <w:rPr>
            <w:color w:val="007FAC"/>
            <w:w w:val="113"/>
            <w:sz w:val="12"/>
          </w:rPr>
          <w:t>a</w:t>
        </w:r>
        <w:r>
          <w:rPr>
            <w:color w:val="007FAC"/>
            <w:spacing w:val="-4"/>
            <w:w w:val="113"/>
            <w:sz w:val="12"/>
          </w:rPr>
          <w:t>s</w:t>
        </w:r>
        <w:r>
          <w:rPr>
            <w:color w:val="007FAC"/>
            <w:spacing w:val="-2"/>
            <w:w w:val="109"/>
            <w:sz w:val="12"/>
          </w:rPr>
          <w:t>p</w:t>
        </w:r>
      </w:hyperlink>
      <w:r>
        <w:rPr>
          <w:w w:val="151"/>
          <w:sz w:val="12"/>
        </w:rPr>
        <w:t>;</w:t>
      </w:r>
      <w:r>
        <w:rPr>
          <w:sz w:val="12"/>
        </w:rPr>
        <w:t>  </w:t>
      </w:r>
      <w:r>
        <w:rPr>
          <w:spacing w:val="-7"/>
          <w:sz w:val="12"/>
        </w:rPr>
        <w:t> </w:t>
      </w:r>
      <w:r>
        <w:rPr>
          <w:spacing w:val="-3"/>
          <w:w w:val="126"/>
          <w:sz w:val="12"/>
        </w:rPr>
        <w:t>2</w:t>
      </w:r>
      <w:r>
        <w:rPr>
          <w:w w:val="126"/>
          <w:sz w:val="12"/>
        </w:rPr>
        <w:t>0</w:t>
      </w:r>
      <w:r>
        <w:rPr>
          <w:spacing w:val="-4"/>
          <w:w w:val="126"/>
          <w:sz w:val="12"/>
        </w:rPr>
        <w:t>1</w:t>
      </w:r>
      <w:r>
        <w:rPr>
          <w:w w:val="118"/>
          <w:sz w:val="12"/>
        </w:rPr>
        <w:t>4.</w:t>
      </w:r>
      <w:r>
        <w:rPr>
          <w:sz w:val="12"/>
        </w:rPr>
        <w:t>  </w:t>
      </w:r>
      <w:r>
        <w:rPr>
          <w:spacing w:val="-8"/>
          <w:sz w:val="12"/>
        </w:rPr>
        <w:t> </w:t>
      </w:r>
      <w:r>
        <w:rPr>
          <w:w w:val="100"/>
          <w:sz w:val="12"/>
        </w:rPr>
        <w:t>[</w:t>
      </w:r>
      <w:r>
        <w:rPr>
          <w:spacing w:val="-3"/>
          <w:w w:val="100"/>
          <w:sz w:val="12"/>
        </w:rPr>
        <w:t>A</w:t>
      </w:r>
      <w:r>
        <w:rPr>
          <w:w w:val="116"/>
          <w:sz w:val="12"/>
        </w:rPr>
        <w:t>c</w:t>
      </w:r>
      <w:r>
        <w:rPr>
          <w:spacing w:val="-4"/>
          <w:w w:val="116"/>
          <w:sz w:val="12"/>
        </w:rPr>
        <w:t>c</w:t>
      </w:r>
      <w:r>
        <w:rPr>
          <w:w w:val="117"/>
          <w:sz w:val="12"/>
        </w:rPr>
        <w:t>e</w:t>
      </w:r>
      <w:r>
        <w:rPr>
          <w:spacing w:val="-3"/>
          <w:w w:val="117"/>
          <w:sz w:val="12"/>
        </w:rPr>
        <w:t>s</w:t>
      </w:r>
      <w:r>
        <w:rPr>
          <w:spacing w:val="-3"/>
          <w:w w:val="113"/>
          <w:sz w:val="12"/>
        </w:rPr>
        <w:t>s</w:t>
      </w:r>
      <w:r>
        <w:rPr>
          <w:w w:val="119"/>
          <w:sz w:val="12"/>
        </w:rPr>
        <w:t>e</w:t>
      </w:r>
      <w:r>
        <w:rPr>
          <w:w w:val="107"/>
          <w:sz w:val="12"/>
        </w:rPr>
        <w:t>d</w:t>
      </w:r>
      <w:r>
        <w:rPr>
          <w:sz w:val="12"/>
        </w:rPr>
        <w:t>  </w:t>
      </w:r>
      <w:r>
        <w:rPr>
          <w:spacing w:val="-8"/>
          <w:sz w:val="12"/>
        </w:rPr>
        <w:t> </w:t>
      </w:r>
      <w:r>
        <w:rPr>
          <w:spacing w:val="-3"/>
          <w:w w:val="126"/>
          <w:sz w:val="12"/>
        </w:rPr>
        <w:t>2</w:t>
      </w:r>
      <w:r>
        <w:rPr>
          <w:w w:val="126"/>
          <w:sz w:val="12"/>
        </w:rPr>
        <w:t>1</w:t>
      </w:r>
      <w:r>
        <w:rPr>
          <w:sz w:val="12"/>
        </w:rPr>
        <w:t>  </w:t>
      </w:r>
      <w:r>
        <w:rPr>
          <w:spacing w:val="-6"/>
          <w:sz w:val="12"/>
        </w:rPr>
        <w:t> </w:t>
      </w:r>
      <w:r>
        <w:rPr>
          <w:w w:val="100"/>
          <w:sz w:val="12"/>
        </w:rPr>
        <w:t>J</w:t>
      </w:r>
      <w:r>
        <w:rPr>
          <w:spacing w:val="-4"/>
          <w:w w:val="108"/>
          <w:sz w:val="12"/>
        </w:rPr>
        <w:t>u</w:t>
      </w:r>
      <w:r>
        <w:rPr>
          <w:w w:val="114"/>
          <w:sz w:val="12"/>
        </w:rPr>
        <w:t>n</w:t>
      </w:r>
      <w:r>
        <w:rPr>
          <w:w w:val="119"/>
          <w:sz w:val="12"/>
        </w:rPr>
        <w:t>e </w:t>
      </w:r>
      <w:bookmarkStart w:name="_bookmark26" w:id="46"/>
      <w:bookmarkEnd w:id="46"/>
      <w:r>
        <w:rPr>
          <w:spacing w:val="-3"/>
          <w:w w:val="126"/>
          <w:sz w:val="12"/>
        </w:rPr>
      </w:r>
      <w:r>
        <w:rPr>
          <w:spacing w:val="-3"/>
          <w:w w:val="110"/>
          <w:sz w:val="12"/>
        </w:rPr>
        <w:t>2021].</w:t>
      </w:r>
    </w:p>
    <w:p>
      <w:pPr>
        <w:pStyle w:val="ListParagraph"/>
        <w:numPr>
          <w:ilvl w:val="0"/>
          <w:numId w:val="3"/>
        </w:numPr>
        <w:tabs>
          <w:tab w:pos="636" w:val="left" w:leader="none"/>
        </w:tabs>
        <w:spacing w:line="254" w:lineRule="auto" w:before="0" w:after="0"/>
        <w:ind w:left="635" w:right="112" w:hanging="326"/>
        <w:jc w:val="both"/>
        <w:rPr>
          <w:sz w:val="12"/>
        </w:rPr>
      </w:pPr>
      <w:hyperlink r:id="rId50">
        <w:r>
          <w:rPr>
            <w:color w:val="007FAC"/>
            <w:w w:val="110"/>
            <w:sz w:val="12"/>
          </w:rPr>
          <w:t>Khurana A, Parker S, Goel V, Alderman PM. Dermabond wound closure </w:t>
        </w:r>
        <w:r>
          <w:rPr>
            <w:color w:val="007FAC"/>
            <w:spacing w:val="-6"/>
            <w:w w:val="110"/>
            <w:sz w:val="12"/>
          </w:rPr>
          <w:t>in</w:t>
        </w:r>
      </w:hyperlink>
      <w:bookmarkStart w:name="_bookmark27" w:id="47"/>
      <w:bookmarkEnd w:id="47"/>
      <w:r>
        <w:rPr>
          <w:color w:val="007FAC"/>
          <w:spacing w:val="-6"/>
          <w:w w:val="110"/>
          <w:sz w:val="12"/>
        </w:rPr>
      </w:r>
      <w:hyperlink r:id="rId50">
        <w:r>
          <w:rPr>
            <w:color w:val="007FAC"/>
            <w:spacing w:val="-6"/>
            <w:w w:val="110"/>
            <w:sz w:val="12"/>
          </w:rPr>
          <w:t> </w:t>
        </w:r>
        <w:r>
          <w:rPr>
            <w:color w:val="007FAC"/>
            <w:w w:val="110"/>
            <w:sz w:val="12"/>
          </w:rPr>
          <w:t>primary</w:t>
        </w:r>
        <w:r>
          <w:rPr>
            <w:color w:val="007FAC"/>
            <w:spacing w:val="15"/>
            <w:w w:val="110"/>
            <w:sz w:val="12"/>
          </w:rPr>
          <w:t> </w:t>
        </w:r>
        <w:r>
          <w:rPr>
            <w:color w:val="007FAC"/>
            <w:w w:val="110"/>
            <w:sz w:val="12"/>
          </w:rPr>
          <w:t>hip</w:t>
        </w:r>
        <w:r>
          <w:rPr>
            <w:color w:val="007FAC"/>
            <w:spacing w:val="16"/>
            <w:w w:val="110"/>
            <w:sz w:val="12"/>
          </w:rPr>
          <w:t> </w:t>
        </w:r>
        <w:r>
          <w:rPr>
            <w:color w:val="007FAC"/>
            <w:w w:val="110"/>
            <w:sz w:val="12"/>
          </w:rPr>
          <w:t>arthroplasty.</w:t>
        </w:r>
        <w:r>
          <w:rPr>
            <w:color w:val="007FAC"/>
            <w:spacing w:val="16"/>
            <w:w w:val="110"/>
            <w:sz w:val="12"/>
          </w:rPr>
          <w:t> </w:t>
        </w:r>
        <w:r>
          <w:rPr>
            <w:color w:val="007FAC"/>
            <w:w w:val="110"/>
            <w:sz w:val="12"/>
          </w:rPr>
          <w:t>Acta</w:t>
        </w:r>
        <w:r>
          <w:rPr>
            <w:color w:val="007FAC"/>
            <w:spacing w:val="17"/>
            <w:w w:val="110"/>
            <w:sz w:val="12"/>
          </w:rPr>
          <w:t> </w:t>
        </w:r>
        <w:r>
          <w:rPr>
            <w:color w:val="007FAC"/>
            <w:w w:val="110"/>
            <w:sz w:val="12"/>
          </w:rPr>
          <w:t>Orthop</w:t>
        </w:r>
        <w:r>
          <w:rPr>
            <w:color w:val="007FAC"/>
            <w:spacing w:val="16"/>
            <w:w w:val="110"/>
            <w:sz w:val="12"/>
          </w:rPr>
          <w:t> </w:t>
        </w:r>
        <w:r>
          <w:rPr>
            <w:color w:val="007FAC"/>
            <w:w w:val="110"/>
            <w:sz w:val="12"/>
          </w:rPr>
          <w:t>Belg</w:t>
        </w:r>
        <w:r>
          <w:rPr>
            <w:color w:val="007FAC"/>
            <w:spacing w:val="15"/>
            <w:w w:val="110"/>
            <w:sz w:val="12"/>
          </w:rPr>
          <w:t> </w:t>
        </w:r>
        <w:r>
          <w:rPr>
            <w:color w:val="007FAC"/>
            <w:w w:val="110"/>
            <w:sz w:val="12"/>
          </w:rPr>
          <w:t>2008;74(3):349</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51">
        <w:r>
          <w:rPr>
            <w:color w:val="007FAC"/>
            <w:w w:val="110"/>
            <w:sz w:val="12"/>
          </w:rPr>
          <w:t>Singhal A, Hussain A. Skin closure with automatic stapling in total hip and</w:t>
        </w:r>
      </w:hyperlink>
      <w:bookmarkStart w:name="_bookmark28" w:id="48"/>
      <w:bookmarkEnd w:id="48"/>
      <w:r>
        <w:rPr>
          <w:color w:val="007FAC"/>
          <w:w w:val="110"/>
          <w:sz w:val="12"/>
        </w:rPr>
      </w:r>
      <w:hyperlink r:id="rId51">
        <w:r>
          <w:rPr>
            <w:color w:val="007FAC"/>
            <w:spacing w:val="33"/>
            <w:w w:val="110"/>
            <w:sz w:val="12"/>
          </w:rPr>
          <w:t> </w:t>
        </w:r>
        <w:r>
          <w:rPr>
            <w:color w:val="007FAC"/>
            <w:w w:val="110"/>
            <w:sz w:val="12"/>
          </w:rPr>
          <w:t>knee arthroplasty. JK Pract</w:t>
        </w:r>
        <w:r>
          <w:rPr>
            <w:color w:val="007FAC"/>
            <w:spacing w:val="20"/>
            <w:w w:val="110"/>
            <w:sz w:val="12"/>
          </w:rPr>
          <w:t> </w:t>
        </w:r>
        <w:r>
          <w:rPr>
            <w:color w:val="007FAC"/>
            <w:w w:val="110"/>
            <w:sz w:val="12"/>
          </w:rPr>
          <w:t>2006;13:142</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52">
        <w:r>
          <w:rPr>
            <w:color w:val="007FAC"/>
            <w:w w:val="115"/>
            <w:sz w:val="12"/>
          </w:rPr>
          <w:t>Chow J. Wireless microcurrent-generating antimicrobial wound dressing </w:t>
        </w:r>
        <w:r>
          <w:rPr>
            <w:color w:val="007FAC"/>
            <w:spacing w:val="-6"/>
            <w:w w:val="115"/>
            <w:sz w:val="12"/>
          </w:rPr>
          <w:t>in</w:t>
        </w:r>
      </w:hyperlink>
      <w:hyperlink r:id="rId52">
        <w:r>
          <w:rPr>
            <w:color w:val="007FAC"/>
            <w:spacing w:val="-6"/>
            <w:w w:val="115"/>
            <w:sz w:val="12"/>
          </w:rPr>
          <w:t> </w:t>
        </w:r>
        <w:r>
          <w:rPr>
            <w:color w:val="007FAC"/>
            <w:w w:val="115"/>
            <w:sz w:val="12"/>
          </w:rPr>
          <w:t>primary total knee arthroplasty: a single-center experience. Orthop </w:t>
        </w:r>
        <w:r>
          <w:rPr>
            <w:color w:val="007FAC"/>
            <w:spacing w:val="-4"/>
            <w:w w:val="115"/>
            <w:sz w:val="12"/>
          </w:rPr>
          <w:t>Rev</w:t>
        </w:r>
      </w:hyperlink>
      <w:bookmarkStart w:name="_bookmark29" w:id="49"/>
      <w:bookmarkEnd w:id="49"/>
      <w:r>
        <w:rPr>
          <w:color w:val="007FAC"/>
          <w:spacing w:val="-4"/>
          <w:w w:val="115"/>
          <w:sz w:val="12"/>
        </w:rPr>
      </w:r>
      <w:hyperlink r:id="rId52">
        <w:r>
          <w:rPr>
            <w:color w:val="007FAC"/>
            <w:spacing w:val="-4"/>
            <w:w w:val="115"/>
            <w:sz w:val="12"/>
          </w:rPr>
          <w:t> </w:t>
        </w:r>
        <w:r>
          <w:rPr>
            <w:color w:val="007FAC"/>
            <w:w w:val="115"/>
            <w:sz w:val="12"/>
          </w:rPr>
          <w:t>(Pavia)</w:t>
        </w:r>
        <w:r>
          <w:rPr>
            <w:color w:val="007FAC"/>
            <w:spacing w:val="9"/>
            <w:w w:val="115"/>
            <w:sz w:val="12"/>
          </w:rPr>
          <w:t> </w:t>
        </w:r>
        <w:r>
          <w:rPr>
            <w:color w:val="007FAC"/>
            <w:w w:val="115"/>
            <w:sz w:val="12"/>
          </w:rPr>
          <w:t>2016;8(2):6296</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53">
        <w:r>
          <w:rPr>
            <w:color w:val="007FAC"/>
            <w:w w:val="115"/>
            <w:sz w:val="12"/>
          </w:rPr>
          <w:t>Snyder</w:t>
        </w:r>
        <w:r>
          <w:rPr>
            <w:color w:val="007FAC"/>
            <w:spacing w:val="-25"/>
            <w:w w:val="115"/>
            <w:sz w:val="12"/>
          </w:rPr>
          <w:t> </w:t>
        </w:r>
        <w:r>
          <w:rPr>
            <w:color w:val="007FAC"/>
            <w:w w:val="115"/>
            <w:sz w:val="12"/>
          </w:rPr>
          <w:t>MA,</w:t>
        </w:r>
        <w:r>
          <w:rPr>
            <w:color w:val="007FAC"/>
            <w:spacing w:val="-24"/>
            <w:w w:val="115"/>
            <w:sz w:val="12"/>
          </w:rPr>
          <w:t> </w:t>
        </w:r>
        <w:r>
          <w:rPr>
            <w:color w:val="007FAC"/>
            <w:w w:val="115"/>
            <w:sz w:val="12"/>
          </w:rPr>
          <w:t>Sympson</w:t>
        </w:r>
        <w:r>
          <w:rPr>
            <w:color w:val="007FAC"/>
            <w:spacing w:val="-25"/>
            <w:w w:val="115"/>
            <w:sz w:val="12"/>
          </w:rPr>
          <w:t> </w:t>
        </w:r>
        <w:r>
          <w:rPr>
            <w:color w:val="007FAC"/>
            <w:w w:val="115"/>
            <w:sz w:val="12"/>
          </w:rPr>
          <w:t>AN,</w:t>
        </w:r>
        <w:r>
          <w:rPr>
            <w:color w:val="007FAC"/>
            <w:spacing w:val="-24"/>
            <w:w w:val="115"/>
            <w:sz w:val="12"/>
          </w:rPr>
          <w:t> </w:t>
        </w:r>
        <w:r>
          <w:rPr>
            <w:color w:val="007FAC"/>
            <w:w w:val="115"/>
            <w:sz w:val="12"/>
          </w:rPr>
          <w:t>Wurzelbacher</w:t>
        </w:r>
        <w:r>
          <w:rPr>
            <w:color w:val="007FAC"/>
            <w:spacing w:val="-25"/>
            <w:w w:val="115"/>
            <w:sz w:val="12"/>
          </w:rPr>
          <w:t> </w:t>
        </w:r>
        <w:r>
          <w:rPr>
            <w:color w:val="007FAC"/>
            <w:w w:val="115"/>
            <w:sz w:val="12"/>
          </w:rPr>
          <w:t>SJ,</w:t>
        </w:r>
        <w:r>
          <w:rPr>
            <w:color w:val="007FAC"/>
            <w:spacing w:val="-24"/>
            <w:w w:val="115"/>
            <w:sz w:val="12"/>
          </w:rPr>
          <w:t> </w:t>
        </w:r>
        <w:r>
          <w:rPr>
            <w:color w:val="007FAC"/>
            <w:w w:val="115"/>
            <w:sz w:val="12"/>
          </w:rPr>
          <w:t>Brian</w:t>
        </w:r>
        <w:r>
          <w:rPr>
            <w:color w:val="007FAC"/>
            <w:spacing w:val="-25"/>
            <w:w w:val="115"/>
            <w:sz w:val="12"/>
          </w:rPr>
          <w:t> </w:t>
        </w:r>
        <w:r>
          <w:rPr>
            <w:color w:val="007FAC"/>
            <w:w w:val="115"/>
            <w:sz w:val="12"/>
          </w:rPr>
          <w:t>Chen</w:t>
        </w:r>
        <w:r>
          <w:rPr>
            <w:color w:val="007FAC"/>
            <w:spacing w:val="-24"/>
            <w:w w:val="115"/>
            <w:sz w:val="12"/>
          </w:rPr>
          <w:t> </w:t>
        </w:r>
        <w:r>
          <w:rPr>
            <w:color w:val="007FAC"/>
            <w:w w:val="115"/>
            <w:sz w:val="12"/>
          </w:rPr>
          <w:t>PH,</w:t>
        </w:r>
        <w:r>
          <w:rPr>
            <w:color w:val="007FAC"/>
            <w:spacing w:val="-25"/>
            <w:w w:val="115"/>
            <w:sz w:val="12"/>
          </w:rPr>
          <w:t> </w:t>
        </w:r>
        <w:r>
          <w:rPr>
            <w:color w:val="007FAC"/>
            <w:w w:val="115"/>
            <w:sz w:val="12"/>
          </w:rPr>
          <w:t>Ernst</w:t>
        </w:r>
        <w:r>
          <w:rPr>
            <w:color w:val="007FAC"/>
            <w:spacing w:val="-24"/>
            <w:w w:val="115"/>
            <w:sz w:val="12"/>
          </w:rPr>
          <w:t> </w:t>
        </w:r>
        <w:r>
          <w:rPr>
            <w:color w:val="007FAC"/>
            <w:w w:val="115"/>
            <w:sz w:val="12"/>
          </w:rPr>
          <w:t>FR.</w:t>
        </w:r>
        <w:r>
          <w:rPr>
            <w:color w:val="007FAC"/>
            <w:spacing w:val="-25"/>
            <w:w w:val="115"/>
            <w:sz w:val="12"/>
          </w:rPr>
          <w:t> </w:t>
        </w:r>
        <w:r>
          <w:rPr>
            <w:color w:val="007FAC"/>
            <w:w w:val="115"/>
            <w:sz w:val="12"/>
          </w:rPr>
          <w:t>Integrated</w:t>
        </w:r>
      </w:hyperlink>
      <w:hyperlink r:id="rId53">
        <w:r>
          <w:rPr>
            <w:color w:val="007FAC"/>
            <w:w w:val="115"/>
            <w:sz w:val="12"/>
          </w:rPr>
          <w:t> clinical pathways with watertight, multi-layer closure to improve patient</w:t>
        </w:r>
      </w:hyperlink>
      <w:bookmarkStart w:name="_bookmark30" w:id="50"/>
      <w:bookmarkEnd w:id="50"/>
      <w:r>
        <w:rPr>
          <w:color w:val="007FAC"/>
          <w:w w:val="115"/>
          <w:sz w:val="12"/>
        </w:rPr>
      </w:r>
      <w:hyperlink r:id="rId53">
        <w:r>
          <w:rPr>
            <w:color w:val="007FAC"/>
            <w:w w:val="115"/>
            <w:sz w:val="12"/>
          </w:rPr>
          <w:t> outcomes in total hip and knee joint arthroplasty. J Orthop</w:t>
        </w:r>
        <w:r>
          <w:rPr>
            <w:color w:val="007FAC"/>
            <w:spacing w:val="15"/>
            <w:w w:val="115"/>
            <w:sz w:val="12"/>
          </w:rPr>
          <w:t> </w:t>
        </w:r>
        <w:r>
          <w:rPr>
            <w:color w:val="007FAC"/>
            <w:w w:val="115"/>
            <w:sz w:val="12"/>
          </w:rPr>
          <w:t>2020;18:191</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54">
        <w:r>
          <w:rPr>
            <w:color w:val="007FAC"/>
            <w:w w:val="115"/>
            <w:sz w:val="12"/>
          </w:rPr>
          <w:t>Glennie</w:t>
        </w:r>
        <w:r>
          <w:rPr>
            <w:color w:val="007FAC"/>
            <w:spacing w:val="-16"/>
            <w:w w:val="115"/>
            <w:sz w:val="12"/>
          </w:rPr>
          <w:t> </w:t>
        </w:r>
        <w:r>
          <w:rPr>
            <w:color w:val="007FAC"/>
            <w:w w:val="115"/>
            <w:sz w:val="12"/>
          </w:rPr>
          <w:t>RA,</w:t>
        </w:r>
        <w:r>
          <w:rPr>
            <w:color w:val="007FAC"/>
            <w:spacing w:val="-15"/>
            <w:w w:val="115"/>
            <w:sz w:val="12"/>
          </w:rPr>
          <w:t> </w:t>
        </w:r>
        <w:r>
          <w:rPr>
            <w:color w:val="007FAC"/>
            <w:w w:val="115"/>
            <w:sz w:val="12"/>
          </w:rPr>
          <w:t>Korczak</w:t>
        </w:r>
        <w:r>
          <w:rPr>
            <w:color w:val="007FAC"/>
            <w:spacing w:val="-16"/>
            <w:w w:val="115"/>
            <w:sz w:val="12"/>
          </w:rPr>
          <w:t> </w:t>
        </w:r>
        <w:r>
          <w:rPr>
            <w:color w:val="007FAC"/>
            <w:w w:val="115"/>
            <w:sz w:val="12"/>
          </w:rPr>
          <w:t>A,</w:t>
        </w:r>
        <w:r>
          <w:rPr>
            <w:color w:val="007FAC"/>
            <w:spacing w:val="-15"/>
            <w:w w:val="115"/>
            <w:sz w:val="12"/>
          </w:rPr>
          <w:t> </w:t>
        </w:r>
        <w:r>
          <w:rPr>
            <w:color w:val="007FAC"/>
            <w:w w:val="115"/>
            <w:sz w:val="12"/>
          </w:rPr>
          <w:t>Naudie</w:t>
        </w:r>
        <w:r>
          <w:rPr>
            <w:color w:val="007FAC"/>
            <w:spacing w:val="-15"/>
            <w:w w:val="115"/>
            <w:sz w:val="12"/>
          </w:rPr>
          <w:t> </w:t>
        </w:r>
        <w:r>
          <w:rPr>
            <w:color w:val="007FAC"/>
            <w:w w:val="115"/>
            <w:sz w:val="12"/>
          </w:rPr>
          <w:t>DD,</w:t>
        </w:r>
        <w:r>
          <w:rPr>
            <w:color w:val="007FAC"/>
            <w:spacing w:val="-16"/>
            <w:w w:val="115"/>
            <w:sz w:val="12"/>
          </w:rPr>
          <w:t> </w:t>
        </w:r>
        <w:r>
          <w:rPr>
            <w:color w:val="007FAC"/>
            <w:w w:val="115"/>
            <w:sz w:val="12"/>
          </w:rPr>
          <w:t>Bryant</w:t>
        </w:r>
        <w:r>
          <w:rPr>
            <w:color w:val="007FAC"/>
            <w:spacing w:val="-15"/>
            <w:w w:val="115"/>
            <w:sz w:val="12"/>
          </w:rPr>
          <w:t> </w:t>
        </w:r>
        <w:r>
          <w:rPr>
            <w:color w:val="007FAC"/>
            <w:w w:val="115"/>
            <w:sz w:val="12"/>
          </w:rPr>
          <w:t>DM,</w:t>
        </w:r>
        <w:r>
          <w:rPr>
            <w:color w:val="007FAC"/>
            <w:spacing w:val="-16"/>
            <w:w w:val="115"/>
            <w:sz w:val="12"/>
          </w:rPr>
          <w:t> </w:t>
        </w:r>
        <w:r>
          <w:rPr>
            <w:color w:val="007FAC"/>
            <w:w w:val="115"/>
            <w:sz w:val="12"/>
          </w:rPr>
          <w:t>Howard</w:t>
        </w:r>
        <w:r>
          <w:rPr>
            <w:color w:val="007FAC"/>
            <w:spacing w:val="-15"/>
            <w:w w:val="115"/>
            <w:sz w:val="12"/>
          </w:rPr>
          <w:t> </w:t>
        </w:r>
        <w:r>
          <w:rPr>
            <w:color w:val="007FAC"/>
            <w:w w:val="115"/>
            <w:sz w:val="12"/>
          </w:rPr>
          <w:t>JL.</w:t>
        </w:r>
        <w:r>
          <w:rPr>
            <w:color w:val="007FAC"/>
            <w:spacing w:val="-15"/>
            <w:w w:val="115"/>
            <w:sz w:val="12"/>
          </w:rPr>
          <w:t> </w:t>
        </w:r>
        <w:r>
          <w:rPr>
            <w:color w:val="007FAC"/>
            <w:w w:val="115"/>
            <w:sz w:val="12"/>
          </w:rPr>
          <w:t>MONOCRYL</w:t>
        </w:r>
        <w:r>
          <w:rPr>
            <w:color w:val="007FAC"/>
            <w:spacing w:val="-16"/>
            <w:w w:val="115"/>
            <w:sz w:val="12"/>
          </w:rPr>
          <w:t> </w:t>
        </w:r>
        <w:r>
          <w:rPr>
            <w:color w:val="007FAC"/>
            <w:w w:val="115"/>
            <w:sz w:val="12"/>
          </w:rPr>
          <w:t>and</w:t>
        </w:r>
      </w:hyperlink>
      <w:hyperlink r:id="rId54">
        <w:r>
          <w:rPr>
            <w:color w:val="007FAC"/>
            <w:w w:val="115"/>
            <w:sz w:val="12"/>
          </w:rPr>
          <w:t> DERMABOND</w:t>
        </w:r>
        <w:r>
          <w:rPr>
            <w:color w:val="007FAC"/>
            <w:spacing w:val="-10"/>
            <w:w w:val="115"/>
            <w:sz w:val="12"/>
          </w:rPr>
          <w:t> </w:t>
        </w:r>
        <w:r>
          <w:rPr>
            <w:color w:val="007FAC"/>
            <w:w w:val="115"/>
            <w:sz w:val="12"/>
          </w:rPr>
          <w:t>vs</w:t>
        </w:r>
        <w:r>
          <w:rPr>
            <w:color w:val="007FAC"/>
            <w:spacing w:val="-10"/>
            <w:w w:val="115"/>
            <w:sz w:val="12"/>
          </w:rPr>
          <w:t> </w:t>
        </w:r>
        <w:r>
          <w:rPr>
            <w:color w:val="007FAC"/>
            <w:w w:val="115"/>
            <w:sz w:val="12"/>
          </w:rPr>
          <w:t>staples</w:t>
        </w:r>
        <w:r>
          <w:rPr>
            <w:color w:val="007FAC"/>
            <w:spacing w:val="-10"/>
            <w:w w:val="115"/>
            <w:sz w:val="12"/>
          </w:rPr>
          <w:t> </w:t>
        </w:r>
        <w:r>
          <w:rPr>
            <w:color w:val="007FAC"/>
            <w:w w:val="115"/>
            <w:sz w:val="12"/>
          </w:rPr>
          <w:t>in</w:t>
        </w:r>
        <w:r>
          <w:rPr>
            <w:color w:val="007FAC"/>
            <w:spacing w:val="-10"/>
            <w:w w:val="115"/>
            <w:sz w:val="12"/>
          </w:rPr>
          <w:t> </w:t>
        </w:r>
        <w:r>
          <w:rPr>
            <w:color w:val="007FAC"/>
            <w:w w:val="115"/>
            <w:sz w:val="12"/>
          </w:rPr>
          <w:t>total</w:t>
        </w:r>
        <w:r>
          <w:rPr>
            <w:color w:val="007FAC"/>
            <w:spacing w:val="-9"/>
            <w:w w:val="115"/>
            <w:sz w:val="12"/>
          </w:rPr>
          <w:t> </w:t>
        </w:r>
        <w:r>
          <w:rPr>
            <w:color w:val="007FAC"/>
            <w:w w:val="115"/>
            <w:sz w:val="12"/>
          </w:rPr>
          <w:t>hip</w:t>
        </w:r>
        <w:r>
          <w:rPr>
            <w:color w:val="007FAC"/>
            <w:spacing w:val="-11"/>
            <w:w w:val="115"/>
            <w:sz w:val="12"/>
          </w:rPr>
          <w:t> </w:t>
        </w:r>
        <w:r>
          <w:rPr>
            <w:color w:val="007FAC"/>
            <w:w w:val="115"/>
            <w:sz w:val="12"/>
          </w:rPr>
          <w:t>arthroplasty</w:t>
        </w:r>
        <w:r>
          <w:rPr>
            <w:color w:val="007FAC"/>
            <w:spacing w:val="-9"/>
            <w:w w:val="115"/>
            <w:sz w:val="12"/>
          </w:rPr>
          <w:t> </w:t>
        </w:r>
        <w:r>
          <w:rPr>
            <w:color w:val="007FAC"/>
            <w:w w:val="115"/>
            <w:sz w:val="12"/>
          </w:rPr>
          <w:t>performed</w:t>
        </w:r>
        <w:r>
          <w:rPr>
            <w:color w:val="007FAC"/>
            <w:spacing w:val="-11"/>
            <w:w w:val="115"/>
            <w:sz w:val="12"/>
          </w:rPr>
          <w:t> </w:t>
        </w:r>
        <w:r>
          <w:rPr>
            <w:color w:val="007FAC"/>
            <w:w w:val="115"/>
            <w:sz w:val="12"/>
          </w:rPr>
          <w:t>through</w:t>
        </w:r>
        <w:r>
          <w:rPr>
            <w:color w:val="007FAC"/>
            <w:spacing w:val="-9"/>
            <w:w w:val="115"/>
            <w:sz w:val="12"/>
          </w:rPr>
          <w:t> </w:t>
        </w:r>
        <w:r>
          <w:rPr>
            <w:color w:val="007FAC"/>
            <w:w w:val="115"/>
            <w:sz w:val="12"/>
          </w:rPr>
          <w:t>a</w:t>
        </w:r>
        <w:r>
          <w:rPr>
            <w:color w:val="007FAC"/>
            <w:spacing w:val="-10"/>
            <w:w w:val="115"/>
            <w:sz w:val="12"/>
          </w:rPr>
          <w:t> </w:t>
        </w:r>
        <w:r>
          <w:rPr>
            <w:color w:val="007FAC"/>
            <w:w w:val="115"/>
            <w:sz w:val="12"/>
          </w:rPr>
          <w:t>lateral</w:t>
        </w:r>
      </w:hyperlink>
      <w:hyperlink r:id="rId54">
        <w:r>
          <w:rPr>
            <w:color w:val="007FAC"/>
            <w:w w:val="115"/>
            <w:sz w:val="12"/>
          </w:rPr>
          <w:t> skin incision: a randomized controlled trial using a patient-centered assess-</w:t>
        </w:r>
      </w:hyperlink>
      <w:bookmarkStart w:name="_bookmark31" w:id="51"/>
      <w:bookmarkEnd w:id="51"/>
      <w:r>
        <w:rPr>
          <w:color w:val="007FAC"/>
          <w:w w:val="115"/>
          <w:sz w:val="12"/>
        </w:rPr>
      </w:r>
      <w:hyperlink r:id="rId54">
        <w:r>
          <w:rPr>
            <w:color w:val="007FAC"/>
            <w:w w:val="115"/>
            <w:sz w:val="12"/>
          </w:rPr>
          <w:t> ment tool. J Arthroplasty</w:t>
        </w:r>
        <w:r>
          <w:rPr>
            <w:color w:val="007FAC"/>
            <w:spacing w:val="7"/>
            <w:w w:val="115"/>
            <w:sz w:val="12"/>
          </w:rPr>
          <w:t> </w:t>
        </w:r>
        <w:r>
          <w:rPr>
            <w:color w:val="007FAC"/>
            <w:w w:val="115"/>
            <w:sz w:val="12"/>
          </w:rPr>
          <w:t>2017;32(8):2431</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55">
        <w:r>
          <w:rPr>
            <w:color w:val="007FAC"/>
            <w:w w:val="115"/>
            <w:sz w:val="12"/>
          </w:rPr>
          <w:t>Khan</w:t>
        </w:r>
        <w:r>
          <w:rPr>
            <w:color w:val="007FAC"/>
            <w:spacing w:val="-9"/>
            <w:w w:val="115"/>
            <w:sz w:val="12"/>
          </w:rPr>
          <w:t> </w:t>
        </w:r>
        <w:r>
          <w:rPr>
            <w:color w:val="007FAC"/>
            <w:w w:val="115"/>
            <w:sz w:val="12"/>
          </w:rPr>
          <w:t>RJ,</w:t>
        </w:r>
        <w:r>
          <w:rPr>
            <w:color w:val="007FAC"/>
            <w:spacing w:val="-7"/>
            <w:w w:val="115"/>
            <w:sz w:val="12"/>
          </w:rPr>
          <w:t> </w:t>
        </w:r>
        <w:r>
          <w:rPr>
            <w:color w:val="007FAC"/>
            <w:w w:val="115"/>
            <w:sz w:val="12"/>
          </w:rPr>
          <w:t>Fick</w:t>
        </w:r>
        <w:r>
          <w:rPr>
            <w:color w:val="007FAC"/>
            <w:spacing w:val="-8"/>
            <w:w w:val="115"/>
            <w:sz w:val="12"/>
          </w:rPr>
          <w:t> </w:t>
        </w:r>
        <w:r>
          <w:rPr>
            <w:color w:val="007FAC"/>
            <w:w w:val="115"/>
            <w:sz w:val="12"/>
          </w:rPr>
          <w:t>D,</w:t>
        </w:r>
        <w:r>
          <w:rPr>
            <w:color w:val="007FAC"/>
            <w:spacing w:val="-8"/>
            <w:w w:val="115"/>
            <w:sz w:val="12"/>
          </w:rPr>
          <w:t> </w:t>
        </w:r>
        <w:r>
          <w:rPr>
            <w:color w:val="007FAC"/>
            <w:w w:val="115"/>
            <w:sz w:val="12"/>
          </w:rPr>
          <w:t>Yao</w:t>
        </w:r>
        <w:r>
          <w:rPr>
            <w:color w:val="007FAC"/>
            <w:spacing w:val="-8"/>
            <w:w w:val="115"/>
            <w:sz w:val="12"/>
          </w:rPr>
          <w:t> </w:t>
        </w:r>
        <w:r>
          <w:rPr>
            <w:color w:val="007FAC"/>
            <w:w w:val="115"/>
            <w:sz w:val="12"/>
          </w:rPr>
          <w:t>F,</w:t>
        </w:r>
        <w:r>
          <w:rPr>
            <w:color w:val="007FAC"/>
            <w:spacing w:val="-7"/>
            <w:w w:val="115"/>
            <w:sz w:val="12"/>
          </w:rPr>
          <w:t> </w:t>
        </w:r>
        <w:r>
          <w:rPr>
            <w:color w:val="007FAC"/>
            <w:w w:val="115"/>
            <w:sz w:val="12"/>
          </w:rPr>
          <w:t>et</w:t>
        </w:r>
        <w:r>
          <w:rPr>
            <w:color w:val="007FAC"/>
            <w:spacing w:val="-8"/>
            <w:w w:val="115"/>
            <w:sz w:val="12"/>
          </w:rPr>
          <w:t> </w:t>
        </w:r>
        <w:r>
          <w:rPr>
            <w:color w:val="007FAC"/>
            <w:w w:val="115"/>
            <w:sz w:val="12"/>
          </w:rPr>
          <w:t>al.</w:t>
        </w:r>
        <w:r>
          <w:rPr>
            <w:color w:val="007FAC"/>
            <w:spacing w:val="-8"/>
            <w:w w:val="115"/>
            <w:sz w:val="12"/>
          </w:rPr>
          <w:t> </w:t>
        </w:r>
        <w:r>
          <w:rPr>
            <w:color w:val="007FAC"/>
            <w:w w:val="115"/>
            <w:sz w:val="12"/>
          </w:rPr>
          <w:t>A</w:t>
        </w:r>
        <w:r>
          <w:rPr>
            <w:color w:val="007FAC"/>
            <w:spacing w:val="-8"/>
            <w:w w:val="115"/>
            <w:sz w:val="12"/>
          </w:rPr>
          <w:t> </w:t>
        </w:r>
        <w:r>
          <w:rPr>
            <w:color w:val="007FAC"/>
            <w:w w:val="115"/>
            <w:sz w:val="12"/>
          </w:rPr>
          <w:t>comparison</w:t>
        </w:r>
        <w:r>
          <w:rPr>
            <w:color w:val="007FAC"/>
            <w:spacing w:val="-8"/>
            <w:w w:val="115"/>
            <w:sz w:val="12"/>
          </w:rPr>
          <w:t> </w:t>
        </w:r>
        <w:r>
          <w:rPr>
            <w:color w:val="007FAC"/>
            <w:w w:val="115"/>
            <w:sz w:val="12"/>
          </w:rPr>
          <w:t>of</w:t>
        </w:r>
        <w:r>
          <w:rPr>
            <w:color w:val="007FAC"/>
            <w:spacing w:val="-8"/>
            <w:w w:val="115"/>
            <w:sz w:val="12"/>
          </w:rPr>
          <w:t> </w:t>
        </w:r>
        <w:r>
          <w:rPr>
            <w:color w:val="007FAC"/>
            <w:w w:val="115"/>
            <w:sz w:val="12"/>
          </w:rPr>
          <w:t>three</w:t>
        </w:r>
        <w:r>
          <w:rPr>
            <w:color w:val="007FAC"/>
            <w:spacing w:val="-9"/>
            <w:w w:val="115"/>
            <w:sz w:val="12"/>
          </w:rPr>
          <w:t> </w:t>
        </w:r>
        <w:r>
          <w:rPr>
            <w:color w:val="007FAC"/>
            <w:w w:val="115"/>
            <w:sz w:val="12"/>
          </w:rPr>
          <w:t>methods</w:t>
        </w:r>
        <w:r>
          <w:rPr>
            <w:color w:val="007FAC"/>
            <w:spacing w:val="-8"/>
            <w:w w:val="115"/>
            <w:sz w:val="12"/>
          </w:rPr>
          <w:t> </w:t>
        </w:r>
        <w:r>
          <w:rPr>
            <w:color w:val="007FAC"/>
            <w:w w:val="115"/>
            <w:sz w:val="12"/>
          </w:rPr>
          <w:t>of</w:t>
        </w:r>
        <w:r>
          <w:rPr>
            <w:color w:val="007FAC"/>
            <w:spacing w:val="-8"/>
            <w:w w:val="115"/>
            <w:sz w:val="12"/>
          </w:rPr>
          <w:t> </w:t>
        </w:r>
        <w:r>
          <w:rPr>
            <w:color w:val="007FAC"/>
            <w:w w:val="115"/>
            <w:sz w:val="12"/>
          </w:rPr>
          <w:t>wound</w:t>
        </w:r>
        <w:r>
          <w:rPr>
            <w:color w:val="007FAC"/>
            <w:spacing w:val="-7"/>
            <w:w w:val="115"/>
            <w:sz w:val="12"/>
          </w:rPr>
          <w:t> </w:t>
        </w:r>
        <w:r>
          <w:rPr>
            <w:color w:val="007FAC"/>
            <w:w w:val="115"/>
            <w:sz w:val="12"/>
          </w:rPr>
          <w:t>closure</w:t>
        </w:r>
      </w:hyperlink>
      <w:hyperlink r:id="rId55">
        <w:r>
          <w:rPr>
            <w:color w:val="007FAC"/>
            <w:w w:val="115"/>
            <w:sz w:val="12"/>
          </w:rPr>
          <w:t> following arthroplasty: a prospective, randomised, controlled trial. J </w:t>
        </w:r>
        <w:r>
          <w:rPr>
            <w:color w:val="007FAC"/>
            <w:spacing w:val="-3"/>
            <w:w w:val="115"/>
            <w:sz w:val="12"/>
          </w:rPr>
          <w:t>Bone</w:t>
        </w:r>
      </w:hyperlink>
      <w:bookmarkStart w:name="_bookmark32" w:id="52"/>
      <w:bookmarkEnd w:id="52"/>
      <w:r>
        <w:rPr>
          <w:color w:val="007FAC"/>
          <w:spacing w:val="-3"/>
          <w:w w:val="115"/>
          <w:sz w:val="12"/>
        </w:rPr>
      </w:r>
      <w:hyperlink r:id="rId55">
        <w:r>
          <w:rPr>
            <w:color w:val="007FAC"/>
            <w:spacing w:val="-3"/>
            <w:w w:val="115"/>
            <w:sz w:val="12"/>
          </w:rPr>
          <w:t> </w:t>
        </w:r>
        <w:r>
          <w:rPr>
            <w:color w:val="007FAC"/>
            <w:w w:val="115"/>
            <w:sz w:val="12"/>
          </w:rPr>
          <w:t>Joint Surg Br</w:t>
        </w:r>
        <w:r>
          <w:rPr>
            <w:color w:val="007FAC"/>
            <w:spacing w:val="-5"/>
            <w:w w:val="115"/>
            <w:sz w:val="12"/>
          </w:rPr>
          <w:t> </w:t>
        </w:r>
        <w:r>
          <w:rPr>
            <w:color w:val="007FAC"/>
            <w:w w:val="115"/>
            <w:sz w:val="12"/>
          </w:rPr>
          <w:t>2006;88(2):238</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56">
        <w:r>
          <w:rPr>
            <w:color w:val="007FAC"/>
            <w:w w:val="115"/>
            <w:sz w:val="12"/>
          </w:rPr>
          <w:t>Buttaro MA, Quinteros M, Martorell G, et al. Skin staples versus intradermal</w:t>
        </w:r>
      </w:hyperlink>
      <w:hyperlink r:id="rId56">
        <w:r>
          <w:rPr>
            <w:color w:val="007FAC"/>
            <w:w w:val="115"/>
            <w:sz w:val="12"/>
          </w:rPr>
          <w:t> wound</w:t>
        </w:r>
        <w:r>
          <w:rPr>
            <w:color w:val="007FAC"/>
            <w:spacing w:val="-12"/>
            <w:w w:val="115"/>
            <w:sz w:val="12"/>
          </w:rPr>
          <w:t> </w:t>
        </w:r>
        <w:r>
          <w:rPr>
            <w:color w:val="007FAC"/>
            <w:w w:val="115"/>
            <w:sz w:val="12"/>
          </w:rPr>
          <w:t>closure</w:t>
        </w:r>
        <w:r>
          <w:rPr>
            <w:color w:val="007FAC"/>
            <w:spacing w:val="-12"/>
            <w:w w:val="115"/>
            <w:sz w:val="12"/>
          </w:rPr>
          <w:t> </w:t>
        </w:r>
        <w:r>
          <w:rPr>
            <w:color w:val="007FAC"/>
            <w:w w:val="115"/>
            <w:sz w:val="12"/>
          </w:rPr>
          <w:t>following</w:t>
        </w:r>
        <w:r>
          <w:rPr>
            <w:color w:val="007FAC"/>
            <w:spacing w:val="-12"/>
            <w:w w:val="115"/>
            <w:sz w:val="12"/>
          </w:rPr>
          <w:t> </w:t>
        </w:r>
        <w:r>
          <w:rPr>
            <w:color w:val="007FAC"/>
            <w:w w:val="115"/>
            <w:sz w:val="12"/>
          </w:rPr>
          <w:t>primary</w:t>
        </w:r>
        <w:r>
          <w:rPr>
            <w:color w:val="007FAC"/>
            <w:spacing w:val="-12"/>
            <w:w w:val="115"/>
            <w:sz w:val="12"/>
          </w:rPr>
          <w:t> </w:t>
        </w:r>
        <w:r>
          <w:rPr>
            <w:color w:val="007FAC"/>
            <w:w w:val="115"/>
            <w:sz w:val="12"/>
          </w:rPr>
          <w:t>hip</w:t>
        </w:r>
        <w:r>
          <w:rPr>
            <w:color w:val="007FAC"/>
            <w:spacing w:val="-12"/>
            <w:w w:val="115"/>
            <w:sz w:val="12"/>
          </w:rPr>
          <w:t> </w:t>
        </w:r>
        <w:r>
          <w:rPr>
            <w:color w:val="007FAC"/>
            <w:w w:val="115"/>
            <w:sz w:val="12"/>
          </w:rPr>
          <w:t>arthroplasty:</w:t>
        </w:r>
        <w:r>
          <w:rPr>
            <w:color w:val="007FAC"/>
            <w:spacing w:val="-11"/>
            <w:w w:val="115"/>
            <w:sz w:val="12"/>
          </w:rPr>
          <w:t> </w:t>
        </w:r>
        <w:r>
          <w:rPr>
            <w:color w:val="007FAC"/>
            <w:w w:val="115"/>
            <w:sz w:val="12"/>
          </w:rPr>
          <w:t>a</w:t>
        </w:r>
        <w:r>
          <w:rPr>
            <w:color w:val="007FAC"/>
            <w:spacing w:val="-12"/>
            <w:w w:val="115"/>
            <w:sz w:val="12"/>
          </w:rPr>
          <w:t> </w:t>
        </w:r>
        <w:r>
          <w:rPr>
            <w:color w:val="007FAC"/>
            <w:w w:val="115"/>
            <w:sz w:val="12"/>
          </w:rPr>
          <w:t>prospective,</w:t>
        </w:r>
        <w:r>
          <w:rPr>
            <w:color w:val="007FAC"/>
            <w:spacing w:val="-11"/>
            <w:w w:val="115"/>
            <w:sz w:val="12"/>
          </w:rPr>
          <w:t> </w:t>
        </w:r>
        <w:r>
          <w:rPr>
            <w:color w:val="007FAC"/>
            <w:w w:val="115"/>
            <w:sz w:val="12"/>
          </w:rPr>
          <w:t>randomised</w:t>
        </w:r>
      </w:hyperlink>
      <w:hyperlink r:id="rId56">
        <w:r>
          <w:rPr>
            <w:color w:val="007FAC"/>
            <w:w w:val="115"/>
            <w:sz w:val="12"/>
          </w:rPr>
          <w:t> trial</w:t>
        </w:r>
        <w:r>
          <w:rPr>
            <w:color w:val="007FAC"/>
            <w:spacing w:val="10"/>
            <w:w w:val="115"/>
            <w:sz w:val="12"/>
          </w:rPr>
          <w:t> </w:t>
        </w:r>
        <w:r>
          <w:rPr>
            <w:color w:val="007FAC"/>
            <w:w w:val="115"/>
            <w:sz w:val="12"/>
          </w:rPr>
          <w:t>including</w:t>
        </w:r>
        <w:r>
          <w:rPr>
            <w:color w:val="007FAC"/>
            <w:spacing w:val="11"/>
            <w:w w:val="115"/>
            <w:sz w:val="12"/>
          </w:rPr>
          <w:t> </w:t>
        </w:r>
        <w:r>
          <w:rPr>
            <w:color w:val="007FAC"/>
            <w:w w:val="115"/>
            <w:sz w:val="12"/>
          </w:rPr>
          <w:t>231</w:t>
        </w:r>
        <w:r>
          <w:rPr>
            <w:color w:val="007FAC"/>
            <w:spacing w:val="11"/>
            <w:w w:val="115"/>
            <w:sz w:val="12"/>
          </w:rPr>
          <w:t> </w:t>
        </w:r>
        <w:r>
          <w:rPr>
            <w:color w:val="007FAC"/>
            <w:w w:val="115"/>
            <w:sz w:val="12"/>
          </w:rPr>
          <w:t>cases.</w:t>
        </w:r>
        <w:r>
          <w:rPr>
            <w:color w:val="007FAC"/>
            <w:spacing w:val="10"/>
            <w:w w:val="115"/>
            <w:sz w:val="12"/>
          </w:rPr>
          <w:t> </w:t>
        </w:r>
        <w:r>
          <w:rPr>
            <w:color w:val="007FAC"/>
            <w:w w:val="115"/>
            <w:sz w:val="12"/>
          </w:rPr>
          <w:t>Hip</w:t>
        </w:r>
        <w:r>
          <w:rPr>
            <w:color w:val="007FAC"/>
            <w:spacing w:val="11"/>
            <w:w w:val="115"/>
            <w:sz w:val="12"/>
          </w:rPr>
          <w:t> </w:t>
        </w:r>
        <w:r>
          <w:rPr>
            <w:color w:val="007FAC"/>
            <w:w w:val="115"/>
            <w:sz w:val="12"/>
          </w:rPr>
          <w:t>Int</w:t>
        </w:r>
        <w:r>
          <w:rPr>
            <w:color w:val="007FAC"/>
            <w:spacing w:val="11"/>
            <w:w w:val="115"/>
            <w:sz w:val="12"/>
          </w:rPr>
          <w:t> </w:t>
        </w:r>
        <w:r>
          <w:rPr>
            <w:color w:val="007FAC"/>
            <w:w w:val="115"/>
            <w:sz w:val="12"/>
          </w:rPr>
          <w:t>2015;25(6):563</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33" w:id="53"/>
      <w:bookmarkEnd w:id="53"/>
      <w:r>
        <w:rPr/>
      </w:r>
      <w:hyperlink r:id="rId57">
        <w:bookmarkStart w:name="_bookmark33" w:id="54"/>
        <w:bookmarkEnd w:id="54"/>
        <w:r>
          <w:rPr>
            <w:color w:val="007FAC"/>
            <w:w w:val="110"/>
            <w:sz w:val="12"/>
          </w:rPr>
          <w:t>Eggers</w:t>
        </w:r>
        <w:r>
          <w:rPr>
            <w:color w:val="007FAC"/>
            <w:w w:val="110"/>
            <w:sz w:val="12"/>
          </w:rPr>
          <w:t> MD, Fang L, Lionberger DR. A comparison of wound closure techniques</w:t>
        </w:r>
      </w:hyperlink>
      <w:hyperlink r:id="rId57">
        <w:r>
          <w:rPr>
            <w:color w:val="007FAC"/>
            <w:w w:val="110"/>
            <w:sz w:val="12"/>
          </w:rPr>
          <w:t> for total knee arthroplasty. J Arthroplasty</w:t>
        </w:r>
        <w:r>
          <w:rPr>
            <w:color w:val="007FAC"/>
            <w:spacing w:val="2"/>
            <w:w w:val="110"/>
            <w:sz w:val="12"/>
          </w:rPr>
          <w:t> </w:t>
        </w:r>
        <w:r>
          <w:rPr>
            <w:color w:val="007FAC"/>
            <w:w w:val="110"/>
            <w:sz w:val="12"/>
          </w:rPr>
          <w:t>2011;26(8):1251</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34" w:id="55"/>
      <w:bookmarkEnd w:id="55"/>
      <w:r>
        <w:rPr/>
      </w:r>
      <w:hyperlink r:id="rId58">
        <w:bookmarkStart w:name="_bookmark34" w:id="56"/>
        <w:bookmarkEnd w:id="56"/>
        <w:r>
          <w:rPr>
            <w:color w:val="007FAC"/>
            <w:w w:val="110"/>
            <w:sz w:val="12"/>
          </w:rPr>
          <w:t>Wyles</w:t>
        </w:r>
        <w:r>
          <w:rPr>
            <w:color w:val="007FAC"/>
            <w:w w:val="110"/>
            <w:sz w:val="12"/>
          </w:rPr>
          <w:t> CC, Jacobson SR, Houdek MT, et al. The Chitranjan ranawat award:</w:t>
        </w:r>
      </w:hyperlink>
      <w:hyperlink r:id="rId58">
        <w:r>
          <w:rPr>
            <w:color w:val="007FAC"/>
            <w:w w:val="110"/>
            <w:sz w:val="12"/>
          </w:rPr>
          <w:t> running subcuticular closure enables the most robust perfusion after TKA: </w:t>
        </w:r>
        <w:r>
          <w:rPr>
            <w:color w:val="007FAC"/>
            <w:spacing w:val="-12"/>
            <w:w w:val="110"/>
            <w:sz w:val="12"/>
          </w:rPr>
          <w:t>a</w:t>
        </w:r>
      </w:hyperlink>
      <w:hyperlink r:id="rId58">
        <w:r>
          <w:rPr>
            <w:color w:val="007FAC"/>
            <w:spacing w:val="-12"/>
            <w:w w:val="110"/>
            <w:sz w:val="12"/>
          </w:rPr>
          <w:t> </w:t>
        </w:r>
        <w:r>
          <w:rPr>
            <w:color w:val="007FAC"/>
            <w:w w:val="110"/>
            <w:sz w:val="12"/>
          </w:rPr>
          <w:t>randomized clinical trial. Clin Orthop Relat Res</w:t>
        </w:r>
        <w:r>
          <w:rPr>
            <w:color w:val="007FAC"/>
            <w:spacing w:val="21"/>
            <w:w w:val="110"/>
            <w:sz w:val="12"/>
          </w:rPr>
          <w:t> </w:t>
        </w:r>
        <w:r>
          <w:rPr>
            <w:color w:val="007FAC"/>
            <w:w w:val="110"/>
            <w:sz w:val="12"/>
          </w:rPr>
          <w:t>2016;474(1):47</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35" w:id="57"/>
      <w:bookmarkEnd w:id="57"/>
      <w:r>
        <w:rPr/>
      </w:r>
      <w:hyperlink r:id="rId59">
        <w:bookmarkStart w:name="_bookmark35" w:id="58"/>
        <w:bookmarkEnd w:id="58"/>
        <w:r>
          <w:rPr>
            <w:color w:val="007FAC"/>
            <w:w w:val="115"/>
            <w:sz w:val="12"/>
          </w:rPr>
          <w:t>Livesey</w:t>
        </w:r>
        <w:r>
          <w:rPr>
            <w:color w:val="007FAC"/>
            <w:spacing w:val="-11"/>
            <w:w w:val="115"/>
            <w:sz w:val="12"/>
          </w:rPr>
          <w:t> </w:t>
        </w:r>
        <w:r>
          <w:rPr>
            <w:color w:val="007FAC"/>
            <w:w w:val="115"/>
            <w:sz w:val="12"/>
          </w:rPr>
          <w:t>C,</w:t>
        </w:r>
        <w:r>
          <w:rPr>
            <w:color w:val="007FAC"/>
            <w:spacing w:val="-11"/>
            <w:w w:val="115"/>
            <w:sz w:val="12"/>
          </w:rPr>
          <w:t> </w:t>
        </w:r>
        <w:r>
          <w:rPr>
            <w:color w:val="007FAC"/>
            <w:w w:val="115"/>
            <w:sz w:val="12"/>
          </w:rPr>
          <w:t>Wylde</w:t>
        </w:r>
        <w:r>
          <w:rPr>
            <w:color w:val="007FAC"/>
            <w:spacing w:val="-11"/>
            <w:w w:val="115"/>
            <w:sz w:val="12"/>
          </w:rPr>
          <w:t> </w:t>
        </w:r>
        <w:r>
          <w:rPr>
            <w:color w:val="007FAC"/>
            <w:w w:val="115"/>
            <w:sz w:val="12"/>
          </w:rPr>
          <w:t>V,</w:t>
        </w:r>
        <w:r>
          <w:rPr>
            <w:color w:val="007FAC"/>
            <w:spacing w:val="-11"/>
            <w:w w:val="115"/>
            <w:sz w:val="12"/>
          </w:rPr>
          <w:t> </w:t>
        </w:r>
        <w:r>
          <w:rPr>
            <w:color w:val="007FAC"/>
            <w:w w:val="115"/>
            <w:sz w:val="12"/>
          </w:rPr>
          <w:t>Descamps</w:t>
        </w:r>
        <w:r>
          <w:rPr>
            <w:color w:val="007FAC"/>
            <w:spacing w:val="-10"/>
            <w:w w:val="115"/>
            <w:sz w:val="12"/>
          </w:rPr>
          <w:t> </w:t>
        </w:r>
        <w:r>
          <w:rPr>
            <w:color w:val="007FAC"/>
            <w:w w:val="115"/>
            <w:sz w:val="12"/>
          </w:rPr>
          <w:t>S,</w:t>
        </w:r>
        <w:r>
          <w:rPr>
            <w:color w:val="007FAC"/>
            <w:spacing w:val="-10"/>
            <w:w w:val="115"/>
            <w:sz w:val="12"/>
          </w:rPr>
          <w:t> </w:t>
        </w:r>
        <w:r>
          <w:rPr>
            <w:color w:val="007FAC"/>
            <w:w w:val="115"/>
            <w:sz w:val="12"/>
          </w:rPr>
          <w:t>et</w:t>
        </w:r>
        <w:r>
          <w:rPr>
            <w:color w:val="007FAC"/>
            <w:spacing w:val="-11"/>
            <w:w w:val="115"/>
            <w:sz w:val="12"/>
          </w:rPr>
          <w:t> </w:t>
        </w:r>
        <w:r>
          <w:rPr>
            <w:color w:val="007FAC"/>
            <w:w w:val="115"/>
            <w:sz w:val="12"/>
          </w:rPr>
          <w:t>al.</w:t>
        </w:r>
        <w:r>
          <w:rPr>
            <w:color w:val="007FAC"/>
            <w:spacing w:val="-10"/>
            <w:w w:val="115"/>
            <w:sz w:val="12"/>
          </w:rPr>
          <w:t> </w:t>
        </w:r>
        <w:r>
          <w:rPr>
            <w:color w:val="007FAC"/>
            <w:w w:val="115"/>
            <w:sz w:val="12"/>
          </w:rPr>
          <w:t>Skin</w:t>
        </w:r>
        <w:r>
          <w:rPr>
            <w:color w:val="007FAC"/>
            <w:spacing w:val="-11"/>
            <w:w w:val="115"/>
            <w:sz w:val="12"/>
          </w:rPr>
          <w:t> </w:t>
        </w:r>
        <w:r>
          <w:rPr>
            <w:color w:val="007FAC"/>
            <w:w w:val="115"/>
            <w:sz w:val="12"/>
          </w:rPr>
          <w:t>closure</w:t>
        </w:r>
        <w:r>
          <w:rPr>
            <w:color w:val="007FAC"/>
            <w:spacing w:val="-11"/>
            <w:w w:val="115"/>
            <w:sz w:val="12"/>
          </w:rPr>
          <w:t> </w:t>
        </w:r>
        <w:r>
          <w:rPr>
            <w:color w:val="007FAC"/>
            <w:w w:val="115"/>
            <w:sz w:val="12"/>
          </w:rPr>
          <w:t>after</w:t>
        </w:r>
        <w:r>
          <w:rPr>
            <w:color w:val="007FAC"/>
            <w:spacing w:val="-11"/>
            <w:w w:val="115"/>
            <w:sz w:val="12"/>
          </w:rPr>
          <w:t> </w:t>
        </w:r>
        <w:r>
          <w:rPr>
            <w:color w:val="007FAC"/>
            <w:w w:val="115"/>
            <w:sz w:val="12"/>
          </w:rPr>
          <w:t>total</w:t>
        </w:r>
        <w:r>
          <w:rPr>
            <w:color w:val="007FAC"/>
            <w:spacing w:val="-11"/>
            <w:w w:val="115"/>
            <w:sz w:val="12"/>
          </w:rPr>
          <w:t> </w:t>
        </w:r>
        <w:r>
          <w:rPr>
            <w:color w:val="007FAC"/>
            <w:w w:val="115"/>
            <w:sz w:val="12"/>
          </w:rPr>
          <w:t>hip</w:t>
        </w:r>
        <w:r>
          <w:rPr>
            <w:color w:val="007FAC"/>
            <w:spacing w:val="-11"/>
            <w:w w:val="115"/>
            <w:sz w:val="12"/>
          </w:rPr>
          <w:t> </w:t>
        </w:r>
        <w:r>
          <w:rPr>
            <w:color w:val="007FAC"/>
            <w:w w:val="115"/>
            <w:sz w:val="12"/>
          </w:rPr>
          <w:t>replacement:</w:t>
        </w:r>
      </w:hyperlink>
      <w:hyperlink r:id="rId59">
        <w:r>
          <w:rPr>
            <w:color w:val="007FAC"/>
            <w:w w:val="115"/>
            <w:sz w:val="12"/>
          </w:rPr>
          <w:t> a randomised controlled trial of skin adhesive versus surgical staples. J Bone</w:t>
        </w:r>
      </w:hyperlink>
      <w:hyperlink r:id="rId59">
        <w:r>
          <w:rPr>
            <w:color w:val="007FAC"/>
            <w:w w:val="115"/>
            <w:sz w:val="12"/>
          </w:rPr>
          <w:t> Joint Surg Br</w:t>
        </w:r>
        <w:r>
          <w:rPr>
            <w:color w:val="007FAC"/>
            <w:spacing w:val="-5"/>
            <w:w w:val="115"/>
            <w:sz w:val="12"/>
          </w:rPr>
          <w:t> </w:t>
        </w:r>
        <w:r>
          <w:rPr>
            <w:color w:val="007FAC"/>
            <w:w w:val="115"/>
            <w:sz w:val="12"/>
          </w:rPr>
          <w:t>2009;91(6):725</w:t>
        </w:r>
      </w:hyperlink>
      <w:r>
        <w:rPr>
          <w:w w:val="115"/>
          <w:sz w:val="12"/>
        </w:rPr>
        <w:t>.</w:t>
      </w:r>
    </w:p>
    <w:p>
      <w:pPr>
        <w:pStyle w:val="ListParagraph"/>
        <w:numPr>
          <w:ilvl w:val="0"/>
          <w:numId w:val="3"/>
        </w:numPr>
        <w:tabs>
          <w:tab w:pos="636" w:val="left" w:leader="none"/>
        </w:tabs>
        <w:spacing w:line="256" w:lineRule="auto" w:before="0" w:after="0"/>
        <w:ind w:left="635" w:right="115" w:hanging="326"/>
        <w:jc w:val="both"/>
        <w:rPr>
          <w:sz w:val="12"/>
        </w:rPr>
      </w:pPr>
      <w:bookmarkStart w:name="_bookmark36" w:id="59"/>
      <w:bookmarkEnd w:id="59"/>
      <w:r>
        <w:rPr/>
      </w:r>
      <w:hyperlink r:id="rId60">
        <w:bookmarkStart w:name="_bookmark36" w:id="60"/>
        <w:bookmarkEnd w:id="60"/>
        <w:r>
          <w:rPr>
            <w:color w:val="007FAC"/>
            <w:spacing w:val="-3"/>
            <w:w w:val="115"/>
            <w:sz w:val="12"/>
          </w:rPr>
          <w:t>Ru</w:t>
        </w:r>
        <w:r>
          <w:rPr>
            <w:color w:val="007FAC"/>
            <w:spacing w:val="-3"/>
            <w:w w:val="115"/>
            <w:sz w:val="12"/>
          </w:rPr>
          <w:t>i</w:t>
        </w:r>
        <w:r>
          <w:rPr>
            <w:color w:val="007FAC"/>
            <w:spacing w:val="-23"/>
            <w:w w:val="115"/>
            <w:sz w:val="12"/>
          </w:rPr>
          <w:t> </w:t>
        </w:r>
        <w:r>
          <w:rPr>
            <w:color w:val="007FAC"/>
            <w:w w:val="115"/>
            <w:sz w:val="12"/>
          </w:rPr>
          <w:t>M,</w:t>
        </w:r>
        <w:r>
          <w:rPr>
            <w:color w:val="007FAC"/>
            <w:spacing w:val="-22"/>
            <w:w w:val="115"/>
            <w:sz w:val="12"/>
          </w:rPr>
          <w:t> </w:t>
        </w:r>
        <w:r>
          <w:rPr>
            <w:color w:val="007FAC"/>
            <w:spacing w:val="-4"/>
            <w:w w:val="115"/>
            <w:sz w:val="12"/>
          </w:rPr>
          <w:t>Zheng</w:t>
        </w:r>
        <w:r>
          <w:rPr>
            <w:color w:val="007FAC"/>
            <w:spacing w:val="-23"/>
            <w:w w:val="115"/>
            <w:sz w:val="12"/>
          </w:rPr>
          <w:t> </w:t>
        </w:r>
        <w:r>
          <w:rPr>
            <w:color w:val="007FAC"/>
            <w:w w:val="115"/>
            <w:sz w:val="12"/>
          </w:rPr>
          <w:t>X,</w:t>
        </w:r>
        <w:r>
          <w:rPr>
            <w:color w:val="007FAC"/>
            <w:spacing w:val="-22"/>
            <w:w w:val="115"/>
            <w:sz w:val="12"/>
          </w:rPr>
          <w:t> </w:t>
        </w:r>
        <w:r>
          <w:rPr>
            <w:color w:val="007FAC"/>
            <w:spacing w:val="-3"/>
            <w:w w:val="115"/>
            <w:sz w:val="12"/>
          </w:rPr>
          <w:t>Sun</w:t>
        </w:r>
        <w:r>
          <w:rPr>
            <w:color w:val="007FAC"/>
            <w:spacing w:val="-23"/>
            <w:w w:val="115"/>
            <w:sz w:val="12"/>
          </w:rPr>
          <w:t> </w:t>
        </w:r>
        <w:r>
          <w:rPr>
            <w:color w:val="007FAC"/>
            <w:spacing w:val="-3"/>
            <w:w w:val="115"/>
            <w:sz w:val="12"/>
          </w:rPr>
          <w:t>SS,</w:t>
        </w:r>
        <w:r>
          <w:rPr>
            <w:color w:val="007FAC"/>
            <w:spacing w:val="-23"/>
            <w:w w:val="115"/>
            <w:sz w:val="12"/>
          </w:rPr>
          <w:t> </w:t>
        </w:r>
        <w:r>
          <w:rPr>
            <w:color w:val="007FAC"/>
            <w:w w:val="115"/>
            <w:sz w:val="12"/>
          </w:rPr>
          <w:t>et</w:t>
        </w:r>
        <w:r>
          <w:rPr>
            <w:color w:val="007FAC"/>
            <w:spacing w:val="-23"/>
            <w:w w:val="115"/>
            <w:sz w:val="12"/>
          </w:rPr>
          <w:t> </w:t>
        </w:r>
        <w:r>
          <w:rPr>
            <w:color w:val="007FAC"/>
            <w:spacing w:val="-3"/>
            <w:w w:val="115"/>
            <w:sz w:val="12"/>
          </w:rPr>
          <w:t>al.</w:t>
        </w:r>
        <w:r>
          <w:rPr>
            <w:color w:val="007FAC"/>
            <w:spacing w:val="-23"/>
            <w:w w:val="115"/>
            <w:sz w:val="12"/>
          </w:rPr>
          <w:t> </w:t>
        </w:r>
        <w:r>
          <w:rPr>
            <w:color w:val="007FAC"/>
            <w:w w:val="115"/>
            <w:sz w:val="12"/>
          </w:rPr>
          <w:t>A</w:t>
        </w:r>
        <w:r>
          <w:rPr>
            <w:color w:val="007FAC"/>
            <w:spacing w:val="-22"/>
            <w:w w:val="115"/>
            <w:sz w:val="12"/>
          </w:rPr>
          <w:t> </w:t>
        </w:r>
        <w:r>
          <w:rPr>
            <w:color w:val="007FAC"/>
            <w:spacing w:val="-4"/>
            <w:w w:val="115"/>
            <w:sz w:val="12"/>
          </w:rPr>
          <w:t>prospective</w:t>
        </w:r>
        <w:r>
          <w:rPr>
            <w:color w:val="007FAC"/>
            <w:spacing w:val="-22"/>
            <w:w w:val="115"/>
            <w:sz w:val="12"/>
          </w:rPr>
          <w:t> </w:t>
        </w:r>
        <w:r>
          <w:rPr>
            <w:color w:val="007FAC"/>
            <w:spacing w:val="-4"/>
            <w:w w:val="115"/>
            <w:sz w:val="12"/>
          </w:rPr>
          <w:t>randomised</w:t>
        </w:r>
        <w:r>
          <w:rPr>
            <w:color w:val="007FAC"/>
            <w:spacing w:val="-23"/>
            <w:w w:val="115"/>
            <w:sz w:val="12"/>
          </w:rPr>
          <w:t> </w:t>
        </w:r>
        <w:r>
          <w:rPr>
            <w:color w:val="007FAC"/>
            <w:spacing w:val="-4"/>
            <w:w w:val="115"/>
            <w:sz w:val="12"/>
          </w:rPr>
          <w:t>comparison</w:t>
        </w:r>
        <w:r>
          <w:rPr>
            <w:color w:val="007FAC"/>
            <w:spacing w:val="-23"/>
            <w:w w:val="115"/>
            <w:sz w:val="12"/>
          </w:rPr>
          <w:t> </w:t>
        </w:r>
        <w:r>
          <w:rPr>
            <w:color w:val="007FAC"/>
            <w:spacing w:val="-3"/>
            <w:w w:val="115"/>
            <w:sz w:val="12"/>
          </w:rPr>
          <w:t>of</w:t>
        </w:r>
        <w:r>
          <w:rPr>
            <w:color w:val="007FAC"/>
            <w:spacing w:val="-22"/>
            <w:w w:val="115"/>
            <w:sz w:val="12"/>
          </w:rPr>
          <w:t> </w:t>
        </w:r>
        <w:r>
          <w:rPr>
            <w:color w:val="007FAC"/>
            <w:w w:val="115"/>
            <w:sz w:val="12"/>
          </w:rPr>
          <w:t>2</w:t>
        </w:r>
        <w:r>
          <w:rPr>
            <w:color w:val="007FAC"/>
            <w:spacing w:val="-22"/>
            <w:w w:val="115"/>
            <w:sz w:val="12"/>
          </w:rPr>
          <w:t> </w:t>
        </w:r>
        <w:r>
          <w:rPr>
            <w:color w:val="007FAC"/>
            <w:spacing w:val="-4"/>
            <w:w w:val="115"/>
            <w:sz w:val="12"/>
          </w:rPr>
          <w:t>skin</w:t>
        </w:r>
        <w:r>
          <w:rPr>
            <w:color w:val="007FAC"/>
            <w:spacing w:val="-23"/>
            <w:w w:val="115"/>
            <w:sz w:val="12"/>
          </w:rPr>
          <w:t> </w:t>
        </w:r>
        <w:r>
          <w:rPr>
            <w:color w:val="007FAC"/>
            <w:spacing w:val="-4"/>
            <w:w w:val="115"/>
            <w:sz w:val="12"/>
          </w:rPr>
          <w:t>closure</w:t>
        </w:r>
      </w:hyperlink>
      <w:hyperlink r:id="rId60">
        <w:r>
          <w:rPr>
            <w:color w:val="007FAC"/>
            <w:spacing w:val="-4"/>
            <w:w w:val="115"/>
            <w:sz w:val="12"/>
          </w:rPr>
          <w:t> </w:t>
        </w:r>
        <w:r>
          <w:rPr>
            <w:color w:val="007FAC"/>
            <w:spacing w:val="-5"/>
            <w:w w:val="115"/>
            <w:sz w:val="12"/>
          </w:rPr>
          <w:t>techniques </w:t>
        </w:r>
        <w:r>
          <w:rPr>
            <w:color w:val="007FAC"/>
            <w:w w:val="115"/>
            <w:sz w:val="12"/>
          </w:rPr>
          <w:t>in </w:t>
        </w:r>
        <w:r>
          <w:rPr>
            <w:color w:val="007FAC"/>
            <w:spacing w:val="-4"/>
            <w:w w:val="115"/>
            <w:sz w:val="12"/>
          </w:rPr>
          <w:t>primary total </w:t>
        </w:r>
        <w:r>
          <w:rPr>
            <w:color w:val="007FAC"/>
            <w:spacing w:val="-3"/>
            <w:w w:val="115"/>
            <w:sz w:val="12"/>
          </w:rPr>
          <w:t>hip </w:t>
        </w:r>
        <w:r>
          <w:rPr>
            <w:color w:val="007FAC"/>
            <w:spacing w:val="-5"/>
            <w:w w:val="115"/>
            <w:sz w:val="12"/>
          </w:rPr>
          <w:t>arthroplasty </w:t>
        </w:r>
        <w:r>
          <w:rPr>
            <w:color w:val="007FAC"/>
            <w:spacing w:val="-4"/>
            <w:w w:val="115"/>
            <w:sz w:val="12"/>
          </w:rPr>
          <w:t>surgery. </w:t>
        </w:r>
        <w:r>
          <w:rPr>
            <w:color w:val="007FAC"/>
            <w:spacing w:val="-3"/>
            <w:w w:val="115"/>
            <w:sz w:val="12"/>
          </w:rPr>
          <w:t>Hip Int</w:t>
        </w:r>
        <w:r>
          <w:rPr>
            <w:color w:val="007FAC"/>
            <w:spacing w:val="14"/>
            <w:w w:val="115"/>
            <w:sz w:val="12"/>
          </w:rPr>
          <w:t> </w:t>
        </w:r>
        <w:r>
          <w:rPr>
            <w:color w:val="007FAC"/>
            <w:spacing w:val="-5"/>
            <w:w w:val="115"/>
            <w:sz w:val="12"/>
          </w:rPr>
          <w:t>2018;28(1):101</w:t>
        </w:r>
      </w:hyperlink>
      <w:r>
        <w:rPr>
          <w:spacing w:val="-5"/>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37" w:id="61"/>
      <w:bookmarkEnd w:id="61"/>
      <w:r>
        <w:rPr/>
      </w:r>
      <w:hyperlink r:id="rId61">
        <w:bookmarkStart w:name="_bookmark37" w:id="62"/>
        <w:bookmarkEnd w:id="62"/>
        <w:r>
          <w:rPr>
            <w:color w:val="007FAC"/>
            <w:w w:val="110"/>
            <w:sz w:val="12"/>
          </w:rPr>
          <w:t>Fisher</w:t>
        </w:r>
        <w:r>
          <w:rPr>
            <w:color w:val="007FAC"/>
            <w:w w:val="110"/>
            <w:sz w:val="12"/>
          </w:rPr>
          <w:t> DA, Bengero LL, Clapp BC, Burgess M. A randomized, prospective </w:t>
        </w:r>
        <w:r>
          <w:rPr>
            <w:color w:val="007FAC"/>
            <w:spacing w:val="-3"/>
            <w:w w:val="110"/>
            <w:sz w:val="12"/>
          </w:rPr>
          <w:t>study</w:t>
        </w:r>
      </w:hyperlink>
      <w:hyperlink r:id="rId61">
        <w:r>
          <w:rPr>
            <w:color w:val="007FAC"/>
            <w:spacing w:val="-3"/>
            <w:w w:val="110"/>
            <w:sz w:val="12"/>
          </w:rPr>
          <w:t> </w:t>
        </w:r>
        <w:r>
          <w:rPr>
            <w:color w:val="007FAC"/>
            <w:w w:val="110"/>
            <w:sz w:val="12"/>
          </w:rPr>
          <w:t>of total hip wound closure with resorbable subcuticular staples. Orthopedics</w:t>
        </w:r>
      </w:hyperlink>
      <w:bookmarkStart w:name="_bookmark38" w:id="63"/>
      <w:bookmarkEnd w:id="63"/>
      <w:r>
        <w:rPr>
          <w:color w:val="007FAC"/>
          <w:w w:val="110"/>
          <w:sz w:val="12"/>
        </w:rPr>
      </w:r>
      <w:hyperlink r:id="rId61">
        <w:r>
          <w:rPr>
            <w:color w:val="007FAC"/>
            <w:w w:val="110"/>
            <w:sz w:val="12"/>
          </w:rPr>
          <w:t> 2010;33(9):665</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2">
        <w:r>
          <w:rPr>
            <w:color w:val="007FAC"/>
            <w:w w:val="110"/>
            <w:sz w:val="12"/>
          </w:rPr>
          <w:t>Gamba C, Hinarejos P, Serrano-Chinchilla P, et al. Barbed sutures in total knee</w:t>
        </w:r>
      </w:hyperlink>
      <w:hyperlink r:id="rId62">
        <w:r>
          <w:rPr>
            <w:color w:val="007FAC"/>
            <w:w w:val="110"/>
            <w:sz w:val="12"/>
          </w:rPr>
          <w:t> arthroplasty: are they really useful? A randomized controlled trial. J Knee </w:t>
        </w:r>
        <w:r>
          <w:rPr>
            <w:color w:val="007FAC"/>
            <w:spacing w:val="-3"/>
            <w:w w:val="110"/>
            <w:sz w:val="12"/>
          </w:rPr>
          <w:t>Surg</w:t>
        </w:r>
      </w:hyperlink>
      <w:bookmarkStart w:name="_bookmark39" w:id="64"/>
      <w:bookmarkEnd w:id="64"/>
      <w:r>
        <w:rPr>
          <w:color w:val="007FAC"/>
          <w:spacing w:val="-3"/>
          <w:w w:val="110"/>
          <w:sz w:val="12"/>
        </w:rPr>
      </w:r>
      <w:hyperlink r:id="rId62">
        <w:r>
          <w:rPr>
            <w:color w:val="007FAC"/>
            <w:spacing w:val="-3"/>
            <w:w w:val="110"/>
            <w:sz w:val="12"/>
          </w:rPr>
          <w:t> </w:t>
        </w:r>
        <w:r>
          <w:rPr>
            <w:color w:val="007FAC"/>
            <w:w w:val="110"/>
            <w:sz w:val="12"/>
          </w:rPr>
          <w:t>2019</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3">
        <w:r>
          <w:rPr>
            <w:color w:val="007FAC"/>
            <w:w w:val="115"/>
            <w:sz w:val="12"/>
          </w:rPr>
          <w:t>Mallee</w:t>
        </w:r>
        <w:r>
          <w:rPr>
            <w:color w:val="007FAC"/>
            <w:spacing w:val="-8"/>
            <w:w w:val="115"/>
            <w:sz w:val="12"/>
          </w:rPr>
          <w:t> </w:t>
        </w:r>
        <w:r>
          <w:rPr>
            <w:color w:val="007FAC"/>
            <w:w w:val="115"/>
            <w:sz w:val="12"/>
          </w:rPr>
          <w:t>WH,</w:t>
        </w:r>
        <w:r>
          <w:rPr>
            <w:color w:val="007FAC"/>
            <w:spacing w:val="-7"/>
            <w:w w:val="115"/>
            <w:sz w:val="12"/>
          </w:rPr>
          <w:t> </w:t>
        </w:r>
        <w:r>
          <w:rPr>
            <w:color w:val="007FAC"/>
            <w:w w:val="115"/>
            <w:sz w:val="12"/>
          </w:rPr>
          <w:t>Wijsbek</w:t>
        </w:r>
        <w:r>
          <w:rPr>
            <w:color w:val="007FAC"/>
            <w:spacing w:val="-7"/>
            <w:w w:val="115"/>
            <w:sz w:val="12"/>
          </w:rPr>
          <w:t> </w:t>
        </w:r>
        <w:r>
          <w:rPr>
            <w:color w:val="007FAC"/>
            <w:w w:val="115"/>
            <w:sz w:val="12"/>
          </w:rPr>
          <w:t>AE,</w:t>
        </w:r>
        <w:r>
          <w:rPr>
            <w:color w:val="007FAC"/>
            <w:spacing w:val="-7"/>
            <w:w w:val="115"/>
            <w:sz w:val="12"/>
          </w:rPr>
          <w:t> </w:t>
        </w:r>
        <w:r>
          <w:rPr>
            <w:color w:val="007FAC"/>
            <w:w w:val="115"/>
            <w:sz w:val="12"/>
          </w:rPr>
          <w:t>Schafroth</w:t>
        </w:r>
        <w:r>
          <w:rPr>
            <w:color w:val="007FAC"/>
            <w:spacing w:val="-8"/>
            <w:w w:val="115"/>
            <w:sz w:val="12"/>
          </w:rPr>
          <w:t> </w:t>
        </w:r>
        <w:r>
          <w:rPr>
            <w:color w:val="007FAC"/>
            <w:w w:val="115"/>
            <w:sz w:val="12"/>
          </w:rPr>
          <w:t>MU,</w:t>
        </w:r>
        <w:r>
          <w:rPr>
            <w:color w:val="007FAC"/>
            <w:spacing w:val="-7"/>
            <w:w w:val="115"/>
            <w:sz w:val="12"/>
          </w:rPr>
          <w:t> </w:t>
        </w:r>
        <w:r>
          <w:rPr>
            <w:color w:val="007FAC"/>
            <w:w w:val="115"/>
            <w:sz w:val="12"/>
          </w:rPr>
          <w:t>et</w:t>
        </w:r>
        <w:r>
          <w:rPr>
            <w:color w:val="007FAC"/>
            <w:spacing w:val="-7"/>
            <w:w w:val="115"/>
            <w:sz w:val="12"/>
          </w:rPr>
          <w:t> </w:t>
        </w:r>
        <w:r>
          <w:rPr>
            <w:color w:val="007FAC"/>
            <w:w w:val="115"/>
            <w:sz w:val="12"/>
          </w:rPr>
          <w:t>al.</w:t>
        </w:r>
        <w:r>
          <w:rPr>
            <w:color w:val="007FAC"/>
            <w:spacing w:val="-8"/>
            <w:w w:val="115"/>
            <w:sz w:val="12"/>
          </w:rPr>
          <w:t> </w:t>
        </w:r>
        <w:r>
          <w:rPr>
            <w:color w:val="007FAC"/>
            <w:w w:val="115"/>
            <w:sz w:val="12"/>
          </w:rPr>
          <w:t>Wound</w:t>
        </w:r>
        <w:r>
          <w:rPr>
            <w:color w:val="007FAC"/>
            <w:spacing w:val="-7"/>
            <w:w w:val="115"/>
            <w:sz w:val="12"/>
          </w:rPr>
          <w:t> </w:t>
        </w:r>
        <w:r>
          <w:rPr>
            <w:color w:val="007FAC"/>
            <w:w w:val="115"/>
            <w:sz w:val="12"/>
          </w:rPr>
          <w:t>complications</w:t>
        </w:r>
        <w:r>
          <w:rPr>
            <w:color w:val="007FAC"/>
            <w:spacing w:val="-7"/>
            <w:w w:val="115"/>
            <w:sz w:val="12"/>
          </w:rPr>
          <w:t> </w:t>
        </w:r>
        <w:r>
          <w:rPr>
            <w:color w:val="007FAC"/>
            <w:w w:val="115"/>
            <w:sz w:val="12"/>
          </w:rPr>
          <w:t>after</w:t>
        </w:r>
        <w:r>
          <w:rPr>
            <w:color w:val="007FAC"/>
            <w:spacing w:val="-7"/>
            <w:w w:val="115"/>
            <w:sz w:val="12"/>
          </w:rPr>
          <w:t> </w:t>
        </w:r>
        <w:r>
          <w:rPr>
            <w:color w:val="007FAC"/>
            <w:w w:val="115"/>
            <w:sz w:val="12"/>
          </w:rPr>
          <w:t>total</w:t>
        </w:r>
      </w:hyperlink>
      <w:hyperlink r:id="rId63">
        <w:r>
          <w:rPr>
            <w:color w:val="007FAC"/>
            <w:w w:val="115"/>
            <w:sz w:val="12"/>
          </w:rPr>
          <w:t> hip</w:t>
        </w:r>
        <w:r>
          <w:rPr>
            <w:color w:val="007FAC"/>
            <w:spacing w:val="-12"/>
            <w:w w:val="115"/>
            <w:sz w:val="12"/>
          </w:rPr>
          <w:t> </w:t>
        </w:r>
        <w:r>
          <w:rPr>
            <w:color w:val="007FAC"/>
            <w:w w:val="115"/>
            <w:sz w:val="12"/>
          </w:rPr>
          <w:t>arthroplasty:</w:t>
        </w:r>
        <w:r>
          <w:rPr>
            <w:color w:val="007FAC"/>
            <w:spacing w:val="-9"/>
            <w:w w:val="115"/>
            <w:sz w:val="12"/>
          </w:rPr>
          <w:t> </w:t>
        </w:r>
        <w:r>
          <w:rPr>
            <w:color w:val="007FAC"/>
            <w:w w:val="115"/>
            <w:sz w:val="12"/>
          </w:rPr>
          <w:t>a</w:t>
        </w:r>
        <w:r>
          <w:rPr>
            <w:color w:val="007FAC"/>
            <w:spacing w:val="-10"/>
            <w:w w:val="115"/>
            <w:sz w:val="12"/>
          </w:rPr>
          <w:t> </w:t>
        </w:r>
        <w:r>
          <w:rPr>
            <w:color w:val="007FAC"/>
            <w:w w:val="115"/>
            <w:sz w:val="12"/>
          </w:rPr>
          <w:t>prospective,</w:t>
        </w:r>
        <w:r>
          <w:rPr>
            <w:color w:val="007FAC"/>
            <w:spacing w:val="-11"/>
            <w:w w:val="115"/>
            <w:sz w:val="12"/>
          </w:rPr>
          <w:t> </w:t>
        </w:r>
        <w:r>
          <w:rPr>
            <w:color w:val="007FAC"/>
            <w:w w:val="115"/>
            <w:sz w:val="12"/>
          </w:rPr>
          <w:t>randomised</w:t>
        </w:r>
        <w:r>
          <w:rPr>
            <w:color w:val="007FAC"/>
            <w:spacing w:val="-11"/>
            <w:w w:val="115"/>
            <w:sz w:val="12"/>
          </w:rPr>
          <w:t> </w:t>
        </w:r>
        <w:r>
          <w:rPr>
            <w:color w:val="007FAC"/>
            <w:w w:val="115"/>
            <w:sz w:val="12"/>
          </w:rPr>
          <w:t>controlled</w:t>
        </w:r>
        <w:r>
          <w:rPr>
            <w:color w:val="007FAC"/>
            <w:spacing w:val="-10"/>
            <w:w w:val="115"/>
            <w:sz w:val="12"/>
          </w:rPr>
          <w:t> </w:t>
        </w:r>
        <w:r>
          <w:rPr>
            <w:color w:val="007FAC"/>
            <w:w w:val="115"/>
            <w:sz w:val="12"/>
          </w:rPr>
          <w:t>trial</w:t>
        </w:r>
        <w:r>
          <w:rPr>
            <w:color w:val="007FAC"/>
            <w:spacing w:val="-9"/>
            <w:w w:val="115"/>
            <w:sz w:val="12"/>
          </w:rPr>
          <w:t> </w:t>
        </w:r>
        <w:r>
          <w:rPr>
            <w:color w:val="007FAC"/>
            <w:w w:val="115"/>
            <w:sz w:val="12"/>
          </w:rPr>
          <w:t>comparing</w:t>
        </w:r>
        <w:r>
          <w:rPr>
            <w:color w:val="007FAC"/>
            <w:spacing w:val="-11"/>
            <w:w w:val="115"/>
            <w:sz w:val="12"/>
          </w:rPr>
          <w:t> </w:t>
        </w:r>
        <w:r>
          <w:rPr>
            <w:color w:val="007FAC"/>
            <w:w w:val="115"/>
            <w:sz w:val="12"/>
          </w:rPr>
          <w:t>staples</w:t>
        </w:r>
      </w:hyperlink>
      <w:bookmarkStart w:name="_bookmark40" w:id="65"/>
      <w:bookmarkEnd w:id="65"/>
      <w:r>
        <w:rPr>
          <w:color w:val="007FAC"/>
          <w:w w:val="115"/>
          <w:sz w:val="12"/>
        </w:rPr>
      </w:r>
      <w:hyperlink r:id="rId63">
        <w:r>
          <w:rPr>
            <w:color w:val="007FAC"/>
            <w:w w:val="115"/>
            <w:sz w:val="12"/>
          </w:rPr>
          <w:t> with sutures. HIP Int</w:t>
        </w:r>
        <w:r>
          <w:rPr>
            <w:color w:val="007FAC"/>
            <w:spacing w:val="1"/>
            <w:w w:val="115"/>
            <w:sz w:val="12"/>
          </w:rPr>
          <w:t> </w:t>
        </w:r>
        <w:r>
          <w:rPr>
            <w:color w:val="007FAC"/>
            <w:w w:val="115"/>
            <w:sz w:val="12"/>
          </w:rPr>
          <w:t>2020</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4">
        <w:r>
          <w:rPr>
            <w:color w:val="007FAC"/>
            <w:w w:val="110"/>
            <w:sz w:val="12"/>
          </w:rPr>
          <w:t>Sakdinakiattikoon M, Tanavalee A. Continuous barbed suture versus knotted</w:t>
        </w:r>
      </w:hyperlink>
      <w:hyperlink r:id="rId64">
        <w:r>
          <w:rPr>
            <w:color w:val="007FAC"/>
            <w:w w:val="110"/>
            <w:sz w:val="12"/>
          </w:rPr>
          <w:t> interrupted suture for wound closure in total knee arthroplasty: a prospective</w:t>
        </w:r>
      </w:hyperlink>
      <w:bookmarkStart w:name="_bookmark41" w:id="66"/>
      <w:bookmarkEnd w:id="66"/>
      <w:r>
        <w:rPr>
          <w:color w:val="007FAC"/>
          <w:w w:val="110"/>
          <w:sz w:val="12"/>
        </w:rPr>
      </w:r>
      <w:hyperlink r:id="rId64">
        <w:r>
          <w:rPr>
            <w:color w:val="007FAC"/>
            <w:w w:val="110"/>
            <w:sz w:val="12"/>
          </w:rPr>
          <w:t> randomized study. J Med Assoc Thai</w:t>
        </w:r>
        <w:r>
          <w:rPr>
            <w:color w:val="007FAC"/>
            <w:spacing w:val="-13"/>
            <w:w w:val="110"/>
            <w:sz w:val="12"/>
          </w:rPr>
          <w:t> </w:t>
        </w:r>
        <w:r>
          <w:rPr>
            <w:color w:val="007FAC"/>
            <w:w w:val="110"/>
            <w:sz w:val="12"/>
          </w:rPr>
          <w:t>2019;102(3):361</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5">
        <w:r>
          <w:rPr>
            <w:color w:val="007FAC"/>
            <w:w w:val="115"/>
            <w:sz w:val="12"/>
          </w:rPr>
          <w:t>Sundaram K, Piuzzi NS, Patterson BM, et al. Skin closure with 2-octyl cyano-</w:t>
        </w:r>
      </w:hyperlink>
      <w:hyperlink r:id="rId65">
        <w:r>
          <w:rPr>
            <w:color w:val="007FAC"/>
            <w:w w:val="115"/>
            <w:sz w:val="12"/>
          </w:rPr>
          <w:t> acrylate and polyester mesh after primary total knee arthroplasty offers </w:t>
        </w:r>
        <w:r>
          <w:rPr>
            <w:color w:val="007FAC"/>
            <w:spacing w:val="-5"/>
            <w:w w:val="115"/>
            <w:sz w:val="12"/>
          </w:rPr>
          <w:t>su-</w:t>
        </w:r>
      </w:hyperlink>
      <w:hyperlink r:id="rId65">
        <w:r>
          <w:rPr>
            <w:color w:val="007FAC"/>
            <w:spacing w:val="-5"/>
            <w:w w:val="115"/>
            <w:sz w:val="12"/>
          </w:rPr>
          <w:t> </w:t>
        </w:r>
        <w:r>
          <w:rPr>
            <w:color w:val="007FAC"/>
            <w:w w:val="115"/>
            <w:sz w:val="12"/>
          </w:rPr>
          <w:t>perior cosmetic outcomes and patient satisfaction compared to staples: </w:t>
        </w:r>
        <w:r>
          <w:rPr>
            <w:color w:val="007FAC"/>
            <w:spacing w:val="-13"/>
            <w:w w:val="115"/>
            <w:sz w:val="12"/>
          </w:rPr>
          <w:t>a</w:t>
        </w:r>
      </w:hyperlink>
      <w:bookmarkStart w:name="_bookmark42" w:id="67"/>
      <w:bookmarkEnd w:id="67"/>
      <w:r>
        <w:rPr>
          <w:color w:val="007FAC"/>
          <w:spacing w:val="-13"/>
          <w:w w:val="115"/>
          <w:sz w:val="12"/>
        </w:rPr>
      </w:r>
      <w:hyperlink r:id="rId65">
        <w:r>
          <w:rPr>
            <w:color w:val="007FAC"/>
            <w:spacing w:val="-13"/>
            <w:w w:val="115"/>
            <w:sz w:val="12"/>
          </w:rPr>
          <w:t> </w:t>
        </w:r>
        <w:r>
          <w:rPr>
            <w:color w:val="007FAC"/>
            <w:w w:val="115"/>
            <w:sz w:val="12"/>
          </w:rPr>
          <w:t>prospective</w:t>
        </w:r>
        <w:r>
          <w:rPr>
            <w:color w:val="007FAC"/>
            <w:spacing w:val="8"/>
            <w:w w:val="115"/>
            <w:sz w:val="12"/>
          </w:rPr>
          <w:t> </w:t>
        </w:r>
        <w:r>
          <w:rPr>
            <w:color w:val="007FAC"/>
            <w:w w:val="115"/>
            <w:sz w:val="12"/>
          </w:rPr>
          <w:t>trial.</w:t>
        </w:r>
        <w:r>
          <w:rPr>
            <w:color w:val="007FAC"/>
            <w:spacing w:val="7"/>
            <w:w w:val="115"/>
            <w:sz w:val="12"/>
          </w:rPr>
          <w:t> </w:t>
        </w:r>
        <w:r>
          <w:rPr>
            <w:color w:val="007FAC"/>
            <w:w w:val="115"/>
            <w:sz w:val="12"/>
          </w:rPr>
          <w:t>Eur</w:t>
        </w:r>
        <w:r>
          <w:rPr>
            <w:color w:val="007FAC"/>
            <w:spacing w:val="8"/>
            <w:w w:val="115"/>
            <w:sz w:val="12"/>
          </w:rPr>
          <w:t> </w:t>
        </w:r>
        <w:r>
          <w:rPr>
            <w:color w:val="007FAC"/>
            <w:w w:val="115"/>
            <w:sz w:val="12"/>
          </w:rPr>
          <w:t>J</w:t>
        </w:r>
        <w:r>
          <w:rPr>
            <w:color w:val="007FAC"/>
            <w:spacing w:val="7"/>
            <w:w w:val="115"/>
            <w:sz w:val="12"/>
          </w:rPr>
          <w:t> </w:t>
        </w:r>
        <w:r>
          <w:rPr>
            <w:color w:val="007FAC"/>
            <w:w w:val="115"/>
            <w:sz w:val="12"/>
          </w:rPr>
          <w:t>Orthop</w:t>
        </w:r>
        <w:r>
          <w:rPr>
            <w:color w:val="007FAC"/>
            <w:spacing w:val="8"/>
            <w:w w:val="115"/>
            <w:sz w:val="12"/>
          </w:rPr>
          <w:t> </w:t>
        </w:r>
        <w:r>
          <w:rPr>
            <w:color w:val="007FAC"/>
            <w:w w:val="115"/>
            <w:sz w:val="12"/>
          </w:rPr>
          <w:t>Surg</w:t>
        </w:r>
        <w:r>
          <w:rPr>
            <w:color w:val="007FAC"/>
            <w:spacing w:val="8"/>
            <w:w w:val="115"/>
            <w:sz w:val="12"/>
          </w:rPr>
          <w:t> </w:t>
        </w:r>
        <w:r>
          <w:rPr>
            <w:color w:val="007FAC"/>
            <w:w w:val="115"/>
            <w:sz w:val="12"/>
          </w:rPr>
          <w:t>Traumatol</w:t>
        </w:r>
        <w:r>
          <w:rPr>
            <w:color w:val="007FAC"/>
            <w:spacing w:val="7"/>
            <w:w w:val="115"/>
            <w:sz w:val="12"/>
          </w:rPr>
          <w:t> </w:t>
        </w:r>
        <w:r>
          <w:rPr>
            <w:color w:val="007FAC"/>
            <w:w w:val="115"/>
            <w:sz w:val="12"/>
          </w:rPr>
          <w:t>2019</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6">
        <w:r>
          <w:rPr>
            <w:color w:val="007FAC"/>
            <w:w w:val="115"/>
            <w:sz w:val="12"/>
          </w:rPr>
          <w:t>Sundaram K, Warren JA, Klika A, et al. Barbed sutures reduce arthrotomy</w:t>
        </w:r>
      </w:hyperlink>
      <w:hyperlink r:id="rId66">
        <w:r>
          <w:rPr>
            <w:color w:val="007FAC"/>
            <w:w w:val="115"/>
            <w:sz w:val="12"/>
          </w:rPr>
          <w:t> closure duration compared to interrupted conventional sutures for total </w:t>
        </w:r>
        <w:r>
          <w:rPr>
            <w:color w:val="007FAC"/>
            <w:spacing w:val="-3"/>
            <w:w w:val="115"/>
            <w:sz w:val="12"/>
          </w:rPr>
          <w:t>knee</w:t>
        </w:r>
      </w:hyperlink>
      <w:bookmarkStart w:name="_bookmark43" w:id="68"/>
      <w:bookmarkEnd w:id="68"/>
      <w:r>
        <w:rPr>
          <w:color w:val="007FAC"/>
          <w:spacing w:val="-3"/>
          <w:w w:val="115"/>
          <w:sz w:val="12"/>
        </w:rPr>
      </w:r>
      <w:hyperlink r:id="rId66">
        <w:r>
          <w:rPr>
            <w:color w:val="007FAC"/>
            <w:spacing w:val="-3"/>
            <w:w w:val="115"/>
            <w:sz w:val="12"/>
          </w:rPr>
          <w:t> </w:t>
        </w:r>
        <w:r>
          <w:rPr>
            <w:color w:val="007FAC"/>
            <w:w w:val="115"/>
            <w:sz w:val="12"/>
          </w:rPr>
          <w:t>arthroplasty:</w:t>
        </w:r>
        <w:r>
          <w:rPr>
            <w:color w:val="007FAC"/>
            <w:spacing w:val="7"/>
            <w:w w:val="115"/>
            <w:sz w:val="12"/>
          </w:rPr>
          <w:t> </w:t>
        </w:r>
        <w:r>
          <w:rPr>
            <w:color w:val="007FAC"/>
            <w:w w:val="115"/>
            <w:sz w:val="12"/>
          </w:rPr>
          <w:t>a</w:t>
        </w:r>
        <w:r>
          <w:rPr>
            <w:color w:val="007FAC"/>
            <w:spacing w:val="6"/>
            <w:w w:val="115"/>
            <w:sz w:val="12"/>
          </w:rPr>
          <w:t> </w:t>
        </w:r>
        <w:r>
          <w:rPr>
            <w:color w:val="007FAC"/>
            <w:w w:val="115"/>
            <w:sz w:val="12"/>
          </w:rPr>
          <w:t>randomized</w:t>
        </w:r>
        <w:r>
          <w:rPr>
            <w:color w:val="007FAC"/>
            <w:spacing w:val="8"/>
            <w:w w:val="115"/>
            <w:sz w:val="12"/>
          </w:rPr>
          <w:t> </w:t>
        </w:r>
        <w:r>
          <w:rPr>
            <w:color w:val="007FAC"/>
            <w:w w:val="115"/>
            <w:sz w:val="12"/>
          </w:rPr>
          <w:t>controlled</w:t>
        </w:r>
        <w:r>
          <w:rPr>
            <w:color w:val="007FAC"/>
            <w:spacing w:val="8"/>
            <w:w w:val="115"/>
            <w:sz w:val="12"/>
          </w:rPr>
          <w:t> </w:t>
        </w:r>
        <w:r>
          <w:rPr>
            <w:color w:val="007FAC"/>
            <w:w w:val="115"/>
            <w:sz w:val="12"/>
          </w:rPr>
          <w:t>trial.</w:t>
        </w:r>
        <w:r>
          <w:rPr>
            <w:color w:val="007FAC"/>
            <w:spacing w:val="7"/>
            <w:w w:val="115"/>
            <w:sz w:val="12"/>
          </w:rPr>
          <w:t> </w:t>
        </w:r>
        <w:r>
          <w:rPr>
            <w:color w:val="007FAC"/>
            <w:w w:val="115"/>
            <w:sz w:val="12"/>
          </w:rPr>
          <w:t>Musculoskelet</w:t>
        </w:r>
        <w:r>
          <w:rPr>
            <w:color w:val="007FAC"/>
            <w:spacing w:val="7"/>
            <w:w w:val="115"/>
            <w:sz w:val="12"/>
          </w:rPr>
          <w:t> </w:t>
        </w:r>
        <w:r>
          <w:rPr>
            <w:color w:val="007FAC"/>
            <w:w w:val="115"/>
            <w:sz w:val="12"/>
          </w:rPr>
          <w:t>Surg</w:t>
        </w:r>
        <w:r>
          <w:rPr>
            <w:color w:val="007FAC"/>
            <w:spacing w:val="9"/>
            <w:w w:val="115"/>
            <w:sz w:val="12"/>
          </w:rPr>
          <w:t> </w:t>
        </w:r>
        <w:r>
          <w:rPr>
            <w:color w:val="007FAC"/>
            <w:w w:val="115"/>
            <w:sz w:val="12"/>
          </w:rPr>
          <w:t>2020</w:t>
        </w:r>
      </w:hyperlink>
      <w:r>
        <w:rPr>
          <w:w w:val="115"/>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7">
        <w:r>
          <w:rPr>
            <w:color w:val="007FAC"/>
            <w:w w:val="110"/>
            <w:sz w:val="12"/>
          </w:rPr>
          <w:t>Chan VWK, Chan PK, Chiu KY, Yan CH, Ng FY. Does barbed suture lower cost</w:t>
        </w:r>
      </w:hyperlink>
      <w:hyperlink r:id="rId67">
        <w:r>
          <w:rPr>
            <w:color w:val="007FAC"/>
            <w:w w:val="110"/>
            <w:sz w:val="12"/>
          </w:rPr>
          <w:t> and improve outcome in total knee arthroplasty? A  randomized  controlled</w:t>
        </w:r>
      </w:hyperlink>
      <w:bookmarkStart w:name="_bookmark44" w:id="69"/>
      <w:bookmarkEnd w:id="69"/>
      <w:r>
        <w:rPr>
          <w:color w:val="007FAC"/>
          <w:w w:val="110"/>
          <w:sz w:val="12"/>
        </w:rPr>
      </w:r>
      <w:hyperlink r:id="rId67">
        <w:r>
          <w:rPr>
            <w:color w:val="007FAC"/>
            <w:w w:val="110"/>
            <w:sz w:val="12"/>
          </w:rPr>
          <w:t> trial. J Arthroplasty</w:t>
        </w:r>
        <w:r>
          <w:rPr>
            <w:color w:val="007FAC"/>
            <w:spacing w:val="6"/>
            <w:w w:val="110"/>
            <w:sz w:val="12"/>
          </w:rPr>
          <w:t> </w:t>
        </w:r>
        <w:r>
          <w:rPr>
            <w:color w:val="007FAC"/>
            <w:w w:val="110"/>
            <w:sz w:val="12"/>
          </w:rPr>
          <w:t>2017;32(5):1474</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hyperlink r:id="rId68">
        <w:r>
          <w:rPr>
            <w:color w:val="007FAC"/>
            <w:w w:val="110"/>
            <w:sz w:val="12"/>
          </w:rPr>
          <w:t>Gililland JM, Anderson LA, Barney JK, et al. Barbed versus standard sutures for</w:t>
        </w:r>
      </w:hyperlink>
      <w:hyperlink r:id="rId68">
        <w:r>
          <w:rPr>
            <w:color w:val="007FAC"/>
            <w:w w:val="110"/>
            <w:sz w:val="12"/>
          </w:rPr>
          <w:t> closure in total knee arthroplasty: a multicenter prospective randomized </w:t>
        </w:r>
        <w:r>
          <w:rPr>
            <w:color w:val="007FAC"/>
            <w:spacing w:val="-3"/>
            <w:w w:val="110"/>
            <w:sz w:val="12"/>
          </w:rPr>
          <w:t>trial.</w:t>
        </w:r>
      </w:hyperlink>
      <w:r>
        <w:rPr>
          <w:color w:val="007FAC"/>
          <w:spacing w:val="-3"/>
          <w:w w:val="110"/>
          <w:sz w:val="12"/>
        </w:rPr>
        <w:t>     </w:t>
      </w:r>
      <w:hyperlink r:id="rId68">
        <w:r>
          <w:rPr>
            <w:color w:val="007FAC"/>
            <w:spacing w:val="-3"/>
            <w:w w:val="110"/>
            <w:sz w:val="12"/>
          </w:rPr>
          <w:t> </w:t>
        </w:r>
        <w:r>
          <w:rPr>
            <w:color w:val="007FAC"/>
            <w:w w:val="110"/>
            <w:sz w:val="12"/>
          </w:rPr>
          <w:t>J Arthroplasty 2014;29(9</w:t>
        </w:r>
        <w:r>
          <w:rPr>
            <w:color w:val="007FAC"/>
            <w:spacing w:val="6"/>
            <w:w w:val="110"/>
            <w:sz w:val="12"/>
          </w:rPr>
          <w:t> </w:t>
        </w:r>
        <w:r>
          <w:rPr>
            <w:color w:val="007FAC"/>
            <w:w w:val="110"/>
            <w:sz w:val="12"/>
          </w:rPr>
          <w:t>Suppl):135</w:t>
        </w:r>
      </w:hyperlink>
      <w:r>
        <w:rPr>
          <w:w w:val="110"/>
          <w:sz w:val="12"/>
        </w:rPr>
        <w:t>.</w:t>
      </w:r>
    </w:p>
    <w:p>
      <w:pPr>
        <w:pStyle w:val="ListParagraph"/>
        <w:numPr>
          <w:ilvl w:val="0"/>
          <w:numId w:val="3"/>
        </w:numPr>
        <w:tabs>
          <w:tab w:pos="636" w:val="left" w:leader="none"/>
        </w:tabs>
        <w:spacing w:line="256" w:lineRule="auto" w:before="0" w:after="0"/>
        <w:ind w:left="635" w:right="112" w:hanging="326"/>
        <w:jc w:val="both"/>
        <w:rPr>
          <w:sz w:val="12"/>
        </w:rPr>
      </w:pPr>
      <w:bookmarkStart w:name="_bookmark45" w:id="70"/>
      <w:bookmarkEnd w:id="70"/>
      <w:r>
        <w:rPr/>
      </w:r>
      <w:hyperlink r:id="rId69">
        <w:bookmarkStart w:name="_bookmark45" w:id="71"/>
        <w:bookmarkEnd w:id="71"/>
        <w:r>
          <w:rPr>
            <w:color w:val="007FAC"/>
            <w:w w:val="110"/>
            <w:sz w:val="12"/>
          </w:rPr>
          <w:t>Sah</w:t>
        </w:r>
        <w:r>
          <w:rPr>
            <w:color w:val="007FAC"/>
            <w:w w:val="110"/>
            <w:sz w:val="12"/>
          </w:rPr>
          <w:t> AP. Is there an advantage to knotless barbed suture in TKA</w:t>
        </w:r>
        <w:r>
          <w:rPr>
            <w:color w:val="007FAC"/>
            <w:spacing w:val="33"/>
            <w:w w:val="110"/>
            <w:sz w:val="12"/>
          </w:rPr>
          <w:t> </w:t>
        </w:r>
        <w:r>
          <w:rPr>
            <w:color w:val="007FAC"/>
            <w:spacing w:val="-3"/>
            <w:w w:val="110"/>
            <w:sz w:val="12"/>
          </w:rPr>
          <w:t>wound</w:t>
        </w:r>
      </w:hyperlink>
      <w:r>
        <w:rPr>
          <w:color w:val="007FAC"/>
          <w:spacing w:val="-3"/>
          <w:w w:val="110"/>
          <w:sz w:val="12"/>
        </w:rPr>
        <w:t> </w:t>
      </w:r>
      <w:hyperlink r:id="rId69">
        <w:r>
          <w:rPr>
            <w:color w:val="007FAC"/>
            <w:spacing w:val="-3"/>
            <w:w w:val="110"/>
            <w:sz w:val="12"/>
          </w:rPr>
          <w:t> </w:t>
        </w:r>
        <w:r>
          <w:rPr>
            <w:color w:val="007FAC"/>
            <w:w w:val="110"/>
            <w:sz w:val="12"/>
          </w:rPr>
          <w:t>closure? A randomized trial in simultaneous bilateral TKAs. Clin Orthop </w:t>
        </w:r>
        <w:r>
          <w:rPr>
            <w:color w:val="007FAC"/>
            <w:spacing w:val="-3"/>
            <w:w w:val="110"/>
            <w:sz w:val="12"/>
          </w:rPr>
          <w:t>Relat</w:t>
        </w:r>
      </w:hyperlink>
      <w:hyperlink r:id="rId69">
        <w:r>
          <w:rPr>
            <w:color w:val="007FAC"/>
            <w:spacing w:val="-3"/>
            <w:w w:val="110"/>
            <w:sz w:val="12"/>
          </w:rPr>
          <w:t> </w:t>
        </w:r>
        <w:r>
          <w:rPr>
            <w:color w:val="007FAC"/>
            <w:w w:val="110"/>
            <w:sz w:val="12"/>
          </w:rPr>
          <w:t>Res</w:t>
        </w:r>
        <w:r>
          <w:rPr>
            <w:color w:val="007FAC"/>
            <w:spacing w:val="12"/>
            <w:w w:val="110"/>
            <w:sz w:val="12"/>
          </w:rPr>
          <w:t> </w:t>
        </w:r>
        <w:r>
          <w:rPr>
            <w:color w:val="007FAC"/>
            <w:w w:val="110"/>
            <w:sz w:val="12"/>
          </w:rPr>
          <w:t>2015;473(6):2019</w:t>
        </w:r>
      </w:hyperlink>
      <w:r>
        <w:rPr>
          <w:w w:val="110"/>
          <w:sz w:val="12"/>
        </w:rPr>
        <w:t>.</w:t>
      </w:r>
    </w:p>
    <w:p>
      <w:pPr>
        <w:spacing w:after="0" w:line="256" w:lineRule="auto"/>
        <w:jc w:val="both"/>
        <w:rPr>
          <w:sz w:val="12"/>
        </w:rPr>
        <w:sectPr>
          <w:type w:val="continuous"/>
          <w:pgSz w:w="11910" w:h="15880"/>
          <w:pgMar w:top="840" w:bottom="360" w:left="540" w:right="540"/>
          <w:cols w:num="2" w:equalWidth="0">
            <w:col w:w="5333" w:space="47"/>
            <w:col w:w="5450"/>
          </w:cols>
        </w:sectPr>
      </w:pPr>
    </w:p>
    <w:p>
      <w:pPr>
        <w:tabs>
          <w:tab w:pos="3657" w:val="left" w:leader="none"/>
        </w:tabs>
        <w:spacing w:before="99"/>
        <w:ind w:left="116" w:right="0" w:firstLine="0"/>
        <w:jc w:val="left"/>
        <w:rPr>
          <w:i/>
          <w:sz w:val="12"/>
        </w:rPr>
      </w:pPr>
      <w:r>
        <w:rPr>
          <w:spacing w:val="-5"/>
          <w:w w:val="110"/>
          <w:sz w:val="12"/>
        </w:rPr>
        <w:t>10</w:t>
        <w:tab/>
      </w:r>
      <w:r>
        <w:rPr>
          <w:i/>
          <w:w w:val="110"/>
          <w:sz w:val="12"/>
        </w:rPr>
        <w:t>M.A. Snyder et al. / Arthroplasty Today xxx (2021)</w:t>
      </w:r>
      <w:r>
        <w:rPr>
          <w:i/>
          <w:spacing w:val="15"/>
          <w:w w:val="110"/>
          <w:sz w:val="12"/>
        </w:rPr>
        <w:t> </w:t>
      </w:r>
      <w:r>
        <w:rPr>
          <w:i/>
          <w:spacing w:val="-3"/>
          <w:w w:val="110"/>
          <w:sz w:val="12"/>
        </w:rPr>
        <w:t>1</w:t>
      </w:r>
      <w:r>
        <w:rPr>
          <w:rFonts w:ascii="Lucida Sans"/>
          <w:spacing w:val="-3"/>
          <w:w w:val="110"/>
          <w:sz w:val="12"/>
        </w:rPr>
        <w:t>e</w:t>
      </w:r>
      <w:r>
        <w:rPr>
          <w:i/>
          <w:spacing w:val="-3"/>
          <w:w w:val="110"/>
          <w:sz w:val="12"/>
        </w:rPr>
        <w:t>10.e7</w:t>
      </w:r>
    </w:p>
    <w:p>
      <w:pPr>
        <w:pStyle w:val="BodyText"/>
        <w:spacing w:before="3"/>
        <w:rPr>
          <w:i/>
          <w:sz w:val="9"/>
        </w:rPr>
      </w:pPr>
    </w:p>
    <w:p>
      <w:pPr>
        <w:spacing w:after="0"/>
        <w:rPr>
          <w:sz w:val="9"/>
        </w:rPr>
        <w:sectPr>
          <w:pgSz w:w="11910" w:h="15880"/>
          <w:pgMar w:header="210" w:footer="165" w:top="840" w:bottom="360" w:left="540" w:right="540"/>
        </w:sectPr>
      </w:pPr>
    </w:p>
    <w:p>
      <w:pPr>
        <w:pStyle w:val="ListParagraph"/>
        <w:numPr>
          <w:ilvl w:val="0"/>
          <w:numId w:val="3"/>
        </w:numPr>
        <w:tabs>
          <w:tab w:pos="442" w:val="left" w:leader="none"/>
        </w:tabs>
        <w:spacing w:line="256" w:lineRule="auto" w:before="110" w:after="0"/>
        <w:ind w:left="441" w:right="38" w:hanging="326"/>
        <w:jc w:val="both"/>
        <w:rPr>
          <w:sz w:val="12"/>
        </w:rPr>
      </w:pPr>
      <w:bookmarkStart w:name="_bookmark46" w:id="72"/>
      <w:bookmarkEnd w:id="72"/>
      <w:r>
        <w:rPr/>
      </w:r>
      <w:hyperlink r:id="rId70">
        <w:bookmarkStart w:name="_bookmark46" w:id="73"/>
        <w:bookmarkEnd w:id="73"/>
        <w:r>
          <w:rPr>
            <w:color w:val="007FAC"/>
            <w:w w:val="115"/>
            <w:sz w:val="12"/>
          </w:rPr>
          <w:t>Lin</w:t>
        </w:r>
        <w:r>
          <w:rPr>
            <w:color w:val="007FAC"/>
            <w:spacing w:val="-4"/>
            <w:w w:val="115"/>
            <w:sz w:val="12"/>
          </w:rPr>
          <w:t> </w:t>
        </w:r>
        <w:r>
          <w:rPr>
            <w:color w:val="007FAC"/>
            <w:w w:val="115"/>
            <w:sz w:val="12"/>
          </w:rPr>
          <w:t>SJ,</w:t>
        </w:r>
        <w:r>
          <w:rPr>
            <w:color w:val="007FAC"/>
            <w:spacing w:val="-4"/>
            <w:w w:val="115"/>
            <w:sz w:val="12"/>
          </w:rPr>
          <w:t> </w:t>
        </w:r>
        <w:r>
          <w:rPr>
            <w:color w:val="007FAC"/>
            <w:w w:val="115"/>
            <w:sz w:val="12"/>
          </w:rPr>
          <w:t>Chang</w:t>
        </w:r>
        <w:r>
          <w:rPr>
            <w:color w:val="007FAC"/>
            <w:spacing w:val="-3"/>
            <w:w w:val="115"/>
            <w:sz w:val="12"/>
          </w:rPr>
          <w:t> </w:t>
        </w:r>
        <w:r>
          <w:rPr>
            <w:color w:val="007FAC"/>
            <w:w w:val="115"/>
            <w:sz w:val="12"/>
          </w:rPr>
          <w:t>FC,</w:t>
        </w:r>
        <w:r>
          <w:rPr>
            <w:color w:val="007FAC"/>
            <w:spacing w:val="-4"/>
            <w:w w:val="115"/>
            <w:sz w:val="12"/>
          </w:rPr>
          <w:t> </w:t>
        </w:r>
        <w:r>
          <w:rPr>
            <w:color w:val="007FAC"/>
            <w:w w:val="115"/>
            <w:sz w:val="12"/>
          </w:rPr>
          <w:t>Huang</w:t>
        </w:r>
        <w:r>
          <w:rPr>
            <w:color w:val="007FAC"/>
            <w:spacing w:val="-3"/>
            <w:w w:val="115"/>
            <w:sz w:val="12"/>
          </w:rPr>
          <w:t> </w:t>
        </w:r>
        <w:r>
          <w:rPr>
            <w:color w:val="007FAC"/>
            <w:w w:val="115"/>
            <w:sz w:val="12"/>
          </w:rPr>
          <w:t>TW,</w:t>
        </w:r>
        <w:r>
          <w:rPr>
            <w:color w:val="007FAC"/>
            <w:spacing w:val="-4"/>
            <w:w w:val="115"/>
            <w:sz w:val="12"/>
          </w:rPr>
          <w:t> </w:t>
        </w:r>
        <w:r>
          <w:rPr>
            <w:color w:val="007FAC"/>
            <w:w w:val="115"/>
            <w:sz w:val="12"/>
          </w:rPr>
          <w:t>et</w:t>
        </w:r>
        <w:r>
          <w:rPr>
            <w:color w:val="007FAC"/>
            <w:spacing w:val="-3"/>
            <w:w w:val="115"/>
            <w:sz w:val="12"/>
          </w:rPr>
          <w:t> </w:t>
        </w:r>
        <w:r>
          <w:rPr>
            <w:color w:val="007FAC"/>
            <w:w w:val="115"/>
            <w:sz w:val="12"/>
          </w:rPr>
          <w:t>al.</w:t>
        </w:r>
        <w:r>
          <w:rPr>
            <w:color w:val="007FAC"/>
            <w:spacing w:val="-4"/>
            <w:w w:val="115"/>
            <w:sz w:val="12"/>
          </w:rPr>
          <w:t> </w:t>
        </w:r>
        <w:r>
          <w:rPr>
            <w:color w:val="007FAC"/>
            <w:w w:val="115"/>
            <w:sz w:val="12"/>
          </w:rPr>
          <w:t>Temporal</w:t>
        </w:r>
        <w:r>
          <w:rPr>
            <w:color w:val="007FAC"/>
            <w:spacing w:val="-3"/>
            <w:w w:val="115"/>
            <w:sz w:val="12"/>
          </w:rPr>
          <w:t> </w:t>
        </w:r>
        <w:r>
          <w:rPr>
            <w:color w:val="007FAC"/>
            <w:w w:val="115"/>
            <w:sz w:val="12"/>
          </w:rPr>
          <w:t>change</w:t>
        </w:r>
        <w:r>
          <w:rPr>
            <w:color w:val="007FAC"/>
            <w:spacing w:val="-4"/>
            <w:w w:val="115"/>
            <w:sz w:val="12"/>
          </w:rPr>
          <w:t> </w:t>
        </w:r>
        <w:r>
          <w:rPr>
            <w:color w:val="007FAC"/>
            <w:w w:val="115"/>
            <w:sz w:val="12"/>
          </w:rPr>
          <w:t>of</w:t>
        </w:r>
        <w:r>
          <w:rPr>
            <w:color w:val="007FAC"/>
            <w:spacing w:val="-3"/>
            <w:w w:val="115"/>
            <w:sz w:val="12"/>
          </w:rPr>
          <w:t> </w:t>
        </w:r>
        <w:r>
          <w:rPr>
            <w:color w:val="007FAC"/>
            <w:w w:val="115"/>
            <w:sz w:val="12"/>
          </w:rPr>
          <w:t>interleukin-6,</w:t>
        </w:r>
        <w:r>
          <w:rPr>
            <w:color w:val="007FAC"/>
            <w:spacing w:val="-3"/>
            <w:w w:val="115"/>
            <w:sz w:val="12"/>
          </w:rPr>
          <w:t> </w:t>
        </w:r>
        <w:r>
          <w:rPr>
            <w:color w:val="007FAC"/>
            <w:w w:val="115"/>
            <w:sz w:val="12"/>
          </w:rPr>
          <w:t>C-reac-</w:t>
        </w:r>
      </w:hyperlink>
      <w:hyperlink r:id="rId70">
        <w:r>
          <w:rPr>
            <w:color w:val="007FAC"/>
            <w:w w:val="115"/>
            <w:sz w:val="12"/>
          </w:rPr>
          <w:t> tive protein, and skin temperature after total knee arthroplasty </w:t>
        </w:r>
        <w:r>
          <w:rPr>
            <w:color w:val="007FAC"/>
            <w:spacing w:val="-3"/>
            <w:w w:val="115"/>
            <w:sz w:val="12"/>
          </w:rPr>
          <w:t>using</w:t>
        </w:r>
      </w:hyperlink>
      <w:bookmarkStart w:name="_bookmark47" w:id="74"/>
      <w:bookmarkEnd w:id="74"/>
      <w:r>
        <w:rPr>
          <w:color w:val="007FAC"/>
          <w:spacing w:val="-3"/>
          <w:w w:val="115"/>
          <w:sz w:val="12"/>
        </w:rPr>
      </w:r>
      <w:hyperlink r:id="rId70">
        <w:r>
          <w:rPr>
            <w:color w:val="007FAC"/>
            <w:spacing w:val="-3"/>
            <w:w w:val="115"/>
            <w:sz w:val="12"/>
          </w:rPr>
          <w:t> </w:t>
        </w:r>
        <w:r>
          <w:rPr>
            <w:color w:val="007FAC"/>
            <w:w w:val="115"/>
            <w:sz w:val="12"/>
          </w:rPr>
          <w:t>triclosan-coated sutures. Biomed Res Int</w:t>
        </w:r>
        <w:r>
          <w:rPr>
            <w:color w:val="007FAC"/>
            <w:spacing w:val="20"/>
            <w:w w:val="115"/>
            <w:sz w:val="12"/>
          </w:rPr>
          <w:t> </w:t>
        </w:r>
        <w:r>
          <w:rPr>
            <w:color w:val="007FAC"/>
            <w:w w:val="115"/>
            <w:sz w:val="12"/>
          </w:rPr>
          <w:t>2018:9136208</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71">
        <w:r>
          <w:rPr>
            <w:color w:val="007FAC"/>
            <w:w w:val="115"/>
            <w:sz w:val="12"/>
          </w:rPr>
          <w:t>Li</w:t>
        </w:r>
        <w:r>
          <w:rPr>
            <w:color w:val="007FAC"/>
            <w:spacing w:val="-3"/>
            <w:w w:val="115"/>
            <w:sz w:val="12"/>
          </w:rPr>
          <w:t> </w:t>
        </w:r>
        <w:r>
          <w:rPr>
            <w:color w:val="007FAC"/>
            <w:w w:val="115"/>
            <w:sz w:val="12"/>
          </w:rPr>
          <w:t>R,</w:t>
        </w:r>
        <w:r>
          <w:rPr>
            <w:color w:val="007FAC"/>
            <w:spacing w:val="-2"/>
            <w:w w:val="115"/>
            <w:sz w:val="12"/>
          </w:rPr>
          <w:t> </w:t>
        </w:r>
        <w:r>
          <w:rPr>
            <w:color w:val="007FAC"/>
            <w:w w:val="115"/>
            <w:sz w:val="12"/>
          </w:rPr>
          <w:t>Ni</w:t>
        </w:r>
        <w:r>
          <w:rPr>
            <w:color w:val="007FAC"/>
            <w:spacing w:val="-2"/>
            <w:w w:val="115"/>
            <w:sz w:val="12"/>
          </w:rPr>
          <w:t> </w:t>
        </w:r>
        <w:r>
          <w:rPr>
            <w:color w:val="007FAC"/>
            <w:w w:val="115"/>
            <w:sz w:val="12"/>
          </w:rPr>
          <w:t>M,</w:t>
        </w:r>
        <w:r>
          <w:rPr>
            <w:color w:val="007FAC"/>
            <w:spacing w:val="-2"/>
            <w:w w:val="115"/>
            <w:sz w:val="12"/>
          </w:rPr>
          <w:t> </w:t>
        </w:r>
        <w:r>
          <w:rPr>
            <w:color w:val="007FAC"/>
            <w:w w:val="115"/>
            <w:sz w:val="12"/>
          </w:rPr>
          <w:t>Zhao</w:t>
        </w:r>
        <w:r>
          <w:rPr>
            <w:color w:val="007FAC"/>
            <w:spacing w:val="-2"/>
            <w:w w:val="115"/>
            <w:sz w:val="12"/>
          </w:rPr>
          <w:t> </w:t>
        </w:r>
        <w:r>
          <w:rPr>
            <w:color w:val="007FAC"/>
            <w:w w:val="115"/>
            <w:sz w:val="12"/>
          </w:rPr>
          <w:t>J,</w:t>
        </w:r>
        <w:r>
          <w:rPr>
            <w:color w:val="007FAC"/>
            <w:spacing w:val="-2"/>
            <w:w w:val="115"/>
            <w:sz w:val="12"/>
          </w:rPr>
          <w:t> </w:t>
        </w:r>
        <w:r>
          <w:rPr>
            <w:color w:val="007FAC"/>
            <w:w w:val="115"/>
            <w:sz w:val="12"/>
          </w:rPr>
          <w:t>et</w:t>
        </w:r>
        <w:r>
          <w:rPr>
            <w:color w:val="007FAC"/>
            <w:spacing w:val="-1"/>
            <w:w w:val="115"/>
            <w:sz w:val="12"/>
          </w:rPr>
          <w:t> </w:t>
        </w:r>
        <w:r>
          <w:rPr>
            <w:color w:val="007FAC"/>
            <w:w w:val="115"/>
            <w:sz w:val="12"/>
          </w:rPr>
          <w:t>al.</w:t>
        </w:r>
        <w:r>
          <w:rPr>
            <w:color w:val="007FAC"/>
            <w:spacing w:val="-3"/>
            <w:w w:val="115"/>
            <w:sz w:val="12"/>
          </w:rPr>
          <w:t> </w:t>
        </w:r>
        <w:r>
          <w:rPr>
            <w:color w:val="007FAC"/>
            <w:w w:val="115"/>
            <w:sz w:val="12"/>
          </w:rPr>
          <w:t>A</w:t>
        </w:r>
        <w:r>
          <w:rPr>
            <w:color w:val="007FAC"/>
            <w:spacing w:val="-1"/>
            <w:w w:val="115"/>
            <w:sz w:val="12"/>
          </w:rPr>
          <w:t> </w:t>
        </w:r>
        <w:r>
          <w:rPr>
            <w:color w:val="007FAC"/>
            <w:w w:val="115"/>
            <w:sz w:val="12"/>
          </w:rPr>
          <w:t>modi</w:t>
        </w:r>
        <w:r>
          <w:rPr>
            <w:rFonts w:ascii="Times New Roman" w:hAnsi="Times New Roman"/>
            <w:color w:val="007FAC"/>
            <w:w w:val="115"/>
            <w:sz w:val="12"/>
          </w:rPr>
          <w:t>ﬁ</w:t>
        </w:r>
        <w:r>
          <w:rPr>
            <w:color w:val="007FAC"/>
            <w:w w:val="115"/>
            <w:sz w:val="12"/>
          </w:rPr>
          <w:t>ed</w:t>
        </w:r>
        <w:r>
          <w:rPr>
            <w:color w:val="007FAC"/>
            <w:spacing w:val="-2"/>
            <w:w w:val="115"/>
            <w:sz w:val="12"/>
          </w:rPr>
          <w:t> </w:t>
        </w:r>
        <w:r>
          <w:rPr>
            <w:color w:val="007FAC"/>
            <w:w w:val="115"/>
            <w:sz w:val="12"/>
          </w:rPr>
          <w:t>strategy</w:t>
        </w:r>
        <w:r>
          <w:rPr>
            <w:color w:val="007FAC"/>
            <w:spacing w:val="-2"/>
            <w:w w:val="115"/>
            <w:sz w:val="12"/>
          </w:rPr>
          <w:t> </w:t>
        </w:r>
        <w:r>
          <w:rPr>
            <w:color w:val="007FAC"/>
            <w:w w:val="115"/>
            <w:sz w:val="12"/>
          </w:rPr>
          <w:t>using</w:t>
        </w:r>
        <w:r>
          <w:rPr>
            <w:color w:val="007FAC"/>
            <w:spacing w:val="-1"/>
            <w:w w:val="115"/>
            <w:sz w:val="12"/>
          </w:rPr>
          <w:t> </w:t>
        </w:r>
        <w:r>
          <w:rPr>
            <w:color w:val="007FAC"/>
            <w:w w:val="115"/>
            <w:sz w:val="12"/>
          </w:rPr>
          <w:t>barbed</w:t>
        </w:r>
        <w:r>
          <w:rPr>
            <w:color w:val="007FAC"/>
            <w:spacing w:val="-2"/>
            <w:w w:val="115"/>
            <w:sz w:val="12"/>
          </w:rPr>
          <w:t> </w:t>
        </w:r>
        <w:r>
          <w:rPr>
            <w:color w:val="007FAC"/>
            <w:w w:val="115"/>
            <w:sz w:val="12"/>
          </w:rPr>
          <w:t>sutures</w:t>
        </w:r>
        <w:r>
          <w:rPr>
            <w:color w:val="007FAC"/>
            <w:spacing w:val="-1"/>
            <w:w w:val="115"/>
            <w:sz w:val="12"/>
          </w:rPr>
          <w:t> </w:t>
        </w:r>
        <w:r>
          <w:rPr>
            <w:color w:val="007FAC"/>
            <w:w w:val="115"/>
            <w:sz w:val="12"/>
          </w:rPr>
          <w:t>for</w:t>
        </w:r>
        <w:r>
          <w:rPr>
            <w:color w:val="007FAC"/>
            <w:spacing w:val="-2"/>
            <w:w w:val="115"/>
            <w:sz w:val="12"/>
          </w:rPr>
          <w:t> </w:t>
        </w:r>
        <w:r>
          <w:rPr>
            <w:color w:val="007FAC"/>
            <w:w w:val="115"/>
            <w:sz w:val="12"/>
          </w:rPr>
          <w:t>wound</w:t>
        </w:r>
      </w:hyperlink>
      <w:hyperlink r:id="rId71">
        <w:r>
          <w:rPr>
            <w:color w:val="007FAC"/>
            <w:w w:val="115"/>
            <w:sz w:val="12"/>
          </w:rPr>
          <w:t> closure in total joint arthroplasty: a prospective, randomized, double-blind,</w:t>
        </w:r>
      </w:hyperlink>
      <w:bookmarkStart w:name="_bookmark48" w:id="75"/>
      <w:bookmarkEnd w:id="75"/>
      <w:r>
        <w:rPr>
          <w:color w:val="007FAC"/>
          <w:w w:val="115"/>
          <w:sz w:val="12"/>
        </w:rPr>
      </w:r>
      <w:hyperlink r:id="rId71">
        <w:r>
          <w:rPr>
            <w:color w:val="007FAC"/>
            <w:w w:val="115"/>
            <w:sz w:val="12"/>
          </w:rPr>
          <w:t> self-controlled</w:t>
        </w:r>
        <w:r>
          <w:rPr>
            <w:color w:val="007FAC"/>
            <w:spacing w:val="12"/>
            <w:w w:val="115"/>
            <w:sz w:val="12"/>
          </w:rPr>
          <w:t> </w:t>
        </w:r>
        <w:r>
          <w:rPr>
            <w:color w:val="007FAC"/>
            <w:w w:val="115"/>
            <w:sz w:val="12"/>
          </w:rPr>
          <w:t>clinical</w:t>
        </w:r>
        <w:r>
          <w:rPr>
            <w:color w:val="007FAC"/>
            <w:spacing w:val="11"/>
            <w:w w:val="115"/>
            <w:sz w:val="12"/>
          </w:rPr>
          <w:t> </w:t>
        </w:r>
        <w:r>
          <w:rPr>
            <w:color w:val="007FAC"/>
            <w:w w:val="115"/>
            <w:sz w:val="12"/>
          </w:rPr>
          <w:t>trial.</w:t>
        </w:r>
        <w:r>
          <w:rPr>
            <w:color w:val="007FAC"/>
            <w:spacing w:val="11"/>
            <w:w w:val="115"/>
            <w:sz w:val="12"/>
          </w:rPr>
          <w:t> </w:t>
        </w:r>
        <w:r>
          <w:rPr>
            <w:color w:val="007FAC"/>
            <w:w w:val="115"/>
            <w:sz w:val="12"/>
          </w:rPr>
          <w:t>Med</w:t>
        </w:r>
        <w:r>
          <w:rPr>
            <w:color w:val="007FAC"/>
            <w:spacing w:val="10"/>
            <w:w w:val="115"/>
            <w:sz w:val="12"/>
          </w:rPr>
          <w:t> </w:t>
        </w:r>
        <w:r>
          <w:rPr>
            <w:color w:val="007FAC"/>
            <w:w w:val="115"/>
            <w:sz w:val="12"/>
          </w:rPr>
          <w:t>Sci</w:t>
        </w:r>
        <w:r>
          <w:rPr>
            <w:color w:val="007FAC"/>
            <w:spacing w:val="11"/>
            <w:w w:val="115"/>
            <w:sz w:val="12"/>
          </w:rPr>
          <w:t> </w:t>
        </w:r>
        <w:r>
          <w:rPr>
            <w:color w:val="007FAC"/>
            <w:w w:val="115"/>
            <w:sz w:val="12"/>
          </w:rPr>
          <w:t>Monit</w:t>
        </w:r>
        <w:r>
          <w:rPr>
            <w:color w:val="007FAC"/>
            <w:spacing w:val="11"/>
            <w:w w:val="115"/>
            <w:sz w:val="12"/>
          </w:rPr>
          <w:t> </w:t>
        </w:r>
        <w:r>
          <w:rPr>
            <w:color w:val="007FAC"/>
            <w:w w:val="115"/>
            <w:sz w:val="12"/>
          </w:rPr>
          <w:t>2018;24:8401</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72">
        <w:r>
          <w:rPr>
            <w:color w:val="007FAC"/>
            <w:w w:val="115"/>
            <w:sz w:val="12"/>
          </w:rPr>
          <w:t>Sprowson</w:t>
        </w:r>
        <w:r>
          <w:rPr>
            <w:color w:val="007FAC"/>
            <w:spacing w:val="-21"/>
            <w:w w:val="115"/>
            <w:sz w:val="12"/>
          </w:rPr>
          <w:t> </w:t>
        </w:r>
        <w:r>
          <w:rPr>
            <w:color w:val="007FAC"/>
            <w:w w:val="115"/>
            <w:sz w:val="12"/>
          </w:rPr>
          <w:t>AP,</w:t>
        </w:r>
        <w:r>
          <w:rPr>
            <w:color w:val="007FAC"/>
            <w:spacing w:val="-21"/>
            <w:w w:val="115"/>
            <w:sz w:val="12"/>
          </w:rPr>
          <w:t> </w:t>
        </w:r>
        <w:r>
          <w:rPr>
            <w:color w:val="007FAC"/>
            <w:w w:val="115"/>
            <w:sz w:val="12"/>
          </w:rPr>
          <w:t>Jensen</w:t>
        </w:r>
        <w:r>
          <w:rPr>
            <w:color w:val="007FAC"/>
            <w:spacing w:val="-20"/>
            <w:w w:val="115"/>
            <w:sz w:val="12"/>
          </w:rPr>
          <w:t> </w:t>
        </w:r>
        <w:r>
          <w:rPr>
            <w:color w:val="007FAC"/>
            <w:w w:val="115"/>
            <w:sz w:val="12"/>
          </w:rPr>
          <w:t>C,</w:t>
        </w:r>
        <w:r>
          <w:rPr>
            <w:color w:val="007FAC"/>
            <w:spacing w:val="-21"/>
            <w:w w:val="115"/>
            <w:sz w:val="12"/>
          </w:rPr>
          <w:t> </w:t>
        </w:r>
        <w:r>
          <w:rPr>
            <w:color w:val="007FAC"/>
            <w:w w:val="115"/>
            <w:sz w:val="12"/>
          </w:rPr>
          <w:t>Parsons</w:t>
        </w:r>
        <w:r>
          <w:rPr>
            <w:color w:val="007FAC"/>
            <w:spacing w:val="-20"/>
            <w:w w:val="115"/>
            <w:sz w:val="12"/>
          </w:rPr>
          <w:t> </w:t>
        </w:r>
        <w:r>
          <w:rPr>
            <w:color w:val="007FAC"/>
            <w:w w:val="115"/>
            <w:sz w:val="12"/>
          </w:rPr>
          <w:t>N,</w:t>
        </w:r>
        <w:r>
          <w:rPr>
            <w:color w:val="007FAC"/>
            <w:spacing w:val="-21"/>
            <w:w w:val="115"/>
            <w:sz w:val="12"/>
          </w:rPr>
          <w:t> </w:t>
        </w:r>
        <w:r>
          <w:rPr>
            <w:color w:val="007FAC"/>
            <w:w w:val="115"/>
            <w:sz w:val="12"/>
          </w:rPr>
          <w:t>et</w:t>
        </w:r>
        <w:r>
          <w:rPr>
            <w:color w:val="007FAC"/>
            <w:spacing w:val="-21"/>
            <w:w w:val="115"/>
            <w:sz w:val="12"/>
          </w:rPr>
          <w:t> </w:t>
        </w:r>
        <w:r>
          <w:rPr>
            <w:color w:val="007FAC"/>
            <w:w w:val="115"/>
            <w:sz w:val="12"/>
          </w:rPr>
          <w:t>al.</w:t>
        </w:r>
        <w:r>
          <w:rPr>
            <w:color w:val="007FAC"/>
            <w:spacing w:val="-20"/>
            <w:w w:val="115"/>
            <w:sz w:val="12"/>
          </w:rPr>
          <w:t> </w:t>
        </w:r>
        <w:r>
          <w:rPr>
            <w:color w:val="007FAC"/>
            <w:w w:val="115"/>
            <w:sz w:val="12"/>
          </w:rPr>
          <w:t>The</w:t>
        </w:r>
        <w:r>
          <w:rPr>
            <w:color w:val="007FAC"/>
            <w:spacing w:val="-21"/>
            <w:w w:val="115"/>
            <w:sz w:val="12"/>
          </w:rPr>
          <w:t> </w:t>
        </w:r>
        <w:r>
          <w:rPr>
            <w:color w:val="007FAC"/>
            <w:w w:val="115"/>
            <w:sz w:val="12"/>
          </w:rPr>
          <w:t>effect</w:t>
        </w:r>
        <w:r>
          <w:rPr>
            <w:color w:val="007FAC"/>
            <w:spacing w:val="-20"/>
            <w:w w:val="115"/>
            <w:sz w:val="12"/>
          </w:rPr>
          <w:t> </w:t>
        </w:r>
        <w:r>
          <w:rPr>
            <w:color w:val="007FAC"/>
            <w:w w:val="115"/>
            <w:sz w:val="12"/>
          </w:rPr>
          <w:t>of</w:t>
        </w:r>
        <w:r>
          <w:rPr>
            <w:color w:val="007FAC"/>
            <w:spacing w:val="-21"/>
            <w:w w:val="115"/>
            <w:sz w:val="12"/>
          </w:rPr>
          <w:t> </w:t>
        </w:r>
        <w:r>
          <w:rPr>
            <w:color w:val="007FAC"/>
            <w:w w:val="115"/>
            <w:sz w:val="12"/>
          </w:rPr>
          <w:t>triclosan-coated</w:t>
        </w:r>
        <w:r>
          <w:rPr>
            <w:color w:val="007FAC"/>
            <w:spacing w:val="-20"/>
            <w:w w:val="115"/>
            <w:sz w:val="12"/>
          </w:rPr>
          <w:t> </w:t>
        </w:r>
        <w:r>
          <w:rPr>
            <w:color w:val="007FAC"/>
            <w:w w:val="115"/>
            <w:sz w:val="12"/>
          </w:rPr>
          <w:t>sutures</w:t>
        </w:r>
        <w:r>
          <w:rPr>
            <w:color w:val="007FAC"/>
            <w:spacing w:val="-20"/>
            <w:w w:val="115"/>
            <w:sz w:val="12"/>
          </w:rPr>
          <w:t> </w:t>
        </w:r>
        <w:r>
          <w:rPr>
            <w:color w:val="007FAC"/>
            <w:w w:val="115"/>
            <w:sz w:val="12"/>
          </w:rPr>
          <w:t>on</w:t>
        </w:r>
      </w:hyperlink>
      <w:hyperlink r:id="rId72">
        <w:r>
          <w:rPr>
            <w:color w:val="007FAC"/>
            <w:w w:val="115"/>
            <w:sz w:val="12"/>
          </w:rPr>
          <w:t> the</w:t>
        </w:r>
        <w:r>
          <w:rPr>
            <w:color w:val="007FAC"/>
            <w:spacing w:val="-15"/>
            <w:w w:val="115"/>
            <w:sz w:val="12"/>
          </w:rPr>
          <w:t> </w:t>
        </w:r>
        <w:r>
          <w:rPr>
            <w:color w:val="007FAC"/>
            <w:w w:val="115"/>
            <w:sz w:val="12"/>
          </w:rPr>
          <w:t>rate</w:t>
        </w:r>
        <w:r>
          <w:rPr>
            <w:color w:val="007FAC"/>
            <w:spacing w:val="-13"/>
            <w:w w:val="115"/>
            <w:sz w:val="12"/>
          </w:rPr>
          <w:t> </w:t>
        </w:r>
        <w:r>
          <w:rPr>
            <w:color w:val="007FAC"/>
            <w:w w:val="115"/>
            <w:sz w:val="12"/>
          </w:rPr>
          <w:t>of</w:t>
        </w:r>
        <w:r>
          <w:rPr>
            <w:color w:val="007FAC"/>
            <w:spacing w:val="-14"/>
            <w:w w:val="115"/>
            <w:sz w:val="12"/>
          </w:rPr>
          <w:t> </w:t>
        </w:r>
        <w:r>
          <w:rPr>
            <w:color w:val="007FAC"/>
            <w:w w:val="115"/>
            <w:sz w:val="12"/>
          </w:rPr>
          <w:t>surgical</w:t>
        </w:r>
        <w:r>
          <w:rPr>
            <w:color w:val="007FAC"/>
            <w:spacing w:val="-13"/>
            <w:w w:val="115"/>
            <w:sz w:val="12"/>
          </w:rPr>
          <w:t> </w:t>
        </w:r>
        <w:r>
          <w:rPr>
            <w:color w:val="007FAC"/>
            <w:w w:val="115"/>
            <w:sz w:val="12"/>
          </w:rPr>
          <w:t>site</w:t>
        </w:r>
        <w:r>
          <w:rPr>
            <w:color w:val="007FAC"/>
            <w:spacing w:val="-13"/>
            <w:w w:val="115"/>
            <w:sz w:val="12"/>
          </w:rPr>
          <w:t> </w:t>
        </w:r>
        <w:r>
          <w:rPr>
            <w:color w:val="007FAC"/>
            <w:w w:val="115"/>
            <w:sz w:val="12"/>
          </w:rPr>
          <w:t>infection</w:t>
        </w:r>
        <w:r>
          <w:rPr>
            <w:color w:val="007FAC"/>
            <w:spacing w:val="-13"/>
            <w:w w:val="115"/>
            <w:sz w:val="12"/>
          </w:rPr>
          <w:t> </w:t>
        </w:r>
        <w:r>
          <w:rPr>
            <w:color w:val="007FAC"/>
            <w:w w:val="115"/>
            <w:sz w:val="12"/>
          </w:rPr>
          <w:t>after</w:t>
        </w:r>
        <w:r>
          <w:rPr>
            <w:color w:val="007FAC"/>
            <w:spacing w:val="-14"/>
            <w:w w:val="115"/>
            <w:sz w:val="12"/>
          </w:rPr>
          <w:t> </w:t>
        </w:r>
        <w:r>
          <w:rPr>
            <w:color w:val="007FAC"/>
            <w:w w:val="115"/>
            <w:sz w:val="12"/>
          </w:rPr>
          <w:t>hip</w:t>
        </w:r>
        <w:r>
          <w:rPr>
            <w:color w:val="007FAC"/>
            <w:spacing w:val="-14"/>
            <w:w w:val="115"/>
            <w:sz w:val="12"/>
          </w:rPr>
          <w:t> </w:t>
        </w:r>
        <w:r>
          <w:rPr>
            <w:color w:val="007FAC"/>
            <w:w w:val="115"/>
            <w:sz w:val="12"/>
          </w:rPr>
          <w:t>and</w:t>
        </w:r>
        <w:r>
          <w:rPr>
            <w:color w:val="007FAC"/>
            <w:spacing w:val="-14"/>
            <w:w w:val="115"/>
            <w:sz w:val="12"/>
          </w:rPr>
          <w:t> </w:t>
        </w:r>
        <w:r>
          <w:rPr>
            <w:color w:val="007FAC"/>
            <w:w w:val="115"/>
            <w:sz w:val="12"/>
          </w:rPr>
          <w:t>knee</w:t>
        </w:r>
        <w:r>
          <w:rPr>
            <w:color w:val="007FAC"/>
            <w:spacing w:val="-12"/>
            <w:w w:val="115"/>
            <w:sz w:val="12"/>
          </w:rPr>
          <w:t> </w:t>
        </w:r>
        <w:r>
          <w:rPr>
            <w:color w:val="007FAC"/>
            <w:w w:val="115"/>
            <w:sz w:val="12"/>
          </w:rPr>
          <w:t>arthroplasty:</w:t>
        </w:r>
        <w:r>
          <w:rPr>
            <w:color w:val="007FAC"/>
            <w:spacing w:val="-14"/>
            <w:w w:val="115"/>
            <w:sz w:val="12"/>
          </w:rPr>
          <w:t> </w:t>
        </w:r>
        <w:r>
          <w:rPr>
            <w:color w:val="007FAC"/>
            <w:w w:val="115"/>
            <w:sz w:val="12"/>
          </w:rPr>
          <w:t>a</w:t>
        </w:r>
        <w:r>
          <w:rPr>
            <w:color w:val="007FAC"/>
            <w:spacing w:val="-13"/>
            <w:w w:val="115"/>
            <w:sz w:val="12"/>
          </w:rPr>
          <w:t> </w:t>
        </w:r>
        <w:r>
          <w:rPr>
            <w:color w:val="007FAC"/>
            <w:w w:val="115"/>
            <w:sz w:val="12"/>
          </w:rPr>
          <w:t>double-blind</w:t>
        </w:r>
      </w:hyperlink>
      <w:bookmarkStart w:name="_bookmark49" w:id="76"/>
      <w:bookmarkEnd w:id="76"/>
      <w:r>
        <w:rPr>
          <w:color w:val="007FAC"/>
          <w:w w:val="115"/>
          <w:sz w:val="12"/>
        </w:rPr>
      </w:r>
      <w:hyperlink r:id="rId72">
        <w:r>
          <w:rPr>
            <w:color w:val="007FAC"/>
            <w:w w:val="115"/>
            <w:sz w:val="12"/>
          </w:rPr>
          <w:t> randomized</w:t>
        </w:r>
        <w:r>
          <w:rPr>
            <w:color w:val="007FAC"/>
            <w:spacing w:val="7"/>
            <w:w w:val="115"/>
            <w:sz w:val="12"/>
          </w:rPr>
          <w:t> </w:t>
        </w:r>
        <w:r>
          <w:rPr>
            <w:color w:val="007FAC"/>
            <w:w w:val="115"/>
            <w:sz w:val="12"/>
          </w:rPr>
          <w:t>controlled</w:t>
        </w:r>
        <w:r>
          <w:rPr>
            <w:color w:val="007FAC"/>
            <w:spacing w:val="8"/>
            <w:w w:val="115"/>
            <w:sz w:val="12"/>
          </w:rPr>
          <w:t> </w:t>
        </w:r>
        <w:r>
          <w:rPr>
            <w:color w:val="007FAC"/>
            <w:w w:val="115"/>
            <w:sz w:val="12"/>
          </w:rPr>
          <w:t>trial</w:t>
        </w:r>
        <w:r>
          <w:rPr>
            <w:color w:val="007FAC"/>
            <w:spacing w:val="7"/>
            <w:w w:val="115"/>
            <w:sz w:val="12"/>
          </w:rPr>
          <w:t> </w:t>
        </w:r>
        <w:r>
          <w:rPr>
            <w:color w:val="007FAC"/>
            <w:w w:val="115"/>
            <w:sz w:val="12"/>
          </w:rPr>
          <w:t>of</w:t>
        </w:r>
        <w:r>
          <w:rPr>
            <w:color w:val="007FAC"/>
            <w:spacing w:val="8"/>
            <w:w w:val="115"/>
            <w:sz w:val="12"/>
          </w:rPr>
          <w:t> </w:t>
        </w:r>
        <w:r>
          <w:rPr>
            <w:color w:val="007FAC"/>
            <w:w w:val="115"/>
            <w:sz w:val="12"/>
          </w:rPr>
          <w:t>2546</w:t>
        </w:r>
        <w:r>
          <w:rPr>
            <w:color w:val="007FAC"/>
            <w:spacing w:val="7"/>
            <w:w w:val="115"/>
            <w:sz w:val="12"/>
          </w:rPr>
          <w:t> </w:t>
        </w:r>
        <w:r>
          <w:rPr>
            <w:color w:val="007FAC"/>
            <w:w w:val="115"/>
            <w:sz w:val="12"/>
          </w:rPr>
          <w:t>patients.</w:t>
        </w:r>
        <w:r>
          <w:rPr>
            <w:color w:val="007FAC"/>
            <w:spacing w:val="9"/>
            <w:w w:val="115"/>
            <w:sz w:val="12"/>
          </w:rPr>
          <w:t> </w:t>
        </w:r>
        <w:r>
          <w:rPr>
            <w:color w:val="007FAC"/>
            <w:w w:val="115"/>
            <w:sz w:val="12"/>
          </w:rPr>
          <w:t>Bone</w:t>
        </w:r>
        <w:r>
          <w:rPr>
            <w:color w:val="007FAC"/>
            <w:spacing w:val="7"/>
            <w:w w:val="115"/>
            <w:sz w:val="12"/>
          </w:rPr>
          <w:t> </w:t>
        </w:r>
        <w:r>
          <w:rPr>
            <w:color w:val="007FAC"/>
            <w:w w:val="115"/>
            <w:sz w:val="12"/>
          </w:rPr>
          <w:t>Joint</w:t>
        </w:r>
        <w:r>
          <w:rPr>
            <w:color w:val="007FAC"/>
            <w:spacing w:val="8"/>
            <w:w w:val="115"/>
            <w:sz w:val="12"/>
          </w:rPr>
          <w:t> </w:t>
        </w:r>
        <w:r>
          <w:rPr>
            <w:color w:val="007FAC"/>
            <w:w w:val="115"/>
            <w:sz w:val="12"/>
          </w:rPr>
          <w:t>J</w:t>
        </w:r>
        <w:r>
          <w:rPr>
            <w:color w:val="007FAC"/>
            <w:spacing w:val="6"/>
            <w:w w:val="115"/>
            <w:sz w:val="12"/>
          </w:rPr>
          <w:t> </w:t>
        </w:r>
        <w:r>
          <w:rPr>
            <w:color w:val="007FAC"/>
            <w:w w:val="115"/>
            <w:sz w:val="12"/>
          </w:rPr>
          <w:t>2018;100-B(3):296</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73">
        <w:r>
          <w:rPr>
            <w:color w:val="007FAC"/>
            <w:w w:val="110"/>
            <w:sz w:val="12"/>
          </w:rPr>
          <w:t>Ting NT, Moric MM, Della Valle CJ, Levine BR. Use of knotless suture for</w:t>
        </w:r>
      </w:hyperlink>
      <w:hyperlink r:id="rId73">
        <w:r>
          <w:rPr>
            <w:color w:val="007FAC"/>
            <w:w w:val="110"/>
            <w:sz w:val="12"/>
          </w:rPr>
          <w:t> closure of total hip and knee arthroplasties: a prospective, randomized clinical</w:t>
        </w:r>
      </w:hyperlink>
      <w:hyperlink r:id="rId73">
        <w:r>
          <w:rPr>
            <w:color w:val="007FAC"/>
            <w:w w:val="110"/>
            <w:sz w:val="12"/>
          </w:rPr>
          <w:t> trial. J Arthroplasty</w:t>
        </w:r>
        <w:r>
          <w:rPr>
            <w:color w:val="007FAC"/>
            <w:spacing w:val="7"/>
            <w:w w:val="110"/>
            <w:sz w:val="12"/>
          </w:rPr>
          <w:t> </w:t>
        </w:r>
        <w:r>
          <w:rPr>
            <w:color w:val="007FAC"/>
            <w:w w:val="110"/>
            <w:sz w:val="12"/>
          </w:rPr>
          <w:t>2012;27(10):1783</w:t>
        </w:r>
      </w:hyperlink>
      <w:r>
        <w:rPr>
          <w:w w:val="110"/>
          <w:sz w:val="12"/>
        </w:rPr>
        <w:t>.</w:t>
      </w:r>
    </w:p>
    <w:p>
      <w:pPr>
        <w:pStyle w:val="ListParagraph"/>
        <w:numPr>
          <w:ilvl w:val="0"/>
          <w:numId w:val="3"/>
        </w:numPr>
        <w:tabs>
          <w:tab w:pos="442" w:val="left" w:leader="none"/>
        </w:tabs>
        <w:spacing w:line="256" w:lineRule="auto" w:before="0" w:after="0"/>
        <w:ind w:left="441" w:right="38" w:hanging="326"/>
        <w:jc w:val="both"/>
        <w:rPr>
          <w:sz w:val="12"/>
        </w:rPr>
      </w:pPr>
      <w:bookmarkStart w:name="_bookmark50" w:id="77"/>
      <w:bookmarkEnd w:id="77"/>
      <w:r>
        <w:rPr/>
      </w:r>
      <w:hyperlink r:id="rId74">
        <w:bookmarkStart w:name="_bookmark50" w:id="78"/>
        <w:bookmarkEnd w:id="78"/>
        <w:r>
          <w:rPr>
            <w:color w:val="007FAC"/>
            <w:w w:val="110"/>
            <w:sz w:val="12"/>
          </w:rPr>
          <w:t>Smith</w:t>
        </w:r>
        <w:r>
          <w:rPr>
            <w:color w:val="007FAC"/>
            <w:w w:val="110"/>
            <w:sz w:val="12"/>
          </w:rPr>
          <w:t> EL, DiSegna ST, Shukla PY, Matzkin EG. Barbed versus traditional </w:t>
        </w:r>
        <w:r>
          <w:rPr>
            <w:color w:val="007FAC"/>
            <w:spacing w:val="-4"/>
            <w:w w:val="110"/>
            <w:sz w:val="12"/>
          </w:rPr>
          <w:t>su-</w:t>
        </w:r>
      </w:hyperlink>
      <w:hyperlink r:id="rId74">
        <w:r>
          <w:rPr>
            <w:color w:val="007FAC"/>
            <w:spacing w:val="-4"/>
            <w:w w:val="110"/>
            <w:sz w:val="12"/>
          </w:rPr>
          <w:t> </w:t>
        </w:r>
        <w:r>
          <w:rPr>
            <w:color w:val="007FAC"/>
            <w:w w:val="110"/>
            <w:sz w:val="12"/>
          </w:rPr>
          <w:t>tures: closure time, cost, and wound related outcomes in total joint arthro-</w:t>
        </w:r>
      </w:hyperlink>
      <w:hyperlink r:id="rId74">
        <w:r>
          <w:rPr>
            <w:color w:val="007FAC"/>
            <w:w w:val="110"/>
            <w:sz w:val="12"/>
          </w:rPr>
          <w:t> plasty. J Arthroplasty</w:t>
        </w:r>
        <w:r>
          <w:rPr>
            <w:color w:val="007FAC"/>
            <w:spacing w:val="6"/>
            <w:w w:val="110"/>
            <w:sz w:val="12"/>
          </w:rPr>
          <w:t> </w:t>
        </w:r>
        <w:r>
          <w:rPr>
            <w:color w:val="007FAC"/>
            <w:w w:val="110"/>
            <w:sz w:val="12"/>
          </w:rPr>
          <w:t>2014;29(2):283</w:t>
        </w:r>
      </w:hyperlink>
      <w:r>
        <w:rPr>
          <w:w w:val="110"/>
          <w:sz w:val="12"/>
        </w:rPr>
        <w:t>.</w:t>
      </w:r>
    </w:p>
    <w:p>
      <w:pPr>
        <w:pStyle w:val="ListParagraph"/>
        <w:numPr>
          <w:ilvl w:val="0"/>
          <w:numId w:val="3"/>
        </w:numPr>
        <w:tabs>
          <w:tab w:pos="442" w:val="left" w:leader="none"/>
        </w:tabs>
        <w:spacing w:line="256" w:lineRule="auto" w:before="0" w:after="0"/>
        <w:ind w:left="441" w:right="38" w:hanging="326"/>
        <w:jc w:val="both"/>
        <w:rPr>
          <w:sz w:val="12"/>
        </w:rPr>
      </w:pPr>
      <w:bookmarkStart w:name="_bookmark51" w:id="79"/>
      <w:bookmarkEnd w:id="79"/>
      <w:r>
        <w:rPr/>
      </w:r>
      <w:hyperlink r:id="rId75">
        <w:bookmarkStart w:name="_bookmark51" w:id="80"/>
        <w:bookmarkEnd w:id="80"/>
        <w:r>
          <w:rPr>
            <w:color w:val="007FAC"/>
            <w:w w:val="110"/>
            <w:sz w:val="12"/>
          </w:rPr>
          <w:t>Feng</w:t>
        </w:r>
        <w:r>
          <w:rPr>
            <w:color w:val="007FAC"/>
            <w:w w:val="110"/>
            <w:sz w:val="12"/>
          </w:rPr>
          <w:t> S, Zhang Y, Zhang F, et al. Are there lower complication rates with</w:t>
        </w:r>
      </w:hyperlink>
      <w:hyperlink r:id="rId75">
        <w:r>
          <w:rPr>
            <w:color w:val="007FAC"/>
            <w:w w:val="110"/>
            <w:sz w:val="12"/>
          </w:rPr>
          <w:t> bidirectional barbed suture in total knee arthroplasty incision closure? </w:t>
        </w:r>
        <w:r>
          <w:rPr>
            <w:color w:val="007FAC"/>
            <w:spacing w:val="-13"/>
            <w:w w:val="110"/>
            <w:sz w:val="12"/>
          </w:rPr>
          <w:t>A</w:t>
        </w:r>
      </w:hyperlink>
      <w:hyperlink r:id="rId75">
        <w:r>
          <w:rPr>
            <w:color w:val="007FAC"/>
            <w:spacing w:val="-13"/>
            <w:w w:val="110"/>
            <w:sz w:val="12"/>
          </w:rPr>
          <w:t> </w:t>
        </w:r>
        <w:r>
          <w:rPr>
            <w:color w:val="007FAC"/>
            <w:w w:val="110"/>
            <w:sz w:val="12"/>
          </w:rPr>
          <w:t>randomized clinical trial. Med Sci</w:t>
        </w:r>
        <w:r>
          <w:rPr>
            <w:color w:val="007FAC"/>
            <w:spacing w:val="2"/>
            <w:w w:val="110"/>
            <w:sz w:val="12"/>
          </w:rPr>
          <w:t> </w:t>
        </w:r>
        <w:r>
          <w:rPr>
            <w:color w:val="007FAC"/>
            <w:w w:val="110"/>
            <w:sz w:val="12"/>
          </w:rPr>
          <w:t>Monit 2020;26:e922783</w:t>
        </w:r>
      </w:hyperlink>
      <w:r>
        <w:rPr>
          <w:w w:val="110"/>
          <w:sz w:val="12"/>
        </w:rPr>
        <w:t>.</w:t>
      </w:r>
    </w:p>
    <w:p>
      <w:pPr>
        <w:pStyle w:val="ListParagraph"/>
        <w:numPr>
          <w:ilvl w:val="0"/>
          <w:numId w:val="3"/>
        </w:numPr>
        <w:tabs>
          <w:tab w:pos="442" w:val="left" w:leader="none"/>
        </w:tabs>
        <w:spacing w:line="256" w:lineRule="auto" w:before="0" w:after="0"/>
        <w:ind w:left="441" w:right="39" w:hanging="326"/>
        <w:jc w:val="both"/>
        <w:rPr>
          <w:sz w:val="12"/>
        </w:rPr>
      </w:pPr>
      <w:bookmarkStart w:name="_bookmark52" w:id="81"/>
      <w:bookmarkEnd w:id="81"/>
      <w:r>
        <w:rPr/>
      </w:r>
      <w:hyperlink r:id="rId76">
        <w:bookmarkStart w:name="_bookmark52" w:id="82"/>
        <w:bookmarkEnd w:id="82"/>
        <w:r>
          <w:rPr>
            <w:color w:val="007FAC"/>
            <w:w w:val="110"/>
            <w:sz w:val="12"/>
          </w:rPr>
          <w:t>Austin</w:t>
        </w:r>
        <w:r>
          <w:rPr>
            <w:color w:val="007FAC"/>
            <w:w w:val="110"/>
            <w:sz w:val="12"/>
          </w:rPr>
          <w:t> DC, Keeney BJ, Dempsey BE, Koenig KM. Are barbed sutures associated</w:t>
        </w:r>
      </w:hyperlink>
      <w:hyperlink r:id="rId76">
        <w:r>
          <w:rPr>
            <w:color w:val="007FAC"/>
            <w:w w:val="110"/>
            <w:sz w:val="12"/>
          </w:rPr>
          <w:t> with 90-day reoperation rates after primary TKA? Clin Orthop Relat </w:t>
        </w:r>
        <w:r>
          <w:rPr>
            <w:color w:val="007FAC"/>
            <w:spacing w:val="-5"/>
            <w:w w:val="110"/>
            <w:sz w:val="12"/>
          </w:rPr>
          <w:t>Res</w:t>
        </w:r>
      </w:hyperlink>
      <w:hyperlink r:id="rId76">
        <w:r>
          <w:rPr>
            <w:color w:val="007FAC"/>
            <w:spacing w:val="-5"/>
            <w:w w:val="110"/>
            <w:sz w:val="12"/>
          </w:rPr>
          <w:t> </w:t>
        </w:r>
        <w:r>
          <w:rPr>
            <w:color w:val="007FAC"/>
            <w:w w:val="110"/>
            <w:sz w:val="12"/>
          </w:rPr>
          <w:t>2017;475(11):2655</w:t>
        </w:r>
      </w:hyperlink>
      <w:r>
        <w:rPr>
          <w:w w:val="110"/>
          <w:sz w:val="12"/>
        </w:rPr>
        <w:t>.</w:t>
      </w:r>
    </w:p>
    <w:p>
      <w:pPr>
        <w:pStyle w:val="ListParagraph"/>
        <w:numPr>
          <w:ilvl w:val="0"/>
          <w:numId w:val="3"/>
        </w:numPr>
        <w:tabs>
          <w:tab w:pos="442" w:val="left" w:leader="none"/>
        </w:tabs>
        <w:spacing w:line="256" w:lineRule="auto" w:before="0" w:after="0"/>
        <w:ind w:left="441" w:right="39" w:hanging="326"/>
        <w:jc w:val="both"/>
        <w:rPr>
          <w:sz w:val="12"/>
        </w:rPr>
      </w:pPr>
      <w:bookmarkStart w:name="_bookmark53" w:id="83"/>
      <w:bookmarkEnd w:id="83"/>
      <w:r>
        <w:rPr/>
      </w:r>
      <w:hyperlink r:id="rId77">
        <w:bookmarkStart w:name="_bookmark53" w:id="84"/>
        <w:bookmarkEnd w:id="84"/>
        <w:r>
          <w:rPr>
            <w:color w:val="007FAC"/>
            <w:w w:val="110"/>
            <w:sz w:val="12"/>
          </w:rPr>
          <w:t>Gililland</w:t>
        </w:r>
        <w:r>
          <w:rPr>
            <w:color w:val="007FAC"/>
            <w:spacing w:val="-5"/>
            <w:w w:val="110"/>
            <w:sz w:val="12"/>
          </w:rPr>
          <w:t> </w:t>
        </w:r>
        <w:r>
          <w:rPr>
            <w:color w:val="007FAC"/>
            <w:w w:val="110"/>
            <w:sz w:val="12"/>
          </w:rPr>
          <w:t>JM,</w:t>
        </w:r>
        <w:r>
          <w:rPr>
            <w:color w:val="007FAC"/>
            <w:spacing w:val="-6"/>
            <w:w w:val="110"/>
            <w:sz w:val="12"/>
          </w:rPr>
          <w:t> </w:t>
        </w:r>
        <w:r>
          <w:rPr>
            <w:color w:val="007FAC"/>
            <w:w w:val="110"/>
            <w:sz w:val="12"/>
          </w:rPr>
          <w:t>Anderson</w:t>
        </w:r>
        <w:r>
          <w:rPr>
            <w:color w:val="007FAC"/>
            <w:spacing w:val="-6"/>
            <w:w w:val="110"/>
            <w:sz w:val="12"/>
          </w:rPr>
          <w:t> </w:t>
        </w:r>
        <w:r>
          <w:rPr>
            <w:color w:val="007FAC"/>
            <w:w w:val="110"/>
            <w:sz w:val="12"/>
          </w:rPr>
          <w:t>LA,</w:t>
        </w:r>
        <w:r>
          <w:rPr>
            <w:color w:val="007FAC"/>
            <w:spacing w:val="-4"/>
            <w:w w:val="110"/>
            <w:sz w:val="12"/>
          </w:rPr>
          <w:t> </w:t>
        </w:r>
        <w:r>
          <w:rPr>
            <w:color w:val="007FAC"/>
            <w:w w:val="110"/>
            <w:sz w:val="12"/>
          </w:rPr>
          <w:t>Sun</w:t>
        </w:r>
        <w:r>
          <w:rPr>
            <w:color w:val="007FAC"/>
            <w:spacing w:val="-5"/>
            <w:w w:val="110"/>
            <w:sz w:val="12"/>
          </w:rPr>
          <w:t> </w:t>
        </w:r>
        <w:r>
          <w:rPr>
            <w:color w:val="007FAC"/>
            <w:w w:val="110"/>
            <w:sz w:val="12"/>
          </w:rPr>
          <w:t>G,</w:t>
        </w:r>
        <w:r>
          <w:rPr>
            <w:color w:val="007FAC"/>
            <w:spacing w:val="-6"/>
            <w:w w:val="110"/>
            <w:sz w:val="12"/>
          </w:rPr>
          <w:t> </w:t>
        </w:r>
        <w:r>
          <w:rPr>
            <w:color w:val="007FAC"/>
            <w:w w:val="110"/>
            <w:sz w:val="12"/>
          </w:rPr>
          <w:t>Erickson</w:t>
        </w:r>
        <w:r>
          <w:rPr>
            <w:color w:val="007FAC"/>
            <w:spacing w:val="-5"/>
            <w:w w:val="110"/>
            <w:sz w:val="12"/>
          </w:rPr>
          <w:t> </w:t>
        </w:r>
        <w:r>
          <w:rPr>
            <w:color w:val="007FAC"/>
            <w:w w:val="110"/>
            <w:sz w:val="12"/>
          </w:rPr>
          <w:t>JA,</w:t>
        </w:r>
        <w:r>
          <w:rPr>
            <w:color w:val="007FAC"/>
            <w:spacing w:val="-5"/>
            <w:w w:val="110"/>
            <w:sz w:val="12"/>
          </w:rPr>
          <w:t> </w:t>
        </w:r>
        <w:r>
          <w:rPr>
            <w:color w:val="007FAC"/>
            <w:w w:val="110"/>
            <w:sz w:val="12"/>
          </w:rPr>
          <w:t>Peters</w:t>
        </w:r>
        <w:r>
          <w:rPr>
            <w:color w:val="007FAC"/>
            <w:spacing w:val="-5"/>
            <w:w w:val="110"/>
            <w:sz w:val="12"/>
          </w:rPr>
          <w:t> </w:t>
        </w:r>
        <w:r>
          <w:rPr>
            <w:color w:val="007FAC"/>
            <w:w w:val="110"/>
            <w:sz w:val="12"/>
          </w:rPr>
          <w:t>CL.</w:t>
        </w:r>
        <w:r>
          <w:rPr>
            <w:color w:val="007FAC"/>
            <w:spacing w:val="-6"/>
            <w:w w:val="110"/>
            <w:sz w:val="12"/>
          </w:rPr>
          <w:t> </w:t>
        </w:r>
        <w:r>
          <w:rPr>
            <w:color w:val="007FAC"/>
            <w:w w:val="110"/>
            <w:sz w:val="12"/>
          </w:rPr>
          <w:t>Perioperative</w:t>
        </w:r>
        <w:r>
          <w:rPr>
            <w:color w:val="007FAC"/>
            <w:spacing w:val="-4"/>
            <w:w w:val="110"/>
            <w:sz w:val="12"/>
          </w:rPr>
          <w:t> </w:t>
        </w:r>
        <w:r>
          <w:rPr>
            <w:color w:val="007FAC"/>
            <w:w w:val="110"/>
            <w:sz w:val="12"/>
          </w:rPr>
          <w:t>closure-</w:t>
        </w:r>
      </w:hyperlink>
      <w:hyperlink r:id="rId77">
        <w:r>
          <w:rPr>
            <w:color w:val="007FAC"/>
            <w:w w:val="110"/>
            <w:sz w:val="12"/>
          </w:rPr>
          <w:t> related complication rates and cost analysis of barbed suture  for  closure</w:t>
        </w:r>
        <w:r>
          <w:rPr>
            <w:color w:val="007FAC"/>
            <w:spacing w:val="21"/>
            <w:w w:val="110"/>
            <w:sz w:val="12"/>
          </w:rPr>
          <w:t> </w:t>
        </w:r>
        <w:r>
          <w:rPr>
            <w:color w:val="007FAC"/>
            <w:w w:val="110"/>
            <w:sz w:val="12"/>
          </w:rPr>
          <w:t>in</w:t>
        </w:r>
      </w:hyperlink>
      <w:hyperlink r:id="rId77">
        <w:r>
          <w:rPr>
            <w:color w:val="007FAC"/>
            <w:w w:val="110"/>
            <w:sz w:val="12"/>
          </w:rPr>
          <w:t> TKA. Clin Orthop Relat Res</w:t>
        </w:r>
        <w:r>
          <w:rPr>
            <w:color w:val="007FAC"/>
            <w:spacing w:val="-2"/>
            <w:w w:val="110"/>
            <w:sz w:val="12"/>
          </w:rPr>
          <w:t> </w:t>
        </w:r>
        <w:r>
          <w:rPr>
            <w:color w:val="007FAC"/>
            <w:w w:val="110"/>
            <w:sz w:val="12"/>
          </w:rPr>
          <w:t>2012;470(1):125</w:t>
        </w:r>
      </w:hyperlink>
      <w:r>
        <w:rPr>
          <w:w w:val="110"/>
          <w:sz w:val="12"/>
        </w:rPr>
        <w:t>.</w:t>
      </w:r>
    </w:p>
    <w:p>
      <w:pPr>
        <w:pStyle w:val="ListParagraph"/>
        <w:numPr>
          <w:ilvl w:val="0"/>
          <w:numId w:val="3"/>
        </w:numPr>
        <w:tabs>
          <w:tab w:pos="442" w:val="left" w:leader="none"/>
        </w:tabs>
        <w:spacing w:line="256" w:lineRule="auto" w:before="0" w:after="0"/>
        <w:ind w:left="441" w:right="38" w:hanging="326"/>
        <w:jc w:val="both"/>
        <w:rPr>
          <w:sz w:val="12"/>
        </w:rPr>
      </w:pPr>
      <w:bookmarkStart w:name="_bookmark55" w:id="85"/>
      <w:bookmarkEnd w:id="85"/>
      <w:r>
        <w:rPr/>
      </w:r>
      <w:hyperlink r:id="rId78">
        <w:bookmarkStart w:name="_bookmark55" w:id="86"/>
        <w:bookmarkEnd w:id="86"/>
        <w:r>
          <w:rPr>
            <w:color w:val="007FAC"/>
            <w:w w:val="115"/>
            <w:sz w:val="12"/>
          </w:rPr>
          <w:t>Liu</w:t>
        </w:r>
        <w:r>
          <w:rPr>
            <w:color w:val="007FAC"/>
            <w:spacing w:val="-9"/>
            <w:w w:val="115"/>
            <w:sz w:val="12"/>
          </w:rPr>
          <w:t> </w:t>
        </w:r>
        <w:r>
          <w:rPr>
            <w:color w:val="007FAC"/>
            <w:w w:val="115"/>
            <w:sz w:val="12"/>
          </w:rPr>
          <w:t>S,</w:t>
        </w:r>
        <w:r>
          <w:rPr>
            <w:color w:val="007FAC"/>
            <w:spacing w:val="-9"/>
            <w:w w:val="115"/>
            <w:sz w:val="12"/>
          </w:rPr>
          <w:t> </w:t>
        </w:r>
        <w:r>
          <w:rPr>
            <w:color w:val="007FAC"/>
            <w:w w:val="115"/>
            <w:sz w:val="12"/>
          </w:rPr>
          <w:t>Wang</w:t>
        </w:r>
        <w:r>
          <w:rPr>
            <w:color w:val="007FAC"/>
            <w:spacing w:val="-9"/>
            <w:w w:val="115"/>
            <w:sz w:val="12"/>
          </w:rPr>
          <w:t> </w:t>
        </w:r>
        <w:r>
          <w:rPr>
            <w:color w:val="007FAC"/>
            <w:w w:val="115"/>
            <w:sz w:val="12"/>
          </w:rPr>
          <w:t>Y,</w:t>
        </w:r>
        <w:r>
          <w:rPr>
            <w:color w:val="007FAC"/>
            <w:spacing w:val="-9"/>
            <w:w w:val="115"/>
            <w:sz w:val="12"/>
          </w:rPr>
          <w:t> </w:t>
        </w:r>
        <w:r>
          <w:rPr>
            <w:color w:val="007FAC"/>
            <w:w w:val="115"/>
            <w:sz w:val="12"/>
          </w:rPr>
          <w:t>Kotian</w:t>
        </w:r>
        <w:r>
          <w:rPr>
            <w:color w:val="007FAC"/>
            <w:spacing w:val="-10"/>
            <w:w w:val="115"/>
            <w:sz w:val="12"/>
          </w:rPr>
          <w:t> </w:t>
        </w:r>
        <w:r>
          <w:rPr>
            <w:color w:val="007FAC"/>
            <w:w w:val="115"/>
            <w:sz w:val="12"/>
          </w:rPr>
          <w:t>RN,</w:t>
        </w:r>
        <w:r>
          <w:rPr>
            <w:color w:val="007FAC"/>
            <w:spacing w:val="-9"/>
            <w:w w:val="115"/>
            <w:sz w:val="12"/>
          </w:rPr>
          <w:t> </w:t>
        </w:r>
        <w:r>
          <w:rPr>
            <w:color w:val="007FAC"/>
            <w:w w:val="115"/>
            <w:sz w:val="12"/>
          </w:rPr>
          <w:t>et</w:t>
        </w:r>
        <w:r>
          <w:rPr>
            <w:color w:val="007FAC"/>
            <w:spacing w:val="-9"/>
            <w:w w:val="115"/>
            <w:sz w:val="12"/>
          </w:rPr>
          <w:t> </w:t>
        </w:r>
        <w:r>
          <w:rPr>
            <w:color w:val="007FAC"/>
            <w:w w:val="115"/>
            <w:sz w:val="12"/>
          </w:rPr>
          <w:t>al.</w:t>
        </w:r>
        <w:r>
          <w:rPr>
            <w:color w:val="007FAC"/>
            <w:spacing w:val="-9"/>
            <w:w w:val="115"/>
            <w:sz w:val="12"/>
          </w:rPr>
          <w:t> </w:t>
        </w:r>
        <w:r>
          <w:rPr>
            <w:color w:val="007FAC"/>
            <w:w w:val="115"/>
            <w:sz w:val="12"/>
          </w:rPr>
          <w:t>Comparison</w:t>
        </w:r>
        <w:r>
          <w:rPr>
            <w:color w:val="007FAC"/>
            <w:spacing w:val="-9"/>
            <w:w w:val="115"/>
            <w:sz w:val="12"/>
          </w:rPr>
          <w:t> </w:t>
        </w:r>
        <w:r>
          <w:rPr>
            <w:color w:val="007FAC"/>
            <w:w w:val="115"/>
            <w:sz w:val="12"/>
          </w:rPr>
          <w:t>of</w:t>
        </w:r>
        <w:r>
          <w:rPr>
            <w:color w:val="007FAC"/>
            <w:spacing w:val="-9"/>
            <w:w w:val="115"/>
            <w:sz w:val="12"/>
          </w:rPr>
          <w:t> </w:t>
        </w:r>
        <w:r>
          <w:rPr>
            <w:color w:val="007FAC"/>
            <w:w w:val="115"/>
            <w:sz w:val="12"/>
          </w:rPr>
          <w:t>nonabsorbable</w:t>
        </w:r>
        <w:r>
          <w:rPr>
            <w:color w:val="007FAC"/>
            <w:spacing w:val="-9"/>
            <w:w w:val="115"/>
            <w:sz w:val="12"/>
          </w:rPr>
          <w:t> </w:t>
        </w:r>
        <w:r>
          <w:rPr>
            <w:color w:val="007FAC"/>
            <w:w w:val="115"/>
            <w:sz w:val="12"/>
          </w:rPr>
          <w:t>and</w:t>
        </w:r>
        <w:r>
          <w:rPr>
            <w:color w:val="007FAC"/>
            <w:spacing w:val="-9"/>
            <w:w w:val="115"/>
            <w:sz w:val="12"/>
          </w:rPr>
          <w:t> </w:t>
        </w:r>
        <w:r>
          <w:rPr>
            <w:color w:val="007FAC"/>
            <w:w w:val="115"/>
            <w:sz w:val="12"/>
          </w:rPr>
          <w:t>absorbable</w:t>
        </w:r>
      </w:hyperlink>
      <w:bookmarkStart w:name="_bookmark54" w:id="87"/>
      <w:bookmarkEnd w:id="87"/>
      <w:r>
        <w:rPr>
          <w:color w:val="007FAC"/>
          <w:w w:val="115"/>
          <w:sz w:val="12"/>
        </w:rPr>
      </w:r>
      <w:hyperlink r:id="rId78">
        <w:r>
          <w:rPr>
            <w:color w:val="007FAC"/>
            <w:w w:val="115"/>
            <w:sz w:val="12"/>
          </w:rPr>
          <w:t> suture</w:t>
        </w:r>
        <w:r>
          <w:rPr>
            <w:color w:val="007FAC"/>
            <w:spacing w:val="11"/>
            <w:w w:val="115"/>
            <w:sz w:val="12"/>
          </w:rPr>
          <w:t> </w:t>
        </w:r>
        <w:r>
          <w:rPr>
            <w:color w:val="007FAC"/>
            <w:w w:val="115"/>
            <w:sz w:val="12"/>
          </w:rPr>
          <w:t>in</w:t>
        </w:r>
        <w:r>
          <w:rPr>
            <w:color w:val="007FAC"/>
            <w:spacing w:val="11"/>
            <w:w w:val="115"/>
            <w:sz w:val="12"/>
          </w:rPr>
          <w:t> </w:t>
        </w:r>
        <w:r>
          <w:rPr>
            <w:color w:val="007FAC"/>
            <w:w w:val="115"/>
            <w:sz w:val="12"/>
          </w:rPr>
          <w:t>total</w:t>
        </w:r>
        <w:r>
          <w:rPr>
            <w:color w:val="007FAC"/>
            <w:spacing w:val="11"/>
            <w:w w:val="115"/>
            <w:sz w:val="12"/>
          </w:rPr>
          <w:t> </w:t>
        </w:r>
        <w:r>
          <w:rPr>
            <w:color w:val="007FAC"/>
            <w:w w:val="115"/>
            <w:sz w:val="12"/>
          </w:rPr>
          <w:t>knee</w:t>
        </w:r>
        <w:r>
          <w:rPr>
            <w:color w:val="007FAC"/>
            <w:spacing w:val="11"/>
            <w:w w:val="115"/>
            <w:sz w:val="12"/>
          </w:rPr>
          <w:t> </w:t>
        </w:r>
        <w:r>
          <w:rPr>
            <w:color w:val="007FAC"/>
            <w:w w:val="115"/>
            <w:sz w:val="12"/>
          </w:rPr>
          <w:t>arthroplasty.</w:t>
        </w:r>
        <w:r>
          <w:rPr>
            <w:color w:val="007FAC"/>
            <w:spacing w:val="11"/>
            <w:w w:val="115"/>
            <w:sz w:val="12"/>
          </w:rPr>
          <w:t> </w:t>
        </w:r>
        <w:r>
          <w:rPr>
            <w:color w:val="007FAC"/>
            <w:w w:val="115"/>
            <w:sz w:val="12"/>
          </w:rPr>
          <w:t>Med</w:t>
        </w:r>
        <w:r>
          <w:rPr>
            <w:color w:val="007FAC"/>
            <w:spacing w:val="11"/>
            <w:w w:val="115"/>
            <w:sz w:val="12"/>
          </w:rPr>
          <w:t> </w:t>
        </w:r>
        <w:r>
          <w:rPr>
            <w:color w:val="007FAC"/>
            <w:w w:val="115"/>
            <w:sz w:val="12"/>
          </w:rPr>
          <w:t>Sci</w:t>
        </w:r>
        <w:r>
          <w:rPr>
            <w:color w:val="007FAC"/>
            <w:spacing w:val="11"/>
            <w:w w:val="115"/>
            <w:sz w:val="12"/>
          </w:rPr>
          <w:t> </w:t>
        </w:r>
        <w:r>
          <w:rPr>
            <w:color w:val="007FAC"/>
            <w:w w:val="115"/>
            <w:sz w:val="12"/>
          </w:rPr>
          <w:t>Monit</w:t>
        </w:r>
        <w:r>
          <w:rPr>
            <w:color w:val="007FAC"/>
            <w:spacing w:val="11"/>
            <w:w w:val="115"/>
            <w:sz w:val="12"/>
          </w:rPr>
          <w:t> </w:t>
        </w:r>
        <w:r>
          <w:rPr>
            <w:color w:val="007FAC"/>
            <w:w w:val="115"/>
            <w:sz w:val="12"/>
          </w:rPr>
          <w:t>2018;24:7563</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79">
        <w:r>
          <w:rPr>
            <w:color w:val="007FAC"/>
            <w:w w:val="115"/>
            <w:sz w:val="12"/>
          </w:rPr>
          <w:t>Maheshwari</w:t>
        </w:r>
        <w:r>
          <w:rPr>
            <w:color w:val="007FAC"/>
            <w:spacing w:val="-5"/>
            <w:w w:val="115"/>
            <w:sz w:val="12"/>
          </w:rPr>
          <w:t> </w:t>
        </w:r>
        <w:r>
          <w:rPr>
            <w:color w:val="007FAC"/>
            <w:w w:val="115"/>
            <w:sz w:val="12"/>
          </w:rPr>
          <w:t>AV,</w:t>
        </w:r>
        <w:r>
          <w:rPr>
            <w:color w:val="007FAC"/>
            <w:spacing w:val="-5"/>
            <w:w w:val="115"/>
            <w:sz w:val="12"/>
          </w:rPr>
          <w:t> </w:t>
        </w:r>
        <w:r>
          <w:rPr>
            <w:color w:val="007FAC"/>
            <w:w w:val="115"/>
            <w:sz w:val="12"/>
          </w:rPr>
          <w:t>Naziri</w:t>
        </w:r>
        <w:r>
          <w:rPr>
            <w:color w:val="007FAC"/>
            <w:spacing w:val="-4"/>
            <w:w w:val="115"/>
            <w:sz w:val="12"/>
          </w:rPr>
          <w:t> </w:t>
        </w:r>
        <w:r>
          <w:rPr>
            <w:color w:val="007FAC"/>
            <w:w w:val="115"/>
            <w:sz w:val="12"/>
          </w:rPr>
          <w:t>Q,</w:t>
        </w:r>
        <w:r>
          <w:rPr>
            <w:color w:val="007FAC"/>
            <w:spacing w:val="-5"/>
            <w:w w:val="115"/>
            <w:sz w:val="12"/>
          </w:rPr>
          <w:t> </w:t>
        </w:r>
        <w:r>
          <w:rPr>
            <w:color w:val="007FAC"/>
            <w:w w:val="115"/>
            <w:sz w:val="12"/>
          </w:rPr>
          <w:t>Wong</w:t>
        </w:r>
        <w:r>
          <w:rPr>
            <w:color w:val="007FAC"/>
            <w:spacing w:val="-4"/>
            <w:w w:val="115"/>
            <w:sz w:val="12"/>
          </w:rPr>
          <w:t> </w:t>
        </w:r>
        <w:r>
          <w:rPr>
            <w:color w:val="007FAC"/>
            <w:w w:val="115"/>
            <w:sz w:val="12"/>
          </w:rPr>
          <w:t>A,</w:t>
        </w:r>
        <w:r>
          <w:rPr>
            <w:color w:val="007FAC"/>
            <w:spacing w:val="-5"/>
            <w:w w:val="115"/>
            <w:sz w:val="12"/>
          </w:rPr>
          <w:t> </w:t>
        </w:r>
        <w:r>
          <w:rPr>
            <w:color w:val="007FAC"/>
            <w:w w:val="115"/>
            <w:sz w:val="12"/>
          </w:rPr>
          <w:t>et</w:t>
        </w:r>
        <w:r>
          <w:rPr>
            <w:color w:val="007FAC"/>
            <w:spacing w:val="-4"/>
            <w:w w:val="115"/>
            <w:sz w:val="12"/>
          </w:rPr>
          <w:t> </w:t>
        </w:r>
        <w:r>
          <w:rPr>
            <w:color w:val="007FAC"/>
            <w:w w:val="115"/>
            <w:sz w:val="12"/>
          </w:rPr>
          <w:t>al.</w:t>
        </w:r>
        <w:r>
          <w:rPr>
            <w:color w:val="007FAC"/>
            <w:spacing w:val="-5"/>
            <w:w w:val="115"/>
            <w:sz w:val="12"/>
          </w:rPr>
          <w:t> </w:t>
        </w:r>
        <w:r>
          <w:rPr>
            <w:color w:val="007FAC"/>
            <w:w w:val="115"/>
            <w:sz w:val="12"/>
          </w:rPr>
          <w:t>Barbed</w:t>
        </w:r>
        <w:r>
          <w:rPr>
            <w:color w:val="007FAC"/>
            <w:spacing w:val="-4"/>
            <w:w w:val="115"/>
            <w:sz w:val="12"/>
          </w:rPr>
          <w:t> </w:t>
        </w:r>
        <w:r>
          <w:rPr>
            <w:color w:val="007FAC"/>
            <w:w w:val="115"/>
            <w:sz w:val="12"/>
          </w:rPr>
          <w:t>sutures</w:t>
        </w:r>
        <w:r>
          <w:rPr>
            <w:color w:val="007FAC"/>
            <w:spacing w:val="-5"/>
            <w:w w:val="115"/>
            <w:sz w:val="12"/>
          </w:rPr>
          <w:t> </w:t>
        </w:r>
        <w:r>
          <w:rPr>
            <w:color w:val="007FAC"/>
            <w:w w:val="115"/>
            <w:sz w:val="12"/>
          </w:rPr>
          <w:t>in</w:t>
        </w:r>
        <w:r>
          <w:rPr>
            <w:color w:val="007FAC"/>
            <w:spacing w:val="-4"/>
            <w:w w:val="115"/>
            <w:sz w:val="12"/>
          </w:rPr>
          <w:t> </w:t>
        </w:r>
        <w:r>
          <w:rPr>
            <w:color w:val="007FAC"/>
            <w:w w:val="115"/>
            <w:sz w:val="12"/>
          </w:rPr>
          <w:t>total</w:t>
        </w:r>
        <w:r>
          <w:rPr>
            <w:color w:val="007FAC"/>
            <w:spacing w:val="-4"/>
            <w:w w:val="115"/>
            <w:sz w:val="12"/>
          </w:rPr>
          <w:t> </w:t>
        </w:r>
        <w:r>
          <w:rPr>
            <w:color w:val="007FAC"/>
            <w:w w:val="115"/>
            <w:sz w:val="12"/>
          </w:rPr>
          <w:t>knee</w:t>
        </w:r>
        <w:r>
          <w:rPr>
            <w:color w:val="007FAC"/>
            <w:spacing w:val="-5"/>
            <w:w w:val="115"/>
            <w:sz w:val="12"/>
          </w:rPr>
          <w:t> </w:t>
        </w:r>
        <w:r>
          <w:rPr>
            <w:color w:val="007FAC"/>
            <w:w w:val="115"/>
            <w:sz w:val="12"/>
          </w:rPr>
          <w:t>arthro-</w:t>
        </w:r>
      </w:hyperlink>
      <w:hyperlink r:id="rId79">
        <w:r>
          <w:rPr>
            <w:color w:val="007FAC"/>
            <w:w w:val="115"/>
            <w:sz w:val="12"/>
          </w:rPr>
          <w:t> plasty: are these safe, ef</w:t>
        </w:r>
        <w:r>
          <w:rPr>
            <w:rFonts w:ascii="Times New Roman" w:hAnsi="Times New Roman"/>
            <w:color w:val="007FAC"/>
            <w:w w:val="115"/>
            <w:sz w:val="12"/>
          </w:rPr>
          <w:t>ﬁ</w:t>
        </w:r>
        <w:r>
          <w:rPr>
            <w:color w:val="007FAC"/>
            <w:w w:val="115"/>
            <w:sz w:val="12"/>
          </w:rPr>
          <w:t>cacious, and cost-effective? J Knee Surg 2015;28(2):</w:t>
        </w:r>
      </w:hyperlink>
      <w:bookmarkStart w:name="_bookmark56" w:id="88"/>
      <w:bookmarkEnd w:id="88"/>
      <w:r>
        <w:rPr>
          <w:color w:val="007FAC"/>
          <w:w w:val="115"/>
          <w:sz w:val="12"/>
        </w:rPr>
      </w:r>
      <w:hyperlink r:id="rId79">
        <w:r>
          <w:rPr>
            <w:color w:val="007FAC"/>
            <w:w w:val="115"/>
            <w:sz w:val="12"/>
          </w:rPr>
          <w:t> 151</w:t>
        </w:r>
      </w:hyperlink>
      <w:r>
        <w:rPr>
          <w:w w:val="115"/>
          <w:sz w:val="12"/>
        </w:rPr>
        <w:t>.</w:t>
      </w:r>
    </w:p>
    <w:p>
      <w:pPr>
        <w:pStyle w:val="ListParagraph"/>
        <w:numPr>
          <w:ilvl w:val="0"/>
          <w:numId w:val="3"/>
        </w:numPr>
        <w:tabs>
          <w:tab w:pos="442" w:val="left" w:leader="none"/>
        </w:tabs>
        <w:spacing w:line="256" w:lineRule="auto" w:before="0" w:after="0"/>
        <w:ind w:left="441" w:right="39" w:hanging="326"/>
        <w:jc w:val="both"/>
        <w:rPr>
          <w:sz w:val="12"/>
        </w:rPr>
      </w:pPr>
      <w:hyperlink r:id="rId80">
        <w:r>
          <w:rPr>
            <w:color w:val="007FAC"/>
            <w:w w:val="110"/>
            <w:sz w:val="12"/>
          </w:rPr>
          <w:t>Eickmann T,  Quane  E.  Total knee  arthroplasty  closure  with  barbed  sutures.</w:t>
        </w:r>
      </w:hyperlink>
      <w:bookmarkStart w:name="_bookmark57" w:id="89"/>
      <w:bookmarkEnd w:id="89"/>
      <w:r>
        <w:rPr>
          <w:color w:val="007FAC"/>
          <w:w w:val="110"/>
          <w:sz w:val="12"/>
        </w:rPr>
      </w:r>
      <w:hyperlink r:id="rId80">
        <w:r>
          <w:rPr>
            <w:color w:val="007FAC"/>
            <w:w w:val="110"/>
            <w:sz w:val="12"/>
          </w:rPr>
          <w:t> J Knee Surg</w:t>
        </w:r>
        <w:r>
          <w:rPr>
            <w:color w:val="007FAC"/>
            <w:spacing w:val="4"/>
            <w:w w:val="110"/>
            <w:sz w:val="12"/>
          </w:rPr>
          <w:t> </w:t>
        </w:r>
        <w:r>
          <w:rPr>
            <w:color w:val="007FAC"/>
            <w:w w:val="110"/>
            <w:sz w:val="12"/>
          </w:rPr>
          <w:t>2010;23(3):163</w:t>
        </w:r>
      </w:hyperlink>
      <w:r>
        <w:rPr>
          <w:w w:val="110"/>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81">
        <w:r>
          <w:rPr>
            <w:color w:val="007FAC"/>
            <w:w w:val="115"/>
            <w:sz w:val="12"/>
          </w:rPr>
          <w:t>Ko</w:t>
        </w:r>
        <w:r>
          <w:rPr>
            <w:color w:val="007FAC"/>
            <w:spacing w:val="-19"/>
            <w:w w:val="115"/>
            <w:sz w:val="12"/>
          </w:rPr>
          <w:t> </w:t>
        </w:r>
        <w:r>
          <w:rPr>
            <w:color w:val="007FAC"/>
            <w:w w:val="115"/>
            <w:sz w:val="12"/>
          </w:rPr>
          <w:t>JH,</w:t>
        </w:r>
        <w:r>
          <w:rPr>
            <w:color w:val="007FAC"/>
            <w:spacing w:val="-19"/>
            <w:w w:val="115"/>
            <w:sz w:val="12"/>
          </w:rPr>
          <w:t> </w:t>
        </w:r>
        <w:r>
          <w:rPr>
            <w:color w:val="007FAC"/>
            <w:w w:val="115"/>
            <w:sz w:val="12"/>
          </w:rPr>
          <w:t>Yang</w:t>
        </w:r>
        <w:r>
          <w:rPr>
            <w:color w:val="007FAC"/>
            <w:spacing w:val="-18"/>
            <w:w w:val="115"/>
            <w:sz w:val="12"/>
          </w:rPr>
          <w:t> </w:t>
        </w:r>
        <w:r>
          <w:rPr>
            <w:color w:val="007FAC"/>
            <w:w w:val="115"/>
            <w:sz w:val="12"/>
          </w:rPr>
          <w:t>IH,</w:t>
        </w:r>
        <w:r>
          <w:rPr>
            <w:color w:val="007FAC"/>
            <w:spacing w:val="-19"/>
            <w:w w:val="115"/>
            <w:sz w:val="12"/>
          </w:rPr>
          <w:t> </w:t>
        </w:r>
        <w:r>
          <w:rPr>
            <w:color w:val="007FAC"/>
            <w:w w:val="115"/>
            <w:sz w:val="12"/>
          </w:rPr>
          <w:t>Ko</w:t>
        </w:r>
        <w:r>
          <w:rPr>
            <w:color w:val="007FAC"/>
            <w:spacing w:val="-19"/>
            <w:w w:val="115"/>
            <w:sz w:val="12"/>
          </w:rPr>
          <w:t> </w:t>
        </w:r>
        <w:r>
          <w:rPr>
            <w:color w:val="007FAC"/>
            <w:w w:val="115"/>
            <w:sz w:val="12"/>
          </w:rPr>
          <w:t>MS,</w:t>
        </w:r>
        <w:r>
          <w:rPr>
            <w:color w:val="007FAC"/>
            <w:spacing w:val="-18"/>
            <w:w w:val="115"/>
            <w:sz w:val="12"/>
          </w:rPr>
          <w:t> </w:t>
        </w:r>
        <w:r>
          <w:rPr>
            <w:color w:val="007FAC"/>
            <w:w w:val="115"/>
            <w:sz w:val="12"/>
          </w:rPr>
          <w:t>Kamolhuja</w:t>
        </w:r>
        <w:r>
          <w:rPr>
            <w:color w:val="007FAC"/>
            <w:spacing w:val="-18"/>
            <w:w w:val="115"/>
            <w:sz w:val="12"/>
          </w:rPr>
          <w:t> </w:t>
        </w:r>
        <w:r>
          <w:rPr>
            <w:color w:val="007FAC"/>
            <w:w w:val="115"/>
            <w:sz w:val="12"/>
          </w:rPr>
          <w:t>E,</w:t>
        </w:r>
        <w:r>
          <w:rPr>
            <w:color w:val="007FAC"/>
            <w:spacing w:val="-19"/>
            <w:w w:val="115"/>
            <w:sz w:val="12"/>
          </w:rPr>
          <w:t> </w:t>
        </w:r>
        <w:r>
          <w:rPr>
            <w:color w:val="007FAC"/>
            <w:w w:val="115"/>
            <w:sz w:val="12"/>
          </w:rPr>
          <w:t>Park</w:t>
        </w:r>
        <w:r>
          <w:rPr>
            <w:color w:val="007FAC"/>
            <w:spacing w:val="-19"/>
            <w:w w:val="115"/>
            <w:sz w:val="12"/>
          </w:rPr>
          <w:t> </w:t>
        </w:r>
        <w:r>
          <w:rPr>
            <w:color w:val="007FAC"/>
            <w:w w:val="115"/>
            <w:sz w:val="12"/>
          </w:rPr>
          <w:t>KK.</w:t>
        </w:r>
        <w:r>
          <w:rPr>
            <w:color w:val="007FAC"/>
            <w:spacing w:val="-18"/>
            <w:w w:val="115"/>
            <w:sz w:val="12"/>
          </w:rPr>
          <w:t> </w:t>
        </w:r>
        <w:r>
          <w:rPr>
            <w:color w:val="007FAC"/>
            <w:w w:val="115"/>
            <w:sz w:val="12"/>
          </w:rPr>
          <w:t>Do</w:t>
        </w:r>
        <w:r>
          <w:rPr>
            <w:color w:val="007FAC"/>
            <w:spacing w:val="-18"/>
            <w:w w:val="115"/>
            <w:sz w:val="12"/>
          </w:rPr>
          <w:t> </w:t>
        </w:r>
        <w:r>
          <w:rPr>
            <w:color w:val="007FAC"/>
            <w:w w:val="115"/>
            <w:sz w:val="12"/>
          </w:rPr>
          <w:t>zip-type</w:t>
        </w:r>
        <w:r>
          <w:rPr>
            <w:color w:val="007FAC"/>
            <w:spacing w:val="-19"/>
            <w:w w:val="115"/>
            <w:sz w:val="12"/>
          </w:rPr>
          <w:t> </w:t>
        </w:r>
        <w:r>
          <w:rPr>
            <w:color w:val="007FAC"/>
            <w:w w:val="115"/>
            <w:sz w:val="12"/>
          </w:rPr>
          <w:t>skin-closing</w:t>
        </w:r>
        <w:r>
          <w:rPr>
            <w:color w:val="007FAC"/>
            <w:spacing w:val="-18"/>
            <w:w w:val="115"/>
            <w:sz w:val="12"/>
          </w:rPr>
          <w:t> </w:t>
        </w:r>
        <w:r>
          <w:rPr>
            <w:color w:val="007FAC"/>
            <w:w w:val="115"/>
            <w:sz w:val="12"/>
          </w:rPr>
          <w:t>devices</w:t>
        </w:r>
      </w:hyperlink>
      <w:hyperlink r:id="rId81">
        <w:r>
          <w:rPr>
            <w:color w:val="007FAC"/>
            <w:w w:val="115"/>
            <w:sz w:val="12"/>
          </w:rPr>
          <w:t> show better wound status compared to conventional staple devices in </w:t>
        </w:r>
        <w:r>
          <w:rPr>
            <w:color w:val="007FAC"/>
            <w:spacing w:val="-3"/>
            <w:w w:val="115"/>
            <w:sz w:val="12"/>
          </w:rPr>
          <w:t>total</w:t>
        </w:r>
      </w:hyperlink>
      <w:bookmarkStart w:name="_bookmark58" w:id="90"/>
      <w:bookmarkEnd w:id="90"/>
      <w:r>
        <w:rPr>
          <w:color w:val="007FAC"/>
          <w:spacing w:val="-3"/>
          <w:w w:val="115"/>
          <w:sz w:val="12"/>
        </w:rPr>
      </w:r>
      <w:hyperlink r:id="rId81">
        <w:r>
          <w:rPr>
            <w:color w:val="007FAC"/>
            <w:spacing w:val="-3"/>
            <w:w w:val="115"/>
            <w:sz w:val="12"/>
          </w:rPr>
          <w:t> </w:t>
        </w:r>
        <w:r>
          <w:rPr>
            <w:color w:val="007FAC"/>
            <w:w w:val="115"/>
            <w:sz w:val="12"/>
          </w:rPr>
          <w:t>knee arthroplasty? Int Wound J</w:t>
        </w:r>
        <w:r>
          <w:rPr>
            <w:color w:val="007FAC"/>
            <w:spacing w:val="19"/>
            <w:w w:val="115"/>
            <w:sz w:val="12"/>
          </w:rPr>
          <w:t> </w:t>
        </w:r>
        <w:r>
          <w:rPr>
            <w:color w:val="007FAC"/>
            <w:w w:val="115"/>
            <w:sz w:val="12"/>
          </w:rPr>
          <w:t>2017;14(1):250</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82">
        <w:r>
          <w:rPr>
            <w:color w:val="007FAC"/>
            <w:w w:val="110"/>
            <w:sz w:val="12"/>
          </w:rPr>
          <w:t>Miller AG, Swank ML. Dermabond ef</w:t>
        </w:r>
      </w:hyperlink>
      <w:r>
        <w:rPr>
          <w:rFonts w:ascii="Times New Roman" w:hAnsi="Times New Roman"/>
          <w:color w:val="007FAC"/>
          <w:w w:val="110"/>
          <w:sz w:val="12"/>
        </w:rPr>
        <w:t>ﬁ</w:t>
      </w:r>
      <w:hyperlink r:id="rId82">
        <w:r>
          <w:rPr>
            <w:color w:val="007FAC"/>
            <w:w w:val="110"/>
            <w:sz w:val="12"/>
          </w:rPr>
          <w:t>cacy in total joint arthroplasty wounds.</w:t>
        </w:r>
      </w:hyperlink>
      <w:bookmarkStart w:name="_bookmark59" w:id="91"/>
      <w:bookmarkEnd w:id="91"/>
      <w:r>
        <w:rPr>
          <w:color w:val="007FAC"/>
          <w:w w:val="110"/>
          <w:sz w:val="12"/>
        </w:rPr>
      </w:r>
      <w:hyperlink r:id="rId82">
        <w:r>
          <w:rPr>
            <w:color w:val="007FAC"/>
            <w:w w:val="110"/>
            <w:sz w:val="12"/>
          </w:rPr>
          <w:t> Am</w:t>
        </w:r>
        <w:r>
          <w:rPr>
            <w:color w:val="007FAC"/>
            <w:spacing w:val="13"/>
            <w:w w:val="110"/>
            <w:sz w:val="12"/>
          </w:rPr>
          <w:t> </w:t>
        </w:r>
        <w:r>
          <w:rPr>
            <w:color w:val="007FAC"/>
            <w:w w:val="110"/>
            <w:sz w:val="12"/>
          </w:rPr>
          <w:t>J</w:t>
        </w:r>
        <w:r>
          <w:rPr>
            <w:color w:val="007FAC"/>
            <w:spacing w:val="13"/>
            <w:w w:val="110"/>
            <w:sz w:val="12"/>
          </w:rPr>
          <w:t> </w:t>
        </w:r>
        <w:r>
          <w:rPr>
            <w:color w:val="007FAC"/>
            <w:w w:val="110"/>
            <w:sz w:val="12"/>
          </w:rPr>
          <w:t>Orthop</w:t>
        </w:r>
        <w:r>
          <w:rPr>
            <w:color w:val="007FAC"/>
            <w:spacing w:val="14"/>
            <w:w w:val="110"/>
            <w:sz w:val="12"/>
          </w:rPr>
          <w:t> </w:t>
        </w:r>
        <w:r>
          <w:rPr>
            <w:color w:val="007FAC"/>
            <w:w w:val="110"/>
            <w:sz w:val="12"/>
          </w:rPr>
          <w:t>(Belle</w:t>
        </w:r>
        <w:r>
          <w:rPr>
            <w:color w:val="007FAC"/>
            <w:spacing w:val="13"/>
            <w:w w:val="110"/>
            <w:sz w:val="12"/>
          </w:rPr>
          <w:t> </w:t>
        </w:r>
        <w:r>
          <w:rPr>
            <w:color w:val="007FAC"/>
            <w:w w:val="110"/>
            <w:sz w:val="12"/>
          </w:rPr>
          <w:t>Mead</w:t>
        </w:r>
        <w:r>
          <w:rPr>
            <w:color w:val="007FAC"/>
            <w:spacing w:val="13"/>
            <w:w w:val="110"/>
            <w:sz w:val="12"/>
          </w:rPr>
          <w:t> </w:t>
        </w:r>
        <w:r>
          <w:rPr>
            <w:color w:val="007FAC"/>
            <w:w w:val="110"/>
            <w:sz w:val="12"/>
          </w:rPr>
          <w:t>NJ)</w:t>
        </w:r>
        <w:r>
          <w:rPr>
            <w:color w:val="007FAC"/>
            <w:spacing w:val="14"/>
            <w:w w:val="110"/>
            <w:sz w:val="12"/>
          </w:rPr>
          <w:t> </w:t>
        </w:r>
        <w:r>
          <w:rPr>
            <w:color w:val="007FAC"/>
            <w:w w:val="110"/>
            <w:sz w:val="12"/>
          </w:rPr>
          <w:t>2010;39(10):476</w:t>
        </w:r>
      </w:hyperlink>
      <w:r>
        <w:rPr>
          <w:w w:val="110"/>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83">
        <w:r>
          <w:rPr>
            <w:color w:val="007FAC"/>
            <w:w w:val="115"/>
            <w:sz w:val="12"/>
          </w:rPr>
          <w:t>Patel</w:t>
        </w:r>
        <w:r>
          <w:rPr>
            <w:color w:val="007FAC"/>
            <w:spacing w:val="-3"/>
            <w:w w:val="115"/>
            <w:sz w:val="12"/>
          </w:rPr>
          <w:t> </w:t>
        </w:r>
        <w:r>
          <w:rPr>
            <w:color w:val="007FAC"/>
            <w:w w:val="115"/>
            <w:sz w:val="12"/>
          </w:rPr>
          <w:t>RM,</w:t>
        </w:r>
        <w:r>
          <w:rPr>
            <w:color w:val="007FAC"/>
            <w:spacing w:val="-4"/>
            <w:w w:val="115"/>
            <w:sz w:val="12"/>
          </w:rPr>
          <w:t> </w:t>
        </w:r>
        <w:r>
          <w:rPr>
            <w:color w:val="007FAC"/>
            <w:w w:val="115"/>
            <w:sz w:val="12"/>
          </w:rPr>
          <w:t>Cayo</w:t>
        </w:r>
        <w:r>
          <w:rPr>
            <w:color w:val="007FAC"/>
            <w:spacing w:val="-3"/>
            <w:w w:val="115"/>
            <w:sz w:val="12"/>
          </w:rPr>
          <w:t> </w:t>
        </w:r>
        <w:r>
          <w:rPr>
            <w:color w:val="007FAC"/>
            <w:w w:val="115"/>
            <w:sz w:val="12"/>
          </w:rPr>
          <w:t>M,</w:t>
        </w:r>
        <w:r>
          <w:rPr>
            <w:color w:val="007FAC"/>
            <w:spacing w:val="-3"/>
            <w:w w:val="115"/>
            <w:sz w:val="12"/>
          </w:rPr>
          <w:t> </w:t>
        </w:r>
        <w:r>
          <w:rPr>
            <w:color w:val="007FAC"/>
            <w:w w:val="115"/>
            <w:sz w:val="12"/>
          </w:rPr>
          <w:t>Patel</w:t>
        </w:r>
        <w:r>
          <w:rPr>
            <w:color w:val="007FAC"/>
            <w:spacing w:val="-3"/>
            <w:w w:val="115"/>
            <w:sz w:val="12"/>
          </w:rPr>
          <w:t> </w:t>
        </w:r>
        <w:r>
          <w:rPr>
            <w:color w:val="007FAC"/>
            <w:w w:val="115"/>
            <w:sz w:val="12"/>
          </w:rPr>
          <w:t>A,</w:t>
        </w:r>
        <w:r>
          <w:rPr>
            <w:color w:val="007FAC"/>
            <w:spacing w:val="-4"/>
            <w:w w:val="115"/>
            <w:sz w:val="12"/>
          </w:rPr>
          <w:t> </w:t>
        </w:r>
        <w:r>
          <w:rPr>
            <w:color w:val="007FAC"/>
            <w:w w:val="115"/>
            <w:sz w:val="12"/>
          </w:rPr>
          <w:t>Albarillo</w:t>
        </w:r>
        <w:r>
          <w:rPr>
            <w:color w:val="007FAC"/>
            <w:spacing w:val="-3"/>
            <w:w w:val="115"/>
            <w:sz w:val="12"/>
          </w:rPr>
          <w:t> </w:t>
        </w:r>
        <w:r>
          <w:rPr>
            <w:color w:val="007FAC"/>
            <w:w w:val="115"/>
            <w:sz w:val="12"/>
          </w:rPr>
          <w:t>M,</w:t>
        </w:r>
        <w:r>
          <w:rPr>
            <w:color w:val="007FAC"/>
            <w:spacing w:val="-3"/>
            <w:w w:val="115"/>
            <w:sz w:val="12"/>
          </w:rPr>
          <w:t> </w:t>
        </w:r>
        <w:r>
          <w:rPr>
            <w:color w:val="007FAC"/>
            <w:w w:val="115"/>
            <w:sz w:val="12"/>
          </w:rPr>
          <w:t>Puri</w:t>
        </w:r>
        <w:r>
          <w:rPr>
            <w:color w:val="007FAC"/>
            <w:spacing w:val="-3"/>
            <w:w w:val="115"/>
            <w:sz w:val="12"/>
          </w:rPr>
          <w:t> </w:t>
        </w:r>
        <w:r>
          <w:rPr>
            <w:color w:val="007FAC"/>
            <w:w w:val="115"/>
            <w:sz w:val="12"/>
          </w:rPr>
          <w:t>L.</w:t>
        </w:r>
        <w:r>
          <w:rPr>
            <w:color w:val="007FAC"/>
            <w:spacing w:val="-4"/>
            <w:w w:val="115"/>
            <w:sz w:val="12"/>
          </w:rPr>
          <w:t> </w:t>
        </w:r>
        <w:r>
          <w:rPr>
            <w:color w:val="007FAC"/>
            <w:w w:val="115"/>
            <w:sz w:val="12"/>
          </w:rPr>
          <w:t>Wound</w:t>
        </w:r>
        <w:r>
          <w:rPr>
            <w:color w:val="007FAC"/>
            <w:spacing w:val="-3"/>
            <w:w w:val="115"/>
            <w:sz w:val="12"/>
          </w:rPr>
          <w:t> </w:t>
        </w:r>
        <w:r>
          <w:rPr>
            <w:color w:val="007FAC"/>
            <w:w w:val="115"/>
            <w:sz w:val="12"/>
          </w:rPr>
          <w:t>complications</w:t>
        </w:r>
        <w:r>
          <w:rPr>
            <w:color w:val="007FAC"/>
            <w:spacing w:val="-3"/>
            <w:w w:val="115"/>
            <w:sz w:val="12"/>
          </w:rPr>
          <w:t> </w:t>
        </w:r>
        <w:r>
          <w:rPr>
            <w:color w:val="007FAC"/>
            <w:w w:val="115"/>
            <w:sz w:val="12"/>
          </w:rPr>
          <w:t>in</w:t>
        </w:r>
        <w:r>
          <w:rPr>
            <w:color w:val="007FAC"/>
            <w:spacing w:val="-3"/>
            <w:w w:val="115"/>
            <w:sz w:val="12"/>
          </w:rPr>
          <w:t> </w:t>
        </w:r>
        <w:r>
          <w:rPr>
            <w:color w:val="007FAC"/>
            <w:w w:val="115"/>
            <w:sz w:val="12"/>
          </w:rPr>
          <w:t>joint</w:t>
        </w:r>
      </w:hyperlink>
      <w:hyperlink r:id="rId83">
        <w:r>
          <w:rPr>
            <w:color w:val="007FAC"/>
            <w:w w:val="115"/>
            <w:sz w:val="12"/>
          </w:rPr>
          <w:t> arthroplasty: comparing traditional and modern methods of skin closure.</w:t>
        </w:r>
      </w:hyperlink>
      <w:bookmarkStart w:name="_bookmark60" w:id="92"/>
      <w:bookmarkEnd w:id="92"/>
      <w:r>
        <w:rPr>
          <w:color w:val="007FAC"/>
          <w:w w:val="115"/>
          <w:sz w:val="12"/>
        </w:rPr>
      </w:r>
      <w:hyperlink r:id="rId83">
        <w:r>
          <w:rPr>
            <w:color w:val="007FAC"/>
            <w:w w:val="115"/>
            <w:sz w:val="12"/>
          </w:rPr>
          <w:t> Orthopedics</w:t>
        </w:r>
        <w:r>
          <w:rPr>
            <w:color w:val="007FAC"/>
            <w:spacing w:val="10"/>
            <w:w w:val="115"/>
            <w:sz w:val="12"/>
          </w:rPr>
          <w:t> </w:t>
        </w:r>
        <w:r>
          <w:rPr>
            <w:color w:val="007FAC"/>
            <w:w w:val="115"/>
            <w:sz w:val="12"/>
          </w:rPr>
          <w:t>2012;35(5):e641</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84">
        <w:r>
          <w:rPr>
            <w:color w:val="007FAC"/>
            <w:w w:val="115"/>
            <w:sz w:val="12"/>
          </w:rPr>
          <w:t>Takayama</w:t>
        </w:r>
        <w:r>
          <w:rPr>
            <w:color w:val="007FAC"/>
            <w:spacing w:val="-19"/>
            <w:w w:val="115"/>
            <w:sz w:val="12"/>
          </w:rPr>
          <w:t> </w:t>
        </w:r>
        <w:r>
          <w:rPr>
            <w:color w:val="007FAC"/>
            <w:w w:val="115"/>
            <w:sz w:val="12"/>
          </w:rPr>
          <w:t>S,</w:t>
        </w:r>
        <w:r>
          <w:rPr>
            <w:color w:val="007FAC"/>
            <w:spacing w:val="-17"/>
            <w:w w:val="115"/>
            <w:sz w:val="12"/>
          </w:rPr>
          <w:t> </w:t>
        </w:r>
        <w:r>
          <w:rPr>
            <w:color w:val="007FAC"/>
            <w:w w:val="115"/>
            <w:sz w:val="12"/>
          </w:rPr>
          <w:t>Yamamoto</w:t>
        </w:r>
        <w:r>
          <w:rPr>
            <w:color w:val="007FAC"/>
            <w:spacing w:val="-19"/>
            <w:w w:val="115"/>
            <w:sz w:val="12"/>
          </w:rPr>
          <w:t> </w:t>
        </w:r>
        <w:r>
          <w:rPr>
            <w:color w:val="007FAC"/>
            <w:w w:val="115"/>
            <w:sz w:val="12"/>
          </w:rPr>
          <w:t>T,</w:t>
        </w:r>
        <w:r>
          <w:rPr>
            <w:color w:val="007FAC"/>
            <w:spacing w:val="-17"/>
            <w:w w:val="115"/>
            <w:sz w:val="12"/>
          </w:rPr>
          <w:t> </w:t>
        </w:r>
        <w:r>
          <w:rPr>
            <w:color w:val="007FAC"/>
            <w:w w:val="115"/>
            <w:sz w:val="12"/>
          </w:rPr>
          <w:t>Tsuchiya</w:t>
        </w:r>
        <w:r>
          <w:rPr>
            <w:color w:val="007FAC"/>
            <w:spacing w:val="-19"/>
            <w:w w:val="115"/>
            <w:sz w:val="12"/>
          </w:rPr>
          <w:t> </w:t>
        </w:r>
        <w:r>
          <w:rPr>
            <w:color w:val="007FAC"/>
            <w:w w:val="115"/>
            <w:sz w:val="12"/>
          </w:rPr>
          <w:t>C,</w:t>
        </w:r>
        <w:r>
          <w:rPr>
            <w:color w:val="007FAC"/>
            <w:spacing w:val="-17"/>
            <w:w w:val="115"/>
            <w:sz w:val="12"/>
          </w:rPr>
          <w:t> </w:t>
        </w:r>
        <w:r>
          <w:rPr>
            <w:color w:val="007FAC"/>
            <w:w w:val="115"/>
            <w:sz w:val="12"/>
          </w:rPr>
          <w:t>et</w:t>
        </w:r>
        <w:r>
          <w:rPr>
            <w:color w:val="007FAC"/>
            <w:spacing w:val="-19"/>
            <w:w w:val="115"/>
            <w:sz w:val="12"/>
          </w:rPr>
          <w:t> </w:t>
        </w:r>
        <w:r>
          <w:rPr>
            <w:color w:val="007FAC"/>
            <w:w w:val="115"/>
            <w:sz w:val="12"/>
          </w:rPr>
          <w:t>al.</w:t>
        </w:r>
        <w:r>
          <w:rPr>
            <w:color w:val="007FAC"/>
            <w:spacing w:val="-17"/>
            <w:w w:val="115"/>
            <w:sz w:val="12"/>
          </w:rPr>
          <w:t> </w:t>
        </w:r>
        <w:r>
          <w:rPr>
            <w:color w:val="007FAC"/>
            <w:w w:val="115"/>
            <w:sz w:val="12"/>
          </w:rPr>
          <w:t>Comparing</w:t>
        </w:r>
        <w:r>
          <w:rPr>
            <w:color w:val="007FAC"/>
            <w:spacing w:val="-18"/>
            <w:w w:val="115"/>
            <w:sz w:val="12"/>
          </w:rPr>
          <w:t> </w:t>
        </w:r>
        <w:r>
          <w:rPr>
            <w:color w:val="007FAC"/>
            <w:w w:val="115"/>
            <w:sz w:val="12"/>
          </w:rPr>
          <w:t>Steri-Strip</w:t>
        </w:r>
        <w:r>
          <w:rPr>
            <w:color w:val="007FAC"/>
            <w:spacing w:val="-18"/>
            <w:w w:val="115"/>
            <w:sz w:val="12"/>
          </w:rPr>
          <w:t> </w:t>
        </w:r>
        <w:r>
          <w:rPr>
            <w:color w:val="007FAC"/>
            <w:w w:val="115"/>
            <w:sz w:val="12"/>
          </w:rPr>
          <w:t>and</w:t>
        </w:r>
        <w:r>
          <w:rPr>
            <w:color w:val="007FAC"/>
            <w:spacing w:val="-18"/>
            <w:w w:val="115"/>
            <w:sz w:val="12"/>
          </w:rPr>
          <w:t> </w:t>
        </w:r>
        <w:r>
          <w:rPr>
            <w:color w:val="007FAC"/>
            <w:w w:val="115"/>
            <w:sz w:val="12"/>
          </w:rPr>
          <w:t>surgical</w:t>
        </w:r>
      </w:hyperlink>
      <w:hyperlink r:id="rId84">
        <w:r>
          <w:rPr>
            <w:color w:val="007FAC"/>
            <w:w w:val="115"/>
            <w:sz w:val="12"/>
          </w:rPr>
          <w:t> staple wound closures after primary total knee arthroplasties. Eur J Orthop</w:t>
        </w:r>
      </w:hyperlink>
      <w:bookmarkStart w:name="_bookmark61" w:id="93"/>
      <w:bookmarkEnd w:id="93"/>
      <w:r>
        <w:rPr>
          <w:color w:val="007FAC"/>
          <w:w w:val="115"/>
          <w:sz w:val="12"/>
        </w:rPr>
      </w:r>
      <w:hyperlink r:id="rId84">
        <w:r>
          <w:rPr>
            <w:color w:val="007FAC"/>
            <w:w w:val="115"/>
            <w:sz w:val="12"/>
          </w:rPr>
          <w:t> Surg Traumatol</w:t>
        </w:r>
        <w:r>
          <w:rPr>
            <w:color w:val="007FAC"/>
            <w:spacing w:val="-15"/>
            <w:w w:val="115"/>
            <w:sz w:val="12"/>
          </w:rPr>
          <w:t> </w:t>
        </w:r>
        <w:r>
          <w:rPr>
            <w:color w:val="007FAC"/>
            <w:w w:val="115"/>
            <w:sz w:val="12"/>
          </w:rPr>
          <w:t>2017;27(1):113</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85">
        <w:r>
          <w:rPr>
            <w:color w:val="007FAC"/>
            <w:w w:val="115"/>
            <w:sz w:val="12"/>
          </w:rPr>
          <w:t>Herndon CL, Coury JR, Sarpong NO, et al. Polyester mesh dressings reduce</w:t>
        </w:r>
      </w:hyperlink>
      <w:hyperlink r:id="rId85">
        <w:r>
          <w:rPr>
            <w:color w:val="007FAC"/>
            <w:w w:val="115"/>
            <w:sz w:val="12"/>
          </w:rPr>
          <w:t> delayed wound healing rates after total hip arthroplasty compared with</w:t>
        </w:r>
      </w:hyperlink>
      <w:bookmarkStart w:name="_bookmark62" w:id="94"/>
      <w:bookmarkEnd w:id="94"/>
      <w:r>
        <w:rPr>
          <w:color w:val="007FAC"/>
          <w:w w:val="115"/>
          <w:sz w:val="12"/>
        </w:rPr>
      </w:r>
      <w:hyperlink r:id="rId85">
        <w:r>
          <w:rPr>
            <w:color w:val="007FAC"/>
            <w:w w:val="115"/>
            <w:sz w:val="12"/>
          </w:rPr>
          <w:t> silver-impregnated occlusive dressings. Arthroplasty Today</w:t>
        </w:r>
        <w:r>
          <w:rPr>
            <w:color w:val="007FAC"/>
            <w:spacing w:val="9"/>
            <w:w w:val="115"/>
            <w:sz w:val="12"/>
          </w:rPr>
          <w:t> </w:t>
        </w:r>
        <w:r>
          <w:rPr>
            <w:color w:val="007FAC"/>
            <w:w w:val="115"/>
            <w:sz w:val="12"/>
          </w:rPr>
          <w:t>2020;6(2):158</w:t>
        </w:r>
      </w:hyperlink>
      <w:r>
        <w:rPr>
          <w:w w:val="115"/>
          <w:sz w:val="12"/>
        </w:rPr>
        <w:t>.</w:t>
      </w:r>
    </w:p>
    <w:p>
      <w:pPr>
        <w:pStyle w:val="ListParagraph"/>
        <w:numPr>
          <w:ilvl w:val="0"/>
          <w:numId w:val="3"/>
        </w:numPr>
        <w:tabs>
          <w:tab w:pos="442" w:val="left" w:leader="none"/>
        </w:tabs>
        <w:spacing w:line="256" w:lineRule="auto" w:before="0" w:after="0"/>
        <w:ind w:left="441" w:right="38" w:hanging="326"/>
        <w:jc w:val="both"/>
        <w:rPr>
          <w:sz w:val="12"/>
        </w:rPr>
      </w:pPr>
      <w:hyperlink r:id="rId86">
        <w:r>
          <w:rPr>
            <w:color w:val="007FAC"/>
            <w:w w:val="115"/>
            <w:sz w:val="12"/>
          </w:rPr>
          <w:t>Yuenyongviwat</w:t>
        </w:r>
        <w:r>
          <w:rPr>
            <w:color w:val="007FAC"/>
            <w:spacing w:val="-16"/>
            <w:w w:val="115"/>
            <w:sz w:val="12"/>
          </w:rPr>
          <w:t> </w:t>
        </w:r>
        <w:r>
          <w:rPr>
            <w:color w:val="007FAC"/>
            <w:w w:val="115"/>
            <w:sz w:val="12"/>
          </w:rPr>
          <w:t>V,</w:t>
        </w:r>
        <w:r>
          <w:rPr>
            <w:color w:val="007FAC"/>
            <w:spacing w:val="-15"/>
            <w:w w:val="115"/>
            <w:sz w:val="12"/>
          </w:rPr>
          <w:t> </w:t>
        </w:r>
        <w:r>
          <w:rPr>
            <w:color w:val="007FAC"/>
            <w:w w:val="115"/>
            <w:sz w:val="12"/>
          </w:rPr>
          <w:t>Iamthanaporn</w:t>
        </w:r>
        <w:r>
          <w:rPr>
            <w:color w:val="007FAC"/>
            <w:spacing w:val="-16"/>
            <w:w w:val="115"/>
            <w:sz w:val="12"/>
          </w:rPr>
          <w:t> </w:t>
        </w:r>
        <w:r>
          <w:rPr>
            <w:color w:val="007FAC"/>
            <w:w w:val="115"/>
            <w:sz w:val="12"/>
          </w:rPr>
          <w:t>K,</w:t>
        </w:r>
        <w:r>
          <w:rPr>
            <w:color w:val="007FAC"/>
            <w:spacing w:val="-15"/>
            <w:w w:val="115"/>
            <w:sz w:val="12"/>
          </w:rPr>
          <w:t> </w:t>
        </w:r>
        <w:r>
          <w:rPr>
            <w:color w:val="007FAC"/>
            <w:w w:val="115"/>
            <w:sz w:val="12"/>
          </w:rPr>
          <w:t>Tuntarattanapong</w:t>
        </w:r>
        <w:r>
          <w:rPr>
            <w:color w:val="007FAC"/>
            <w:spacing w:val="-15"/>
            <w:w w:val="115"/>
            <w:sz w:val="12"/>
          </w:rPr>
          <w:t> </w:t>
        </w:r>
        <w:r>
          <w:rPr>
            <w:color w:val="007FAC"/>
            <w:w w:val="115"/>
            <w:sz w:val="12"/>
          </w:rPr>
          <w:t>P,</w:t>
        </w:r>
        <w:r>
          <w:rPr>
            <w:color w:val="007FAC"/>
            <w:spacing w:val="-16"/>
            <w:w w:val="115"/>
            <w:sz w:val="12"/>
          </w:rPr>
          <w:t> </w:t>
        </w:r>
        <w:r>
          <w:rPr>
            <w:color w:val="007FAC"/>
            <w:w w:val="115"/>
            <w:sz w:val="12"/>
          </w:rPr>
          <w:t>et</w:t>
        </w:r>
        <w:r>
          <w:rPr>
            <w:color w:val="007FAC"/>
            <w:spacing w:val="-16"/>
            <w:w w:val="115"/>
            <w:sz w:val="12"/>
          </w:rPr>
          <w:t> </w:t>
        </w:r>
        <w:r>
          <w:rPr>
            <w:color w:val="007FAC"/>
            <w:w w:val="115"/>
            <w:sz w:val="12"/>
          </w:rPr>
          <w:t>al.</w:t>
        </w:r>
        <w:r>
          <w:rPr>
            <w:color w:val="007FAC"/>
            <w:spacing w:val="-15"/>
            <w:w w:val="115"/>
            <w:sz w:val="12"/>
          </w:rPr>
          <w:t> </w:t>
        </w:r>
        <w:r>
          <w:rPr>
            <w:color w:val="007FAC"/>
            <w:w w:val="115"/>
            <w:sz w:val="12"/>
          </w:rPr>
          <w:t>Adhesive</w:t>
        </w:r>
        <w:r>
          <w:rPr>
            <w:color w:val="007FAC"/>
            <w:spacing w:val="-16"/>
            <w:w w:val="115"/>
            <w:sz w:val="12"/>
          </w:rPr>
          <w:t> </w:t>
        </w:r>
        <w:r>
          <w:rPr>
            <w:color w:val="007FAC"/>
            <w:w w:val="115"/>
            <w:sz w:val="12"/>
          </w:rPr>
          <w:t>strips</w:t>
        </w:r>
      </w:hyperlink>
      <w:hyperlink r:id="rId86">
        <w:r>
          <w:rPr>
            <w:color w:val="007FAC"/>
            <w:w w:val="115"/>
            <w:sz w:val="12"/>
          </w:rPr>
          <w:t> as the sole method for skin closure is effective in total knee arthroplasty.</w:t>
        </w:r>
      </w:hyperlink>
      <w:r>
        <w:rPr>
          <w:color w:val="007FAC"/>
          <w:w w:val="115"/>
          <w:sz w:val="12"/>
        </w:rPr>
        <w:t>       </w:t>
      </w:r>
      <w:hyperlink r:id="rId86">
        <w:r>
          <w:rPr>
            <w:color w:val="007FAC"/>
            <w:w w:val="115"/>
            <w:sz w:val="12"/>
          </w:rPr>
          <w:t> J</w:t>
        </w:r>
        <w:r>
          <w:rPr>
            <w:color w:val="007FAC"/>
            <w:spacing w:val="11"/>
            <w:w w:val="115"/>
            <w:sz w:val="12"/>
          </w:rPr>
          <w:t> </w:t>
        </w:r>
        <w:r>
          <w:rPr>
            <w:color w:val="007FAC"/>
            <w:w w:val="115"/>
            <w:sz w:val="12"/>
          </w:rPr>
          <w:t>Orthop</w:t>
        </w:r>
        <w:r>
          <w:rPr>
            <w:color w:val="007FAC"/>
            <w:spacing w:val="13"/>
            <w:w w:val="115"/>
            <w:sz w:val="12"/>
          </w:rPr>
          <w:t> </w:t>
        </w:r>
        <w:r>
          <w:rPr>
            <w:color w:val="007FAC"/>
            <w:w w:val="115"/>
            <w:sz w:val="12"/>
          </w:rPr>
          <w:t>Surg</w:t>
        </w:r>
        <w:r>
          <w:rPr>
            <w:color w:val="007FAC"/>
            <w:spacing w:val="12"/>
            <w:w w:val="115"/>
            <w:sz w:val="12"/>
          </w:rPr>
          <w:t> </w:t>
        </w:r>
        <w:r>
          <w:rPr>
            <w:color w:val="007FAC"/>
            <w:w w:val="115"/>
            <w:sz w:val="12"/>
          </w:rPr>
          <w:t>(Hong</w:t>
        </w:r>
        <w:r>
          <w:rPr>
            <w:color w:val="007FAC"/>
            <w:spacing w:val="13"/>
            <w:w w:val="115"/>
            <w:sz w:val="12"/>
          </w:rPr>
          <w:t> </w:t>
        </w:r>
        <w:r>
          <w:rPr>
            <w:color w:val="007FAC"/>
            <w:w w:val="115"/>
            <w:sz w:val="12"/>
          </w:rPr>
          <w:t>Kong)</w:t>
        </w:r>
        <w:r>
          <w:rPr>
            <w:color w:val="007FAC"/>
            <w:spacing w:val="11"/>
            <w:w w:val="115"/>
            <w:sz w:val="12"/>
          </w:rPr>
          <w:t> </w:t>
        </w:r>
        <w:r>
          <w:rPr>
            <w:color w:val="007FAC"/>
            <w:w w:val="115"/>
            <w:sz w:val="12"/>
          </w:rPr>
          <w:t>2019;27(3).</w:t>
        </w:r>
        <w:r>
          <w:rPr>
            <w:color w:val="007FAC"/>
            <w:spacing w:val="13"/>
            <w:w w:val="115"/>
            <w:sz w:val="12"/>
          </w:rPr>
          <w:t> </w:t>
        </w:r>
        <w:r>
          <w:rPr>
            <w:color w:val="007FAC"/>
            <w:w w:val="115"/>
            <w:sz w:val="12"/>
          </w:rPr>
          <w:t>2309499019873983</w:t>
        </w:r>
      </w:hyperlink>
      <w:r>
        <w:rPr>
          <w:w w:val="115"/>
          <w:sz w:val="12"/>
        </w:rPr>
        <w:t>.</w:t>
      </w:r>
    </w:p>
    <w:p>
      <w:pPr>
        <w:pStyle w:val="ListParagraph"/>
        <w:numPr>
          <w:ilvl w:val="0"/>
          <w:numId w:val="3"/>
        </w:numPr>
        <w:tabs>
          <w:tab w:pos="442" w:val="left" w:leader="none"/>
        </w:tabs>
        <w:spacing w:line="256" w:lineRule="auto" w:before="110" w:after="0"/>
        <w:ind w:left="441" w:right="305" w:hanging="326"/>
        <w:jc w:val="both"/>
        <w:rPr>
          <w:sz w:val="12"/>
        </w:rPr>
      </w:pPr>
      <w:bookmarkStart w:name="_bookmark64" w:id="95"/>
      <w:bookmarkEnd w:id="95"/>
      <w:r>
        <w:rPr/>
      </w:r>
      <w:hyperlink r:id="rId87">
        <w:bookmarkStart w:name="_bookmark64" w:id="96"/>
        <w:bookmarkEnd w:id="96"/>
        <w:r>
          <w:rPr>
            <w:color w:val="007FAC"/>
            <w:w w:val="102"/>
            <w:sz w:val="12"/>
          </w:rPr>
          <w:br w:type="column"/>
        </w:r>
        <w:r>
          <w:rPr>
            <w:color w:val="007FAC"/>
            <w:w w:val="110"/>
            <w:sz w:val="12"/>
          </w:rPr>
          <w:t>Anderson</w:t>
        </w:r>
        <w:r>
          <w:rPr>
            <w:color w:val="007FAC"/>
            <w:spacing w:val="-18"/>
            <w:w w:val="110"/>
            <w:sz w:val="12"/>
          </w:rPr>
          <w:t> </w:t>
        </w:r>
        <w:r>
          <w:rPr>
            <w:color w:val="007FAC"/>
            <w:w w:val="110"/>
            <w:sz w:val="12"/>
          </w:rPr>
          <w:t>FL,</w:t>
        </w:r>
        <w:r>
          <w:rPr>
            <w:color w:val="007FAC"/>
            <w:spacing w:val="-16"/>
            <w:w w:val="110"/>
            <w:sz w:val="12"/>
          </w:rPr>
          <w:t> </w:t>
        </w:r>
        <w:r>
          <w:rPr>
            <w:color w:val="007FAC"/>
            <w:w w:val="110"/>
            <w:sz w:val="12"/>
          </w:rPr>
          <w:t>Herndon</w:t>
        </w:r>
        <w:r>
          <w:rPr>
            <w:color w:val="007FAC"/>
            <w:spacing w:val="-16"/>
            <w:w w:val="110"/>
            <w:sz w:val="12"/>
          </w:rPr>
          <w:t> </w:t>
        </w:r>
        <w:r>
          <w:rPr>
            <w:color w:val="007FAC"/>
            <w:w w:val="110"/>
            <w:sz w:val="12"/>
          </w:rPr>
          <w:t>CL,</w:t>
        </w:r>
        <w:r>
          <w:rPr>
            <w:color w:val="007FAC"/>
            <w:spacing w:val="-16"/>
            <w:w w:val="110"/>
            <w:sz w:val="12"/>
          </w:rPr>
          <w:t> </w:t>
        </w:r>
        <w:r>
          <w:rPr>
            <w:color w:val="007FAC"/>
            <w:w w:val="110"/>
            <w:sz w:val="12"/>
          </w:rPr>
          <w:t>Lakra</w:t>
        </w:r>
        <w:r>
          <w:rPr>
            <w:color w:val="007FAC"/>
            <w:spacing w:val="-18"/>
            <w:w w:val="110"/>
            <w:sz w:val="12"/>
          </w:rPr>
          <w:t> </w:t>
        </w:r>
        <w:r>
          <w:rPr>
            <w:color w:val="007FAC"/>
            <w:w w:val="110"/>
            <w:sz w:val="12"/>
          </w:rPr>
          <w:t>A,</w:t>
        </w:r>
        <w:r>
          <w:rPr>
            <w:color w:val="007FAC"/>
            <w:spacing w:val="-17"/>
            <w:w w:val="110"/>
            <w:sz w:val="12"/>
          </w:rPr>
          <w:t> </w:t>
        </w:r>
        <w:r>
          <w:rPr>
            <w:color w:val="007FAC"/>
            <w:w w:val="110"/>
            <w:sz w:val="12"/>
          </w:rPr>
          <w:t>et</w:t>
        </w:r>
        <w:r>
          <w:rPr>
            <w:color w:val="007FAC"/>
            <w:spacing w:val="-18"/>
            <w:w w:val="110"/>
            <w:sz w:val="12"/>
          </w:rPr>
          <w:t> </w:t>
        </w:r>
        <w:r>
          <w:rPr>
            <w:color w:val="007FAC"/>
            <w:w w:val="110"/>
            <w:sz w:val="12"/>
          </w:rPr>
          <w:t>al.</w:t>
        </w:r>
        <w:r>
          <w:rPr>
            <w:color w:val="007FAC"/>
            <w:spacing w:val="-16"/>
            <w:w w:val="110"/>
            <w:sz w:val="12"/>
          </w:rPr>
          <w:t> </w:t>
        </w:r>
        <w:r>
          <w:rPr>
            <w:color w:val="007FAC"/>
            <w:w w:val="110"/>
            <w:sz w:val="12"/>
          </w:rPr>
          <w:t>Polyester</w:t>
        </w:r>
        <w:r>
          <w:rPr>
            <w:color w:val="007FAC"/>
            <w:spacing w:val="-16"/>
            <w:w w:val="110"/>
            <w:sz w:val="12"/>
          </w:rPr>
          <w:t> </w:t>
        </w:r>
        <w:r>
          <w:rPr>
            <w:color w:val="007FAC"/>
            <w:w w:val="110"/>
            <w:sz w:val="12"/>
          </w:rPr>
          <w:t>mesh</w:t>
        </w:r>
        <w:r>
          <w:rPr>
            <w:color w:val="007FAC"/>
            <w:spacing w:val="-18"/>
            <w:w w:val="110"/>
            <w:sz w:val="12"/>
          </w:rPr>
          <w:t> </w:t>
        </w:r>
        <w:r>
          <w:rPr>
            <w:color w:val="007FAC"/>
            <w:w w:val="110"/>
            <w:sz w:val="12"/>
          </w:rPr>
          <w:t>dressings</w:t>
        </w:r>
        <w:r>
          <w:rPr>
            <w:color w:val="007FAC"/>
            <w:spacing w:val="-18"/>
            <w:w w:val="110"/>
            <w:sz w:val="12"/>
          </w:rPr>
          <w:t> </w:t>
        </w:r>
        <w:r>
          <w:rPr>
            <w:color w:val="007FAC"/>
            <w:w w:val="110"/>
            <w:sz w:val="12"/>
          </w:rPr>
          <w:t>reduce</w:t>
        </w:r>
        <w:r>
          <w:rPr>
            <w:color w:val="007FAC"/>
            <w:spacing w:val="-17"/>
            <w:w w:val="110"/>
            <w:sz w:val="12"/>
          </w:rPr>
          <w:t> </w:t>
        </w:r>
        <w:r>
          <w:rPr>
            <w:color w:val="007FAC"/>
            <w:w w:val="110"/>
            <w:sz w:val="12"/>
          </w:rPr>
          <w:t>delayed</w:t>
        </w:r>
      </w:hyperlink>
      <w:hyperlink r:id="rId87">
        <w:r>
          <w:rPr>
            <w:color w:val="007FAC"/>
            <w:w w:val="110"/>
            <w:sz w:val="12"/>
          </w:rPr>
          <w:t> </w:t>
        </w:r>
        <w:r>
          <w:rPr>
            <w:color w:val="007FAC"/>
            <w:w w:val="115"/>
            <w:sz w:val="12"/>
          </w:rPr>
          <w:t>wound</w:t>
        </w:r>
        <w:r>
          <w:rPr>
            <w:color w:val="007FAC"/>
            <w:spacing w:val="-11"/>
            <w:w w:val="115"/>
            <w:sz w:val="12"/>
          </w:rPr>
          <w:t> </w:t>
        </w:r>
        <w:r>
          <w:rPr>
            <w:color w:val="007FAC"/>
            <w:w w:val="115"/>
            <w:sz w:val="12"/>
          </w:rPr>
          <w:t>healing</w:t>
        </w:r>
        <w:r>
          <w:rPr>
            <w:color w:val="007FAC"/>
            <w:spacing w:val="-10"/>
            <w:w w:val="115"/>
            <w:sz w:val="12"/>
          </w:rPr>
          <w:t> </w:t>
        </w:r>
        <w:r>
          <w:rPr>
            <w:color w:val="007FAC"/>
            <w:w w:val="115"/>
            <w:sz w:val="12"/>
          </w:rPr>
          <w:t>and</w:t>
        </w:r>
        <w:r>
          <w:rPr>
            <w:color w:val="007FAC"/>
            <w:spacing w:val="-10"/>
            <w:w w:val="115"/>
            <w:sz w:val="12"/>
          </w:rPr>
          <w:t> </w:t>
        </w:r>
        <w:r>
          <w:rPr>
            <w:color w:val="007FAC"/>
            <w:w w:val="115"/>
            <w:sz w:val="12"/>
          </w:rPr>
          <w:t>reoperations</w:t>
        </w:r>
        <w:r>
          <w:rPr>
            <w:color w:val="007FAC"/>
            <w:spacing w:val="-11"/>
            <w:w w:val="115"/>
            <w:sz w:val="12"/>
          </w:rPr>
          <w:t> </w:t>
        </w:r>
        <w:r>
          <w:rPr>
            <w:color w:val="007FAC"/>
            <w:w w:val="115"/>
            <w:sz w:val="12"/>
          </w:rPr>
          <w:t>compared</w:t>
        </w:r>
        <w:r>
          <w:rPr>
            <w:color w:val="007FAC"/>
            <w:spacing w:val="-10"/>
            <w:w w:val="115"/>
            <w:sz w:val="12"/>
          </w:rPr>
          <w:t> </w:t>
        </w:r>
        <w:r>
          <w:rPr>
            <w:color w:val="007FAC"/>
            <w:w w:val="115"/>
            <w:sz w:val="12"/>
          </w:rPr>
          <w:t>with</w:t>
        </w:r>
        <w:r>
          <w:rPr>
            <w:color w:val="007FAC"/>
            <w:spacing w:val="-10"/>
            <w:w w:val="115"/>
            <w:sz w:val="12"/>
          </w:rPr>
          <w:t> </w:t>
        </w:r>
        <w:r>
          <w:rPr>
            <w:color w:val="007FAC"/>
            <w:w w:val="115"/>
            <w:sz w:val="12"/>
          </w:rPr>
          <w:t>silver-impregnated</w:t>
        </w:r>
        <w:r>
          <w:rPr>
            <w:color w:val="007FAC"/>
            <w:spacing w:val="-11"/>
            <w:w w:val="115"/>
            <w:sz w:val="12"/>
          </w:rPr>
          <w:t> </w:t>
        </w:r>
        <w:r>
          <w:rPr>
            <w:color w:val="007FAC"/>
            <w:w w:val="115"/>
            <w:sz w:val="12"/>
          </w:rPr>
          <w:t>occlusive</w:t>
        </w:r>
      </w:hyperlink>
      <w:bookmarkStart w:name="_bookmark63" w:id="97"/>
      <w:bookmarkEnd w:id="97"/>
      <w:r>
        <w:rPr>
          <w:color w:val="007FAC"/>
          <w:w w:val="115"/>
          <w:sz w:val="12"/>
        </w:rPr>
      </w:r>
      <w:hyperlink r:id="rId87">
        <w:r>
          <w:rPr>
            <w:color w:val="007FAC"/>
            <w:w w:val="115"/>
            <w:sz w:val="12"/>
          </w:rPr>
          <w:t> dressings</w:t>
        </w:r>
        <w:r>
          <w:rPr>
            <w:color w:val="007FAC"/>
            <w:spacing w:val="-5"/>
            <w:w w:val="115"/>
            <w:sz w:val="12"/>
          </w:rPr>
          <w:t> </w:t>
        </w:r>
        <w:r>
          <w:rPr>
            <w:color w:val="007FAC"/>
            <w:w w:val="115"/>
            <w:sz w:val="12"/>
          </w:rPr>
          <w:t>after</w:t>
        </w:r>
        <w:r>
          <w:rPr>
            <w:color w:val="007FAC"/>
            <w:spacing w:val="-6"/>
            <w:w w:val="115"/>
            <w:sz w:val="12"/>
          </w:rPr>
          <w:t> </w:t>
        </w:r>
        <w:r>
          <w:rPr>
            <w:color w:val="007FAC"/>
            <w:w w:val="115"/>
            <w:sz w:val="12"/>
          </w:rPr>
          <w:t>knee</w:t>
        </w:r>
        <w:r>
          <w:rPr>
            <w:color w:val="007FAC"/>
            <w:spacing w:val="-7"/>
            <w:w w:val="115"/>
            <w:sz w:val="12"/>
          </w:rPr>
          <w:t> </w:t>
        </w:r>
        <w:r>
          <w:rPr>
            <w:color w:val="007FAC"/>
            <w:w w:val="115"/>
            <w:sz w:val="12"/>
          </w:rPr>
          <w:t>arthroplasty.</w:t>
        </w:r>
        <w:r>
          <w:rPr>
            <w:color w:val="007FAC"/>
            <w:spacing w:val="-5"/>
            <w:w w:val="115"/>
            <w:sz w:val="12"/>
          </w:rPr>
          <w:t> </w:t>
        </w:r>
        <w:r>
          <w:rPr>
            <w:color w:val="007FAC"/>
            <w:w w:val="115"/>
            <w:sz w:val="12"/>
          </w:rPr>
          <w:t>Arthroplasty</w:t>
        </w:r>
        <w:r>
          <w:rPr>
            <w:color w:val="007FAC"/>
            <w:spacing w:val="-7"/>
            <w:w w:val="115"/>
            <w:sz w:val="12"/>
          </w:rPr>
          <w:t> </w:t>
        </w:r>
        <w:r>
          <w:rPr>
            <w:color w:val="007FAC"/>
            <w:w w:val="115"/>
            <w:sz w:val="12"/>
          </w:rPr>
          <w:t>Today</w:t>
        </w:r>
        <w:r>
          <w:rPr>
            <w:color w:val="007FAC"/>
            <w:spacing w:val="-6"/>
            <w:w w:val="115"/>
            <w:sz w:val="12"/>
          </w:rPr>
          <w:t> </w:t>
        </w:r>
        <w:r>
          <w:rPr>
            <w:color w:val="007FAC"/>
            <w:w w:val="115"/>
            <w:sz w:val="12"/>
          </w:rPr>
          <w:t>2020;6(3):350</w:t>
        </w:r>
      </w:hyperlink>
      <w:r>
        <w:rPr>
          <w:w w:val="115"/>
          <w:sz w:val="12"/>
        </w:rPr>
        <w:t>.</w:t>
      </w:r>
    </w:p>
    <w:p>
      <w:pPr>
        <w:pStyle w:val="ListParagraph"/>
        <w:numPr>
          <w:ilvl w:val="0"/>
          <w:numId w:val="3"/>
        </w:numPr>
        <w:tabs>
          <w:tab w:pos="442" w:val="left" w:leader="none"/>
        </w:tabs>
        <w:spacing w:line="256" w:lineRule="auto" w:before="0" w:after="0"/>
        <w:ind w:left="441" w:right="306" w:hanging="326"/>
        <w:jc w:val="both"/>
        <w:rPr>
          <w:sz w:val="12"/>
        </w:rPr>
      </w:pPr>
      <w:hyperlink r:id="rId88">
        <w:r>
          <w:rPr>
            <w:color w:val="007FAC"/>
            <w:w w:val="115"/>
            <w:sz w:val="12"/>
          </w:rPr>
          <w:t>Newman JT, Morgan SJ, Resende GV, et al. Modality of wound closure after</w:t>
        </w:r>
      </w:hyperlink>
      <w:hyperlink r:id="rId88">
        <w:r>
          <w:rPr>
            <w:color w:val="007FAC"/>
            <w:w w:val="115"/>
            <w:sz w:val="12"/>
          </w:rPr>
          <w:t> total</w:t>
        </w:r>
        <w:r>
          <w:rPr>
            <w:color w:val="007FAC"/>
            <w:spacing w:val="-6"/>
            <w:w w:val="115"/>
            <w:sz w:val="12"/>
          </w:rPr>
          <w:t> </w:t>
        </w:r>
        <w:r>
          <w:rPr>
            <w:color w:val="007FAC"/>
            <w:w w:val="115"/>
            <w:sz w:val="12"/>
          </w:rPr>
          <w:t>knee</w:t>
        </w:r>
        <w:r>
          <w:rPr>
            <w:color w:val="007FAC"/>
            <w:spacing w:val="-5"/>
            <w:w w:val="115"/>
            <w:sz w:val="12"/>
          </w:rPr>
          <w:t> </w:t>
        </w:r>
        <w:r>
          <w:rPr>
            <w:color w:val="007FAC"/>
            <w:w w:val="115"/>
            <w:sz w:val="12"/>
          </w:rPr>
          <w:t>replacement:</w:t>
        </w:r>
        <w:r>
          <w:rPr>
            <w:color w:val="007FAC"/>
            <w:spacing w:val="-5"/>
            <w:w w:val="115"/>
            <w:sz w:val="12"/>
          </w:rPr>
          <w:t> </w:t>
        </w:r>
        <w:r>
          <w:rPr>
            <w:color w:val="007FAC"/>
            <w:w w:val="115"/>
            <w:sz w:val="12"/>
          </w:rPr>
          <w:t>are</w:t>
        </w:r>
        <w:r>
          <w:rPr>
            <w:color w:val="007FAC"/>
            <w:spacing w:val="-6"/>
            <w:w w:val="115"/>
            <w:sz w:val="12"/>
          </w:rPr>
          <w:t> </w:t>
        </w:r>
        <w:r>
          <w:rPr>
            <w:color w:val="007FAC"/>
            <w:w w:val="115"/>
            <w:sz w:val="12"/>
          </w:rPr>
          <w:t>staples</w:t>
        </w:r>
        <w:r>
          <w:rPr>
            <w:color w:val="007FAC"/>
            <w:spacing w:val="-4"/>
            <w:w w:val="115"/>
            <w:sz w:val="12"/>
          </w:rPr>
          <w:t> </w:t>
        </w:r>
        <w:r>
          <w:rPr>
            <w:color w:val="007FAC"/>
            <w:w w:val="115"/>
            <w:sz w:val="12"/>
          </w:rPr>
          <w:t>as</w:t>
        </w:r>
        <w:r>
          <w:rPr>
            <w:color w:val="007FAC"/>
            <w:spacing w:val="-6"/>
            <w:w w:val="115"/>
            <w:sz w:val="12"/>
          </w:rPr>
          <w:t> </w:t>
        </w:r>
        <w:r>
          <w:rPr>
            <w:color w:val="007FAC"/>
            <w:w w:val="115"/>
            <w:sz w:val="12"/>
          </w:rPr>
          <w:t>safe</w:t>
        </w:r>
        <w:r>
          <w:rPr>
            <w:color w:val="007FAC"/>
            <w:spacing w:val="-5"/>
            <w:w w:val="115"/>
            <w:sz w:val="12"/>
          </w:rPr>
          <w:t> </w:t>
        </w:r>
        <w:r>
          <w:rPr>
            <w:color w:val="007FAC"/>
            <w:w w:val="115"/>
            <w:sz w:val="12"/>
          </w:rPr>
          <w:t>as</w:t>
        </w:r>
        <w:r>
          <w:rPr>
            <w:color w:val="007FAC"/>
            <w:spacing w:val="-4"/>
            <w:w w:val="115"/>
            <w:sz w:val="12"/>
          </w:rPr>
          <w:t> </w:t>
        </w:r>
        <w:r>
          <w:rPr>
            <w:color w:val="007FAC"/>
            <w:w w:val="115"/>
            <w:sz w:val="12"/>
          </w:rPr>
          <w:t>sutures?</w:t>
        </w:r>
        <w:r>
          <w:rPr>
            <w:color w:val="007FAC"/>
            <w:spacing w:val="-5"/>
            <w:w w:val="115"/>
            <w:sz w:val="12"/>
          </w:rPr>
          <w:t> </w:t>
        </w:r>
        <w:r>
          <w:rPr>
            <w:color w:val="007FAC"/>
            <w:w w:val="115"/>
            <w:sz w:val="12"/>
          </w:rPr>
          <w:t>A</w:t>
        </w:r>
        <w:r>
          <w:rPr>
            <w:color w:val="007FAC"/>
            <w:spacing w:val="-6"/>
            <w:w w:val="115"/>
            <w:sz w:val="12"/>
          </w:rPr>
          <w:t> </w:t>
        </w:r>
        <w:r>
          <w:rPr>
            <w:color w:val="007FAC"/>
            <w:w w:val="115"/>
            <w:sz w:val="12"/>
          </w:rPr>
          <w:t>retrospective</w:t>
        </w:r>
        <w:r>
          <w:rPr>
            <w:color w:val="007FAC"/>
            <w:spacing w:val="-5"/>
            <w:w w:val="115"/>
            <w:sz w:val="12"/>
          </w:rPr>
          <w:t> </w:t>
        </w:r>
        <w:r>
          <w:rPr>
            <w:color w:val="007FAC"/>
            <w:w w:val="115"/>
            <w:sz w:val="12"/>
          </w:rPr>
          <w:t>study</w:t>
        </w:r>
        <w:r>
          <w:rPr>
            <w:color w:val="007FAC"/>
            <w:spacing w:val="-6"/>
            <w:w w:val="115"/>
            <w:sz w:val="12"/>
          </w:rPr>
          <w:t> </w:t>
        </w:r>
        <w:r>
          <w:rPr>
            <w:color w:val="007FAC"/>
            <w:w w:val="115"/>
            <w:sz w:val="12"/>
          </w:rPr>
          <w:t>of</w:t>
        </w:r>
      </w:hyperlink>
      <w:bookmarkStart w:name="_bookmark65" w:id="98"/>
      <w:bookmarkEnd w:id="98"/>
      <w:r>
        <w:rPr>
          <w:color w:val="007FAC"/>
          <w:w w:val="115"/>
          <w:sz w:val="12"/>
        </w:rPr>
      </w:r>
      <w:hyperlink r:id="rId88">
        <w:r>
          <w:rPr>
            <w:color w:val="007FAC"/>
            <w:w w:val="115"/>
            <w:sz w:val="12"/>
          </w:rPr>
          <w:t> 181 patients. Patient Saf Surg</w:t>
        </w:r>
        <w:r>
          <w:rPr>
            <w:color w:val="007FAC"/>
            <w:spacing w:val="19"/>
            <w:w w:val="115"/>
            <w:sz w:val="12"/>
          </w:rPr>
          <w:t> </w:t>
        </w:r>
        <w:r>
          <w:rPr>
            <w:color w:val="007FAC"/>
            <w:w w:val="115"/>
            <w:sz w:val="12"/>
          </w:rPr>
          <w:t>2011;5(1):26</w:t>
        </w:r>
      </w:hyperlink>
      <w:r>
        <w:rPr>
          <w:w w:val="115"/>
          <w:sz w:val="12"/>
        </w:rPr>
        <w:t>.</w:t>
      </w:r>
    </w:p>
    <w:p>
      <w:pPr>
        <w:pStyle w:val="ListParagraph"/>
        <w:numPr>
          <w:ilvl w:val="0"/>
          <w:numId w:val="3"/>
        </w:numPr>
        <w:tabs>
          <w:tab w:pos="442" w:val="left" w:leader="none"/>
        </w:tabs>
        <w:spacing w:line="256" w:lineRule="auto" w:before="0" w:after="0"/>
        <w:ind w:left="441" w:right="306" w:hanging="326"/>
        <w:jc w:val="both"/>
        <w:rPr>
          <w:sz w:val="12"/>
        </w:rPr>
      </w:pPr>
      <w:hyperlink r:id="rId89">
        <w:r>
          <w:rPr>
            <w:color w:val="007FAC"/>
            <w:w w:val="110"/>
            <w:sz w:val="12"/>
          </w:rPr>
          <w:t>Akdogan M, Atilla HA. Comparison of the aquacel ag surgical dressing vs</w:t>
        </w:r>
      </w:hyperlink>
      <w:hyperlink r:id="rId89">
        <w:r>
          <w:rPr>
            <w:color w:val="007FAC"/>
            <w:w w:val="110"/>
            <w:sz w:val="12"/>
          </w:rPr>
          <w:t> standard dressing in the treatment of the wound site infection and patient</w:t>
        </w:r>
      </w:hyperlink>
      <w:bookmarkStart w:name="_bookmark66" w:id="99"/>
      <w:bookmarkEnd w:id="99"/>
      <w:r>
        <w:rPr>
          <w:color w:val="007FAC"/>
          <w:w w:val="110"/>
          <w:sz w:val="12"/>
        </w:rPr>
      </w:r>
      <w:hyperlink r:id="rId89">
        <w:r>
          <w:rPr>
            <w:color w:val="007FAC"/>
            <w:w w:val="110"/>
            <w:sz w:val="12"/>
          </w:rPr>
          <w:t> comfort</w:t>
        </w:r>
        <w:r>
          <w:rPr>
            <w:color w:val="007FAC"/>
            <w:spacing w:val="18"/>
            <w:w w:val="110"/>
            <w:sz w:val="12"/>
          </w:rPr>
          <w:t> </w:t>
        </w:r>
        <w:r>
          <w:rPr>
            <w:color w:val="007FAC"/>
            <w:w w:val="110"/>
            <w:sz w:val="12"/>
          </w:rPr>
          <w:t>in</w:t>
        </w:r>
        <w:r>
          <w:rPr>
            <w:color w:val="007FAC"/>
            <w:spacing w:val="19"/>
            <w:w w:val="110"/>
            <w:sz w:val="12"/>
          </w:rPr>
          <w:t> </w:t>
        </w:r>
        <w:r>
          <w:rPr>
            <w:color w:val="007FAC"/>
            <w:w w:val="110"/>
            <w:sz w:val="12"/>
          </w:rPr>
          <w:t>total</w:t>
        </w:r>
        <w:r>
          <w:rPr>
            <w:color w:val="007FAC"/>
            <w:spacing w:val="17"/>
            <w:w w:val="110"/>
            <w:sz w:val="12"/>
          </w:rPr>
          <w:t> </w:t>
        </w:r>
        <w:r>
          <w:rPr>
            <w:color w:val="007FAC"/>
            <w:w w:val="110"/>
            <w:sz w:val="12"/>
          </w:rPr>
          <w:t>knee</w:t>
        </w:r>
        <w:r>
          <w:rPr>
            <w:color w:val="007FAC"/>
            <w:spacing w:val="19"/>
            <w:w w:val="110"/>
            <w:sz w:val="12"/>
          </w:rPr>
          <w:t> </w:t>
        </w:r>
        <w:r>
          <w:rPr>
            <w:color w:val="007FAC"/>
            <w:w w:val="110"/>
            <w:sz w:val="12"/>
          </w:rPr>
          <w:t>arthroplasty.</w:t>
        </w:r>
        <w:r>
          <w:rPr>
            <w:color w:val="007FAC"/>
            <w:spacing w:val="19"/>
            <w:w w:val="110"/>
            <w:sz w:val="12"/>
          </w:rPr>
          <w:t> </w:t>
        </w:r>
        <w:r>
          <w:rPr>
            <w:color w:val="007FAC"/>
            <w:w w:val="110"/>
            <w:sz w:val="12"/>
          </w:rPr>
          <w:t>Erciyes</w:t>
        </w:r>
        <w:r>
          <w:rPr>
            <w:color w:val="007FAC"/>
            <w:spacing w:val="17"/>
            <w:w w:val="110"/>
            <w:sz w:val="12"/>
          </w:rPr>
          <w:t> </w:t>
        </w:r>
        <w:r>
          <w:rPr>
            <w:color w:val="007FAC"/>
            <w:w w:val="110"/>
            <w:sz w:val="12"/>
          </w:rPr>
          <w:t>Med</w:t>
        </w:r>
        <w:r>
          <w:rPr>
            <w:color w:val="007FAC"/>
            <w:spacing w:val="19"/>
            <w:w w:val="110"/>
            <w:sz w:val="12"/>
          </w:rPr>
          <w:t> </w:t>
        </w:r>
        <w:r>
          <w:rPr>
            <w:color w:val="007FAC"/>
            <w:w w:val="110"/>
            <w:sz w:val="12"/>
          </w:rPr>
          <w:t>J</w:t>
        </w:r>
        <w:r>
          <w:rPr>
            <w:color w:val="007FAC"/>
            <w:spacing w:val="17"/>
            <w:w w:val="110"/>
            <w:sz w:val="12"/>
          </w:rPr>
          <w:t> </w:t>
        </w:r>
        <w:r>
          <w:rPr>
            <w:color w:val="007FAC"/>
            <w:w w:val="110"/>
            <w:sz w:val="12"/>
          </w:rPr>
          <w:t>2020;42(1):93</w:t>
        </w:r>
      </w:hyperlink>
      <w:r>
        <w:rPr>
          <w:w w:val="110"/>
          <w:sz w:val="12"/>
        </w:rPr>
        <w:t>.</w:t>
      </w:r>
    </w:p>
    <w:p>
      <w:pPr>
        <w:pStyle w:val="ListParagraph"/>
        <w:numPr>
          <w:ilvl w:val="0"/>
          <w:numId w:val="3"/>
        </w:numPr>
        <w:tabs>
          <w:tab w:pos="442" w:val="left" w:leader="none"/>
        </w:tabs>
        <w:spacing w:line="256" w:lineRule="auto" w:before="0" w:after="0"/>
        <w:ind w:left="441" w:right="306" w:hanging="326"/>
        <w:jc w:val="both"/>
        <w:rPr>
          <w:sz w:val="12"/>
        </w:rPr>
      </w:pPr>
      <w:hyperlink r:id="rId90">
        <w:r>
          <w:rPr>
            <w:color w:val="007FAC"/>
            <w:w w:val="115"/>
            <w:sz w:val="12"/>
          </w:rPr>
          <w:t>Patel H, Khoury H, Girgenti D, Welner S, Yu H. Burden of surgical site in-</w:t>
        </w:r>
      </w:hyperlink>
      <w:hyperlink r:id="rId90">
        <w:r>
          <w:rPr>
            <w:color w:val="007FAC"/>
            <w:w w:val="115"/>
            <w:sz w:val="12"/>
          </w:rPr>
          <w:t> fections associated with arthroplasty and the contribution of Staphylococcus</w:t>
        </w:r>
      </w:hyperlink>
      <w:hyperlink r:id="rId90">
        <w:r>
          <w:rPr>
            <w:color w:val="007FAC"/>
            <w:w w:val="115"/>
            <w:sz w:val="12"/>
          </w:rPr>
          <w:t> aureus. Surg Infect (Larchmt)</w:t>
        </w:r>
        <w:r>
          <w:rPr>
            <w:color w:val="007FAC"/>
            <w:spacing w:val="5"/>
            <w:w w:val="115"/>
            <w:sz w:val="12"/>
          </w:rPr>
          <w:t> </w:t>
        </w:r>
        <w:r>
          <w:rPr>
            <w:color w:val="007FAC"/>
            <w:w w:val="115"/>
            <w:sz w:val="12"/>
          </w:rPr>
          <w:t>2016;17(1):78</w:t>
        </w:r>
      </w:hyperlink>
      <w:r>
        <w:rPr>
          <w:w w:val="115"/>
          <w:sz w:val="12"/>
        </w:rPr>
        <w:t>.</w:t>
      </w:r>
    </w:p>
    <w:p>
      <w:pPr>
        <w:pStyle w:val="ListParagraph"/>
        <w:numPr>
          <w:ilvl w:val="0"/>
          <w:numId w:val="3"/>
        </w:numPr>
        <w:tabs>
          <w:tab w:pos="442" w:val="left" w:leader="none"/>
        </w:tabs>
        <w:spacing w:line="256" w:lineRule="auto" w:before="0" w:after="0"/>
        <w:ind w:left="441" w:right="306" w:hanging="326"/>
        <w:jc w:val="both"/>
        <w:rPr>
          <w:sz w:val="12"/>
        </w:rPr>
      </w:pPr>
      <w:bookmarkStart w:name="_bookmark67" w:id="100"/>
      <w:bookmarkEnd w:id="100"/>
      <w:r>
        <w:rPr/>
      </w:r>
      <w:hyperlink r:id="rId91">
        <w:bookmarkStart w:name="_bookmark67" w:id="101"/>
        <w:bookmarkEnd w:id="101"/>
        <w:r>
          <w:rPr>
            <w:color w:val="007FAC"/>
            <w:w w:val="110"/>
            <w:sz w:val="12"/>
          </w:rPr>
          <w:t>Wagenaar</w:t>
        </w:r>
        <w:r>
          <w:rPr>
            <w:color w:val="007FAC"/>
            <w:w w:val="110"/>
            <w:sz w:val="12"/>
          </w:rPr>
          <w:t> FBM, Lowik CAM, Zahar A, et al. Persistent wound drainage after</w:t>
        </w:r>
      </w:hyperlink>
      <w:hyperlink r:id="rId91">
        <w:r>
          <w:rPr>
            <w:color w:val="007FAC"/>
            <w:w w:val="110"/>
            <w:sz w:val="12"/>
          </w:rPr>
          <w:t> total joint arthroplasty: a narrative review. J Arthroplasty</w:t>
        </w:r>
        <w:r>
          <w:rPr>
            <w:color w:val="007FAC"/>
            <w:spacing w:val="13"/>
            <w:w w:val="110"/>
            <w:sz w:val="12"/>
          </w:rPr>
          <w:t> </w:t>
        </w:r>
        <w:r>
          <w:rPr>
            <w:color w:val="007FAC"/>
            <w:w w:val="110"/>
            <w:sz w:val="12"/>
          </w:rPr>
          <w:t>2019;34(1):175</w:t>
        </w:r>
      </w:hyperlink>
      <w:r>
        <w:rPr>
          <w:w w:val="110"/>
          <w:sz w:val="12"/>
        </w:rPr>
        <w:t>.</w:t>
      </w:r>
    </w:p>
    <w:p>
      <w:pPr>
        <w:pStyle w:val="ListParagraph"/>
        <w:numPr>
          <w:ilvl w:val="0"/>
          <w:numId w:val="3"/>
        </w:numPr>
        <w:tabs>
          <w:tab w:pos="442" w:val="left" w:leader="none"/>
        </w:tabs>
        <w:spacing w:line="256" w:lineRule="auto" w:before="0" w:after="0"/>
        <w:ind w:left="441" w:right="306" w:hanging="326"/>
        <w:jc w:val="both"/>
        <w:rPr>
          <w:sz w:val="12"/>
        </w:rPr>
      </w:pPr>
      <w:bookmarkStart w:name="_bookmark68" w:id="102"/>
      <w:bookmarkEnd w:id="102"/>
      <w:r>
        <w:rPr/>
      </w:r>
      <w:hyperlink r:id="rId92">
        <w:bookmarkStart w:name="_bookmark68" w:id="103"/>
        <w:bookmarkEnd w:id="103"/>
        <w:r>
          <w:rPr>
            <w:color w:val="007FAC"/>
            <w:w w:val="115"/>
            <w:sz w:val="12"/>
          </w:rPr>
          <w:t>Minhas</w:t>
        </w:r>
        <w:r>
          <w:rPr>
            <w:color w:val="007FAC"/>
            <w:w w:val="115"/>
            <w:sz w:val="12"/>
          </w:rPr>
          <w:t> SV, Kester BS, Lovecchio FC, Bosco JA. Nationwide 30-day </w:t>
        </w:r>
        <w:r>
          <w:rPr>
            <w:color w:val="007FAC"/>
            <w:spacing w:val="-3"/>
            <w:w w:val="115"/>
            <w:sz w:val="12"/>
          </w:rPr>
          <w:t>read-</w:t>
        </w:r>
      </w:hyperlink>
      <w:hyperlink r:id="rId92">
        <w:r>
          <w:rPr>
            <w:color w:val="007FAC"/>
            <w:spacing w:val="-3"/>
            <w:w w:val="115"/>
            <w:sz w:val="12"/>
          </w:rPr>
          <w:t> </w:t>
        </w:r>
        <w:r>
          <w:rPr>
            <w:color w:val="007FAC"/>
            <w:w w:val="115"/>
            <w:sz w:val="12"/>
          </w:rPr>
          <w:t>missions</w:t>
        </w:r>
        <w:r>
          <w:rPr>
            <w:color w:val="007FAC"/>
            <w:spacing w:val="-10"/>
            <w:w w:val="115"/>
            <w:sz w:val="12"/>
          </w:rPr>
          <w:t> </w:t>
        </w:r>
        <w:r>
          <w:rPr>
            <w:color w:val="007FAC"/>
            <w:w w:val="115"/>
            <w:sz w:val="12"/>
          </w:rPr>
          <w:t>after</w:t>
        </w:r>
        <w:r>
          <w:rPr>
            <w:color w:val="007FAC"/>
            <w:spacing w:val="-10"/>
            <w:w w:val="115"/>
            <w:sz w:val="12"/>
          </w:rPr>
          <w:t> </w:t>
        </w:r>
        <w:r>
          <w:rPr>
            <w:color w:val="007FAC"/>
            <w:w w:val="115"/>
            <w:sz w:val="12"/>
          </w:rPr>
          <w:t>elective</w:t>
        </w:r>
        <w:r>
          <w:rPr>
            <w:color w:val="007FAC"/>
            <w:spacing w:val="-9"/>
            <w:w w:val="115"/>
            <w:sz w:val="12"/>
          </w:rPr>
          <w:t> </w:t>
        </w:r>
        <w:r>
          <w:rPr>
            <w:color w:val="007FAC"/>
            <w:w w:val="115"/>
            <w:sz w:val="12"/>
          </w:rPr>
          <w:t>orthopedic</w:t>
        </w:r>
        <w:r>
          <w:rPr>
            <w:color w:val="007FAC"/>
            <w:spacing w:val="-8"/>
            <w:w w:val="115"/>
            <w:sz w:val="12"/>
          </w:rPr>
          <w:t> </w:t>
        </w:r>
        <w:r>
          <w:rPr>
            <w:color w:val="007FAC"/>
            <w:w w:val="115"/>
            <w:sz w:val="12"/>
          </w:rPr>
          <w:t>surgery:</w:t>
        </w:r>
        <w:r>
          <w:rPr>
            <w:color w:val="007FAC"/>
            <w:spacing w:val="-9"/>
            <w:w w:val="115"/>
            <w:sz w:val="12"/>
          </w:rPr>
          <w:t> </w:t>
        </w:r>
        <w:r>
          <w:rPr>
            <w:color w:val="007FAC"/>
            <w:w w:val="115"/>
            <w:sz w:val="12"/>
          </w:rPr>
          <w:t>reasons</w:t>
        </w:r>
        <w:r>
          <w:rPr>
            <w:color w:val="007FAC"/>
            <w:spacing w:val="-9"/>
            <w:w w:val="115"/>
            <w:sz w:val="12"/>
          </w:rPr>
          <w:t> </w:t>
        </w:r>
        <w:r>
          <w:rPr>
            <w:color w:val="007FAC"/>
            <w:w w:val="115"/>
            <w:sz w:val="12"/>
          </w:rPr>
          <w:t>and</w:t>
        </w:r>
        <w:r>
          <w:rPr>
            <w:color w:val="007FAC"/>
            <w:spacing w:val="-10"/>
            <w:w w:val="115"/>
            <w:sz w:val="12"/>
          </w:rPr>
          <w:t> </w:t>
        </w:r>
        <w:r>
          <w:rPr>
            <w:color w:val="007FAC"/>
            <w:w w:val="115"/>
            <w:sz w:val="12"/>
          </w:rPr>
          <w:t>implications.</w:t>
        </w:r>
        <w:r>
          <w:rPr>
            <w:color w:val="007FAC"/>
            <w:spacing w:val="-8"/>
            <w:w w:val="115"/>
            <w:sz w:val="12"/>
          </w:rPr>
          <w:t> </w:t>
        </w:r>
        <w:r>
          <w:rPr>
            <w:color w:val="007FAC"/>
            <w:w w:val="115"/>
            <w:sz w:val="12"/>
          </w:rPr>
          <w:t>J</w:t>
        </w:r>
        <w:r>
          <w:rPr>
            <w:color w:val="007FAC"/>
            <w:spacing w:val="-9"/>
            <w:w w:val="115"/>
            <w:sz w:val="12"/>
          </w:rPr>
          <w:t> </w:t>
        </w:r>
        <w:r>
          <w:rPr>
            <w:color w:val="007FAC"/>
            <w:w w:val="115"/>
            <w:sz w:val="12"/>
          </w:rPr>
          <w:t>Healthc</w:t>
        </w:r>
      </w:hyperlink>
      <w:hyperlink r:id="rId92">
        <w:r>
          <w:rPr>
            <w:color w:val="007FAC"/>
            <w:w w:val="115"/>
            <w:sz w:val="12"/>
          </w:rPr>
          <w:t> Qual</w:t>
        </w:r>
        <w:r>
          <w:rPr>
            <w:color w:val="007FAC"/>
            <w:spacing w:val="10"/>
            <w:w w:val="115"/>
            <w:sz w:val="12"/>
          </w:rPr>
          <w:t> </w:t>
        </w:r>
        <w:r>
          <w:rPr>
            <w:color w:val="007FAC"/>
            <w:w w:val="115"/>
            <w:sz w:val="12"/>
          </w:rPr>
          <w:t>2017;39(1):34</w:t>
        </w:r>
      </w:hyperlink>
      <w:r>
        <w:rPr>
          <w:w w:val="115"/>
          <w:sz w:val="12"/>
        </w:rPr>
        <w:t>.</w:t>
      </w:r>
    </w:p>
    <w:p>
      <w:pPr>
        <w:pStyle w:val="ListParagraph"/>
        <w:numPr>
          <w:ilvl w:val="0"/>
          <w:numId w:val="3"/>
        </w:numPr>
        <w:tabs>
          <w:tab w:pos="442" w:val="left" w:leader="none"/>
        </w:tabs>
        <w:spacing w:line="256" w:lineRule="auto" w:before="0" w:after="0"/>
        <w:ind w:left="441" w:right="306" w:hanging="326"/>
        <w:jc w:val="both"/>
        <w:rPr>
          <w:sz w:val="12"/>
        </w:rPr>
      </w:pPr>
      <w:bookmarkStart w:name="_bookmark69" w:id="104"/>
      <w:bookmarkEnd w:id="104"/>
      <w:r>
        <w:rPr/>
      </w:r>
      <w:hyperlink r:id="rId93">
        <w:bookmarkStart w:name="_bookmark69" w:id="105"/>
        <w:bookmarkEnd w:id="105"/>
        <w:r>
          <w:rPr>
            <w:color w:val="007FAC"/>
            <w:w w:val="115"/>
            <w:sz w:val="12"/>
          </w:rPr>
          <w:t>de</w:t>
        </w:r>
        <w:r>
          <w:rPr>
            <w:color w:val="007FAC"/>
            <w:spacing w:val="-6"/>
            <w:w w:val="115"/>
            <w:sz w:val="12"/>
          </w:rPr>
          <w:t> </w:t>
        </w:r>
        <w:r>
          <w:rPr>
            <w:color w:val="007FAC"/>
            <w:w w:val="115"/>
            <w:sz w:val="12"/>
          </w:rPr>
          <w:t>Jonge</w:t>
        </w:r>
        <w:r>
          <w:rPr>
            <w:color w:val="007FAC"/>
            <w:spacing w:val="-6"/>
            <w:w w:val="115"/>
            <w:sz w:val="12"/>
          </w:rPr>
          <w:t> </w:t>
        </w:r>
        <w:r>
          <w:rPr>
            <w:color w:val="007FAC"/>
            <w:w w:val="115"/>
            <w:sz w:val="12"/>
          </w:rPr>
          <w:t>SW,</w:t>
        </w:r>
        <w:r>
          <w:rPr>
            <w:color w:val="007FAC"/>
            <w:spacing w:val="-5"/>
            <w:w w:val="115"/>
            <w:sz w:val="12"/>
          </w:rPr>
          <w:t> </w:t>
        </w:r>
        <w:r>
          <w:rPr>
            <w:color w:val="007FAC"/>
            <w:w w:val="115"/>
            <w:sz w:val="12"/>
          </w:rPr>
          <w:t>Atema</w:t>
        </w:r>
        <w:r>
          <w:rPr>
            <w:color w:val="007FAC"/>
            <w:spacing w:val="-6"/>
            <w:w w:val="115"/>
            <w:sz w:val="12"/>
          </w:rPr>
          <w:t> </w:t>
        </w:r>
        <w:r>
          <w:rPr>
            <w:color w:val="007FAC"/>
            <w:w w:val="115"/>
            <w:sz w:val="12"/>
          </w:rPr>
          <w:t>JJ,</w:t>
        </w:r>
        <w:r>
          <w:rPr>
            <w:color w:val="007FAC"/>
            <w:spacing w:val="-5"/>
            <w:w w:val="115"/>
            <w:sz w:val="12"/>
          </w:rPr>
          <w:t> </w:t>
        </w:r>
        <w:r>
          <w:rPr>
            <w:color w:val="007FAC"/>
            <w:w w:val="115"/>
            <w:sz w:val="12"/>
          </w:rPr>
          <w:t>Solomkin</w:t>
        </w:r>
        <w:r>
          <w:rPr>
            <w:color w:val="007FAC"/>
            <w:spacing w:val="-5"/>
            <w:w w:val="115"/>
            <w:sz w:val="12"/>
          </w:rPr>
          <w:t> </w:t>
        </w:r>
        <w:r>
          <w:rPr>
            <w:color w:val="007FAC"/>
            <w:w w:val="115"/>
            <w:sz w:val="12"/>
          </w:rPr>
          <w:t>JS,</w:t>
        </w:r>
        <w:r>
          <w:rPr>
            <w:color w:val="007FAC"/>
            <w:spacing w:val="-6"/>
            <w:w w:val="115"/>
            <w:sz w:val="12"/>
          </w:rPr>
          <w:t> </w:t>
        </w:r>
        <w:r>
          <w:rPr>
            <w:color w:val="007FAC"/>
            <w:w w:val="115"/>
            <w:sz w:val="12"/>
          </w:rPr>
          <w:t>Boermeester</w:t>
        </w:r>
        <w:r>
          <w:rPr>
            <w:color w:val="007FAC"/>
            <w:spacing w:val="-5"/>
            <w:w w:val="115"/>
            <w:sz w:val="12"/>
          </w:rPr>
          <w:t> </w:t>
        </w:r>
        <w:r>
          <w:rPr>
            <w:color w:val="007FAC"/>
            <w:w w:val="115"/>
            <w:sz w:val="12"/>
          </w:rPr>
          <w:t>MA.</w:t>
        </w:r>
        <w:r>
          <w:rPr>
            <w:color w:val="007FAC"/>
            <w:spacing w:val="-6"/>
            <w:w w:val="115"/>
            <w:sz w:val="12"/>
          </w:rPr>
          <w:t> </w:t>
        </w:r>
        <w:r>
          <w:rPr>
            <w:color w:val="007FAC"/>
            <w:w w:val="115"/>
            <w:sz w:val="12"/>
          </w:rPr>
          <w:t>Meta-analysis</w:t>
        </w:r>
        <w:r>
          <w:rPr>
            <w:color w:val="007FAC"/>
            <w:spacing w:val="-5"/>
            <w:w w:val="115"/>
            <w:sz w:val="12"/>
          </w:rPr>
          <w:t> </w:t>
        </w:r>
        <w:r>
          <w:rPr>
            <w:color w:val="007FAC"/>
            <w:w w:val="115"/>
            <w:sz w:val="12"/>
          </w:rPr>
          <w:t>and</w:t>
        </w:r>
        <w:r>
          <w:rPr>
            <w:color w:val="007FAC"/>
            <w:spacing w:val="-5"/>
            <w:w w:val="115"/>
            <w:sz w:val="12"/>
          </w:rPr>
          <w:t> </w:t>
        </w:r>
        <w:r>
          <w:rPr>
            <w:color w:val="007FAC"/>
            <w:w w:val="115"/>
            <w:sz w:val="12"/>
          </w:rPr>
          <w:t>trial</w:t>
        </w:r>
      </w:hyperlink>
      <w:hyperlink r:id="rId93">
        <w:r>
          <w:rPr>
            <w:color w:val="007FAC"/>
            <w:w w:val="115"/>
            <w:sz w:val="12"/>
          </w:rPr>
          <w:t> sequential analysis of triclosan-coated sutures for the prevention of surgical-</w:t>
        </w:r>
      </w:hyperlink>
      <w:hyperlink r:id="rId93">
        <w:r>
          <w:rPr>
            <w:color w:val="007FAC"/>
            <w:w w:val="115"/>
            <w:sz w:val="12"/>
          </w:rPr>
          <w:t> site infection. Br J Surg</w:t>
        </w:r>
        <w:r>
          <w:rPr>
            <w:color w:val="007FAC"/>
            <w:spacing w:val="-16"/>
            <w:w w:val="115"/>
            <w:sz w:val="12"/>
          </w:rPr>
          <w:t> </w:t>
        </w:r>
        <w:r>
          <w:rPr>
            <w:color w:val="007FAC"/>
            <w:w w:val="115"/>
            <w:sz w:val="12"/>
          </w:rPr>
          <w:t>2017;104(2):e118</w:t>
        </w:r>
      </w:hyperlink>
      <w:r>
        <w:rPr>
          <w:w w:val="115"/>
          <w:sz w:val="12"/>
        </w:rPr>
        <w:t>.</w:t>
      </w:r>
    </w:p>
    <w:p>
      <w:pPr>
        <w:pStyle w:val="ListParagraph"/>
        <w:numPr>
          <w:ilvl w:val="0"/>
          <w:numId w:val="3"/>
        </w:numPr>
        <w:tabs>
          <w:tab w:pos="442" w:val="left" w:leader="none"/>
        </w:tabs>
        <w:spacing w:line="256" w:lineRule="auto" w:before="0" w:after="0"/>
        <w:ind w:left="441" w:right="306" w:hanging="326"/>
        <w:jc w:val="both"/>
        <w:rPr>
          <w:sz w:val="12"/>
        </w:rPr>
      </w:pPr>
      <w:hyperlink r:id="rId94">
        <w:r>
          <w:rPr>
            <w:color w:val="007FAC"/>
            <w:w w:val="110"/>
            <w:sz w:val="12"/>
          </w:rPr>
          <w:t>Leaper DJ, Edmiston Jr CE, Holy CE. Meta-analysis of the potential economic</w:t>
        </w:r>
      </w:hyperlink>
      <w:hyperlink r:id="rId94">
        <w:r>
          <w:rPr>
            <w:color w:val="007FAC"/>
            <w:w w:val="110"/>
            <w:sz w:val="12"/>
          </w:rPr>
          <w:t> impact following introduction of absorbable antimicrobial sutures. Br J </w:t>
        </w:r>
        <w:r>
          <w:rPr>
            <w:color w:val="007FAC"/>
            <w:spacing w:val="-4"/>
            <w:w w:val="110"/>
            <w:sz w:val="12"/>
          </w:rPr>
          <w:t>Surg</w:t>
        </w:r>
      </w:hyperlink>
      <w:hyperlink r:id="rId94">
        <w:r>
          <w:rPr>
            <w:color w:val="007FAC"/>
            <w:spacing w:val="-4"/>
            <w:w w:val="110"/>
            <w:sz w:val="12"/>
          </w:rPr>
          <w:t> </w:t>
        </w:r>
        <w:r>
          <w:rPr>
            <w:color w:val="007FAC"/>
            <w:w w:val="110"/>
            <w:sz w:val="12"/>
          </w:rPr>
          <w:t>2017;104(2):e134</w:t>
        </w:r>
      </w:hyperlink>
      <w:r>
        <w:rPr>
          <w:w w:val="110"/>
          <w:sz w:val="12"/>
        </w:rPr>
        <w:t>.</w:t>
      </w:r>
    </w:p>
    <w:p>
      <w:pPr>
        <w:pStyle w:val="ListParagraph"/>
        <w:numPr>
          <w:ilvl w:val="0"/>
          <w:numId w:val="3"/>
        </w:numPr>
        <w:tabs>
          <w:tab w:pos="442" w:val="left" w:leader="none"/>
        </w:tabs>
        <w:spacing w:line="256" w:lineRule="auto" w:before="0" w:after="0"/>
        <w:ind w:left="441" w:right="306" w:hanging="326"/>
        <w:jc w:val="both"/>
        <w:rPr>
          <w:sz w:val="12"/>
        </w:rPr>
      </w:pPr>
      <w:r>
        <w:rPr>
          <w:w w:val="110"/>
          <w:sz w:val="12"/>
        </w:rPr>
        <w:t>World Health Organization. Global guidelines for the prevention of surgical </w:t>
      </w:r>
      <w:r>
        <w:rPr>
          <w:spacing w:val="-3"/>
          <w:w w:val="110"/>
          <w:sz w:val="12"/>
        </w:rPr>
        <w:t>site </w:t>
      </w:r>
      <w:r>
        <w:rPr>
          <w:w w:val="110"/>
          <w:sz w:val="12"/>
        </w:rPr>
        <w:t>infection. </w:t>
      </w:r>
      <w:hyperlink r:id="rId95">
        <w:r>
          <w:rPr>
            <w:color w:val="007FAC"/>
            <w:w w:val="110"/>
            <w:sz w:val="12"/>
          </w:rPr>
          <w:t>https://apps.who.int/iris/handle/10665/277399</w:t>
        </w:r>
      </w:hyperlink>
      <w:r>
        <w:rPr>
          <w:w w:val="110"/>
          <w:sz w:val="12"/>
        </w:rPr>
        <w:t>; 2018. [Accessed </w:t>
      </w:r>
      <w:r>
        <w:rPr>
          <w:spacing w:val="-7"/>
          <w:w w:val="110"/>
          <w:sz w:val="12"/>
        </w:rPr>
        <w:t>21 </w:t>
      </w:r>
      <w:r>
        <w:rPr>
          <w:w w:val="110"/>
          <w:sz w:val="12"/>
        </w:rPr>
        <w:t>June 2021].</w:t>
      </w:r>
    </w:p>
    <w:p>
      <w:pPr>
        <w:pStyle w:val="ListParagraph"/>
        <w:numPr>
          <w:ilvl w:val="0"/>
          <w:numId w:val="3"/>
        </w:numPr>
        <w:tabs>
          <w:tab w:pos="442" w:val="left" w:leader="none"/>
        </w:tabs>
        <w:spacing w:line="256" w:lineRule="auto" w:before="0" w:after="0"/>
        <w:ind w:left="441" w:right="306" w:hanging="326"/>
        <w:jc w:val="both"/>
        <w:rPr>
          <w:sz w:val="12"/>
        </w:rPr>
      </w:pPr>
      <w:r>
        <w:rPr>
          <w:w w:val="110"/>
          <w:sz w:val="12"/>
        </w:rPr>
        <w:t>National Institute of Health and Care Excellence. Surgicel site infections: prevention and treatment: NICE guideline [NG125]. </w:t>
      </w:r>
      <w:hyperlink r:id="rId96">
        <w:r>
          <w:rPr>
            <w:color w:val="007FAC"/>
            <w:w w:val="110"/>
            <w:sz w:val="12"/>
          </w:rPr>
          <w:t>https://www.nice.org.uk/</w:t>
        </w:r>
      </w:hyperlink>
      <w:bookmarkStart w:name="_bookmark70" w:id="106"/>
      <w:bookmarkEnd w:id="106"/>
      <w:r>
        <w:rPr>
          <w:color w:val="007FAC"/>
          <w:w w:val="110"/>
          <w:sz w:val="12"/>
        </w:rPr>
      </w:r>
      <w:hyperlink r:id="rId96">
        <w:r>
          <w:rPr>
            <w:color w:val="007FAC"/>
            <w:w w:val="110"/>
            <w:sz w:val="12"/>
          </w:rPr>
          <w:t> guidance/ng125</w:t>
        </w:r>
      </w:hyperlink>
      <w:r>
        <w:rPr>
          <w:w w:val="110"/>
          <w:sz w:val="12"/>
        </w:rPr>
        <w:t>;</w:t>
      </w:r>
      <w:r>
        <w:rPr>
          <w:spacing w:val="13"/>
          <w:w w:val="110"/>
          <w:sz w:val="12"/>
        </w:rPr>
        <w:t> </w:t>
      </w:r>
      <w:r>
        <w:rPr>
          <w:w w:val="110"/>
          <w:sz w:val="12"/>
        </w:rPr>
        <w:t>2019.</w:t>
      </w:r>
      <w:r>
        <w:rPr>
          <w:spacing w:val="14"/>
          <w:w w:val="110"/>
          <w:sz w:val="12"/>
        </w:rPr>
        <w:t> </w:t>
      </w:r>
      <w:r>
        <w:rPr>
          <w:w w:val="110"/>
          <w:sz w:val="12"/>
        </w:rPr>
        <w:t>[Accessed</w:t>
      </w:r>
      <w:r>
        <w:rPr>
          <w:spacing w:val="14"/>
          <w:w w:val="110"/>
          <w:sz w:val="12"/>
        </w:rPr>
        <w:t> </w:t>
      </w:r>
      <w:r>
        <w:rPr>
          <w:w w:val="110"/>
          <w:sz w:val="12"/>
        </w:rPr>
        <w:t>21</w:t>
      </w:r>
      <w:r>
        <w:rPr>
          <w:spacing w:val="14"/>
          <w:w w:val="110"/>
          <w:sz w:val="12"/>
        </w:rPr>
        <w:t> </w:t>
      </w:r>
      <w:r>
        <w:rPr>
          <w:w w:val="110"/>
          <w:sz w:val="12"/>
        </w:rPr>
        <w:t>June</w:t>
      </w:r>
      <w:r>
        <w:rPr>
          <w:spacing w:val="14"/>
          <w:w w:val="110"/>
          <w:sz w:val="12"/>
        </w:rPr>
        <w:t> </w:t>
      </w:r>
      <w:r>
        <w:rPr>
          <w:w w:val="110"/>
          <w:sz w:val="12"/>
        </w:rPr>
        <w:t>2021].</w:t>
      </w:r>
    </w:p>
    <w:p>
      <w:pPr>
        <w:pStyle w:val="ListParagraph"/>
        <w:numPr>
          <w:ilvl w:val="0"/>
          <w:numId w:val="3"/>
        </w:numPr>
        <w:tabs>
          <w:tab w:pos="442" w:val="left" w:leader="none"/>
        </w:tabs>
        <w:spacing w:line="256" w:lineRule="auto" w:before="0" w:after="0"/>
        <w:ind w:left="441" w:right="306" w:hanging="326"/>
        <w:jc w:val="both"/>
        <w:rPr>
          <w:sz w:val="12"/>
        </w:rPr>
      </w:pPr>
      <w:r>
        <w:rPr>
          <w:w w:val="110"/>
          <w:sz w:val="12"/>
        </w:rPr>
        <w:t>Centers for Medicare </w:t>
      </w:r>
      <w:r>
        <w:rPr>
          <w:rFonts w:ascii="Lucida Sans"/>
          <w:w w:val="110"/>
          <w:sz w:val="12"/>
        </w:rPr>
        <w:t>&amp; </w:t>
      </w:r>
      <w:r>
        <w:rPr>
          <w:w w:val="110"/>
          <w:sz w:val="12"/>
        </w:rPr>
        <w:t>Medicaid Services (Web Page). Comprehensive care </w:t>
      </w:r>
      <w:r>
        <w:rPr>
          <w:spacing w:val="-4"/>
          <w:w w:val="110"/>
          <w:sz w:val="12"/>
        </w:rPr>
        <w:t>for </w:t>
      </w:r>
      <w:r>
        <w:rPr>
          <w:w w:val="110"/>
          <w:sz w:val="12"/>
        </w:rPr>
        <w:t>joint replacement model. </w:t>
      </w:r>
      <w:hyperlink r:id="rId97">
        <w:r>
          <w:rPr>
            <w:color w:val="007FAC"/>
            <w:w w:val="110"/>
            <w:sz w:val="12"/>
          </w:rPr>
          <w:t>https://innovation.cms.gov/initiatives/cjr</w:t>
        </w:r>
      </w:hyperlink>
      <w:r>
        <w:rPr>
          <w:w w:val="110"/>
          <w:sz w:val="12"/>
        </w:rPr>
        <w:t>. [Accessed</w:t>
      </w:r>
      <w:bookmarkStart w:name="_bookmark71" w:id="107"/>
      <w:bookmarkEnd w:id="107"/>
      <w:r>
        <w:rPr>
          <w:w w:val="110"/>
          <w:sz w:val="12"/>
        </w:rPr>
      </w:r>
      <w:r>
        <w:rPr>
          <w:w w:val="110"/>
          <w:sz w:val="12"/>
        </w:rPr>
        <w:t> 21 June</w:t>
      </w:r>
      <w:r>
        <w:rPr>
          <w:spacing w:val="3"/>
          <w:w w:val="110"/>
          <w:sz w:val="12"/>
        </w:rPr>
        <w:t> </w:t>
      </w:r>
      <w:r>
        <w:rPr>
          <w:w w:val="110"/>
          <w:sz w:val="12"/>
        </w:rPr>
        <w:t>2021].</w:t>
      </w:r>
    </w:p>
    <w:p>
      <w:pPr>
        <w:pStyle w:val="ListParagraph"/>
        <w:numPr>
          <w:ilvl w:val="0"/>
          <w:numId w:val="3"/>
        </w:numPr>
        <w:tabs>
          <w:tab w:pos="442" w:val="left" w:leader="none"/>
        </w:tabs>
        <w:spacing w:line="256" w:lineRule="auto" w:before="0" w:after="0"/>
        <w:ind w:left="441" w:right="307" w:hanging="326"/>
        <w:jc w:val="both"/>
        <w:rPr>
          <w:sz w:val="12"/>
        </w:rPr>
      </w:pPr>
      <w:r>
        <w:rPr>
          <w:w w:val="110"/>
          <w:sz w:val="12"/>
        </w:rPr>
        <w:t>Centers for Medicare </w:t>
      </w:r>
      <w:r>
        <w:rPr>
          <w:rFonts w:ascii="Lucida Sans"/>
          <w:w w:val="110"/>
          <w:sz w:val="12"/>
        </w:rPr>
        <w:t>&amp; </w:t>
      </w:r>
      <w:r>
        <w:rPr>
          <w:w w:val="110"/>
          <w:sz w:val="12"/>
        </w:rPr>
        <w:t>Medicaid Services (Web Page). Hospital readmissions reduction program (HRRP) updated 02/11/2020. </w:t>
      </w:r>
      <w:hyperlink r:id="rId98">
        <w:r>
          <w:rPr>
            <w:color w:val="007FAC"/>
            <w:w w:val="110"/>
            <w:sz w:val="12"/>
          </w:rPr>
          <w:t>https://www.cms.gov/</w:t>
        </w:r>
      </w:hyperlink>
      <w:hyperlink r:id="rId98">
        <w:r>
          <w:rPr>
            <w:color w:val="007FAC"/>
            <w:w w:val="110"/>
            <w:sz w:val="12"/>
          </w:rPr>
          <w:t> </w:t>
        </w:r>
        <w:r>
          <w:rPr>
            <w:color w:val="007FAC"/>
            <w:spacing w:val="-2"/>
            <w:w w:val="110"/>
            <w:sz w:val="12"/>
          </w:rPr>
          <w:t>Medicare/Medicare-Fee-for-Service-Payment/AcuteInpatientPPS/Readmissions</w:t>
        </w:r>
      </w:hyperlink>
    </w:p>
    <w:p>
      <w:pPr>
        <w:spacing w:before="0"/>
        <w:ind w:left="441" w:right="0" w:firstLine="0"/>
        <w:jc w:val="both"/>
        <w:rPr>
          <w:sz w:val="12"/>
        </w:rPr>
      </w:pPr>
      <w:bookmarkStart w:name="_bookmark72" w:id="108"/>
      <w:bookmarkEnd w:id="108"/>
      <w:r>
        <w:rPr/>
      </w:r>
      <w:hyperlink r:id="rId98">
        <w:r>
          <w:rPr>
            <w:color w:val="007FAC"/>
            <w:w w:val="115"/>
            <w:sz w:val="12"/>
          </w:rPr>
          <w:t>-Reduction-Program</w:t>
        </w:r>
      </w:hyperlink>
      <w:r>
        <w:rPr>
          <w:w w:val="115"/>
          <w:sz w:val="12"/>
        </w:rPr>
        <w:t>. [Accessed 21 June 2021].</w:t>
      </w:r>
    </w:p>
    <w:p>
      <w:pPr>
        <w:pStyle w:val="ListParagraph"/>
        <w:numPr>
          <w:ilvl w:val="0"/>
          <w:numId w:val="3"/>
        </w:numPr>
        <w:tabs>
          <w:tab w:pos="442" w:val="left" w:leader="none"/>
        </w:tabs>
        <w:spacing w:line="256" w:lineRule="auto" w:before="3" w:after="0"/>
        <w:ind w:left="441" w:right="306" w:hanging="326"/>
        <w:jc w:val="both"/>
        <w:rPr>
          <w:sz w:val="12"/>
        </w:rPr>
      </w:pPr>
      <w:hyperlink r:id="rId99">
        <w:r>
          <w:rPr>
            <w:color w:val="007FAC"/>
            <w:w w:val="110"/>
            <w:sz w:val="12"/>
          </w:rPr>
          <w:t>Dignon A, Arnett N. Which is the better method of wound closure in patients</w:t>
        </w:r>
      </w:hyperlink>
      <w:hyperlink r:id="rId99">
        <w:r>
          <w:rPr>
            <w:color w:val="007FAC"/>
            <w:w w:val="110"/>
            <w:sz w:val="12"/>
          </w:rPr>
          <w:t> undergoing hip or knee replacement surgery: sutures or skin clips? J Perioper</w:t>
        </w:r>
      </w:hyperlink>
      <w:hyperlink r:id="rId99">
        <w:r>
          <w:rPr>
            <w:color w:val="007FAC"/>
            <w:w w:val="110"/>
            <w:sz w:val="12"/>
          </w:rPr>
          <w:t> Pract</w:t>
        </w:r>
        <w:r>
          <w:rPr>
            <w:color w:val="007FAC"/>
            <w:spacing w:val="12"/>
            <w:w w:val="110"/>
            <w:sz w:val="12"/>
          </w:rPr>
          <w:t> </w:t>
        </w:r>
        <w:r>
          <w:rPr>
            <w:color w:val="007FAC"/>
            <w:w w:val="110"/>
            <w:sz w:val="12"/>
          </w:rPr>
          <w:t>2013;23(4):72</w:t>
        </w:r>
      </w:hyperlink>
      <w:r>
        <w:rPr>
          <w:w w:val="110"/>
          <w:sz w:val="12"/>
        </w:rPr>
        <w:t>.</w:t>
      </w:r>
    </w:p>
    <w:p>
      <w:pPr>
        <w:pStyle w:val="ListParagraph"/>
        <w:numPr>
          <w:ilvl w:val="0"/>
          <w:numId w:val="3"/>
        </w:numPr>
        <w:tabs>
          <w:tab w:pos="442" w:val="left" w:leader="none"/>
        </w:tabs>
        <w:spacing w:line="254" w:lineRule="auto" w:before="0" w:after="0"/>
        <w:ind w:left="441" w:right="306" w:hanging="326"/>
        <w:jc w:val="both"/>
        <w:rPr>
          <w:sz w:val="12"/>
        </w:rPr>
      </w:pPr>
      <w:hyperlink r:id="rId100">
        <w:r>
          <w:rPr>
            <w:color w:val="007FAC"/>
            <w:w w:val="110"/>
            <w:sz w:val="12"/>
          </w:rPr>
          <w:t>Faour</w:t>
        </w:r>
        <w:r>
          <w:rPr>
            <w:color w:val="007FAC"/>
            <w:spacing w:val="-20"/>
            <w:w w:val="110"/>
            <w:sz w:val="12"/>
          </w:rPr>
          <w:t> </w:t>
        </w:r>
        <w:r>
          <w:rPr>
            <w:color w:val="007FAC"/>
            <w:w w:val="110"/>
            <w:sz w:val="12"/>
          </w:rPr>
          <w:t>M,</w:t>
        </w:r>
        <w:r>
          <w:rPr>
            <w:color w:val="007FAC"/>
            <w:spacing w:val="-19"/>
            <w:w w:val="110"/>
            <w:sz w:val="12"/>
          </w:rPr>
          <w:t> </w:t>
        </w:r>
        <w:r>
          <w:rPr>
            <w:color w:val="007FAC"/>
            <w:w w:val="110"/>
            <w:sz w:val="12"/>
          </w:rPr>
          <w:t>Khlopas</w:t>
        </w:r>
        <w:r>
          <w:rPr>
            <w:color w:val="007FAC"/>
            <w:spacing w:val="-18"/>
            <w:w w:val="110"/>
            <w:sz w:val="12"/>
          </w:rPr>
          <w:t> </w:t>
        </w:r>
        <w:r>
          <w:rPr>
            <w:color w:val="007FAC"/>
            <w:w w:val="110"/>
            <w:sz w:val="12"/>
          </w:rPr>
          <w:t>A,</w:t>
        </w:r>
        <w:r>
          <w:rPr>
            <w:color w:val="007FAC"/>
            <w:spacing w:val="-19"/>
            <w:w w:val="110"/>
            <w:sz w:val="12"/>
          </w:rPr>
          <w:t> </w:t>
        </w:r>
        <w:r>
          <w:rPr>
            <w:color w:val="007FAC"/>
            <w:w w:val="110"/>
            <w:sz w:val="12"/>
          </w:rPr>
          <w:t>Elmallah</w:t>
        </w:r>
        <w:r>
          <w:rPr>
            <w:color w:val="007FAC"/>
            <w:spacing w:val="-18"/>
            <w:w w:val="110"/>
            <w:sz w:val="12"/>
          </w:rPr>
          <w:t> </w:t>
        </w:r>
        <w:r>
          <w:rPr>
            <w:color w:val="007FAC"/>
            <w:w w:val="110"/>
            <w:sz w:val="12"/>
          </w:rPr>
          <w:t>RK,</w:t>
        </w:r>
        <w:r>
          <w:rPr>
            <w:color w:val="007FAC"/>
            <w:spacing w:val="-18"/>
            <w:w w:val="110"/>
            <w:sz w:val="12"/>
          </w:rPr>
          <w:t> </w:t>
        </w:r>
        <w:r>
          <w:rPr>
            <w:color w:val="007FAC"/>
            <w:w w:val="110"/>
            <w:sz w:val="12"/>
          </w:rPr>
          <w:t>et</w:t>
        </w:r>
        <w:r>
          <w:rPr>
            <w:color w:val="007FAC"/>
            <w:spacing w:val="-18"/>
            <w:w w:val="110"/>
            <w:sz w:val="12"/>
          </w:rPr>
          <w:t> </w:t>
        </w:r>
        <w:r>
          <w:rPr>
            <w:color w:val="007FAC"/>
            <w:w w:val="110"/>
            <w:sz w:val="12"/>
          </w:rPr>
          <w:t>al.</w:t>
        </w:r>
        <w:r>
          <w:rPr>
            <w:color w:val="007FAC"/>
            <w:spacing w:val="-18"/>
            <w:w w:val="110"/>
            <w:sz w:val="12"/>
          </w:rPr>
          <w:t> </w:t>
        </w:r>
        <w:r>
          <w:rPr>
            <w:color w:val="007FAC"/>
            <w:w w:val="110"/>
            <w:sz w:val="12"/>
          </w:rPr>
          <w:t>The</w:t>
        </w:r>
        <w:r>
          <w:rPr>
            <w:color w:val="007FAC"/>
            <w:spacing w:val="-17"/>
            <w:w w:val="110"/>
            <w:sz w:val="12"/>
          </w:rPr>
          <w:t> </w:t>
        </w:r>
        <w:r>
          <w:rPr>
            <w:color w:val="007FAC"/>
            <w:w w:val="110"/>
            <w:sz w:val="12"/>
          </w:rPr>
          <w:t>role</w:t>
        </w:r>
        <w:r>
          <w:rPr>
            <w:color w:val="007FAC"/>
            <w:spacing w:val="-18"/>
            <w:w w:val="110"/>
            <w:sz w:val="12"/>
          </w:rPr>
          <w:t> </w:t>
        </w:r>
        <w:r>
          <w:rPr>
            <w:color w:val="007FAC"/>
            <w:w w:val="110"/>
            <w:sz w:val="12"/>
          </w:rPr>
          <w:t>of</w:t>
        </w:r>
        <w:r>
          <w:rPr>
            <w:color w:val="007FAC"/>
            <w:spacing w:val="-19"/>
            <w:w w:val="110"/>
            <w:sz w:val="12"/>
          </w:rPr>
          <w:t> </w:t>
        </w:r>
        <w:r>
          <w:rPr>
            <w:color w:val="007FAC"/>
            <w:w w:val="110"/>
            <w:sz w:val="12"/>
          </w:rPr>
          <w:t>barbed</w:t>
        </w:r>
        <w:r>
          <w:rPr>
            <w:color w:val="007FAC"/>
            <w:spacing w:val="-20"/>
            <w:w w:val="110"/>
            <w:sz w:val="12"/>
          </w:rPr>
          <w:t> </w:t>
        </w:r>
        <w:r>
          <w:rPr>
            <w:color w:val="007FAC"/>
            <w:w w:val="110"/>
            <w:sz w:val="12"/>
          </w:rPr>
          <w:t>sutures</w:t>
        </w:r>
        <w:r>
          <w:rPr>
            <w:color w:val="007FAC"/>
            <w:spacing w:val="-17"/>
            <w:w w:val="110"/>
            <w:sz w:val="12"/>
          </w:rPr>
          <w:t> </w:t>
        </w:r>
        <w:r>
          <w:rPr>
            <w:color w:val="007FAC"/>
            <w:w w:val="110"/>
            <w:sz w:val="12"/>
          </w:rPr>
          <w:t>in</w:t>
        </w:r>
        <w:r>
          <w:rPr>
            <w:color w:val="007FAC"/>
            <w:spacing w:val="-19"/>
            <w:w w:val="110"/>
            <w:sz w:val="12"/>
          </w:rPr>
          <w:t> </w:t>
        </w:r>
        <w:r>
          <w:rPr>
            <w:color w:val="007FAC"/>
            <w:w w:val="110"/>
            <w:sz w:val="12"/>
          </w:rPr>
          <w:t>wound</w:t>
        </w:r>
        <w:r>
          <w:rPr>
            <w:color w:val="007FAC"/>
            <w:spacing w:val="-17"/>
            <w:w w:val="110"/>
            <w:sz w:val="12"/>
          </w:rPr>
          <w:t> </w:t>
        </w:r>
        <w:r>
          <w:rPr>
            <w:color w:val="007FAC"/>
            <w:w w:val="110"/>
            <w:sz w:val="12"/>
          </w:rPr>
          <w:t>closure</w:t>
        </w:r>
      </w:hyperlink>
      <w:hyperlink r:id="rId100">
        <w:r>
          <w:rPr>
            <w:color w:val="007FAC"/>
            <w:w w:val="110"/>
            <w:sz w:val="12"/>
          </w:rPr>
          <w:t> </w:t>
        </w:r>
        <w:r>
          <w:rPr>
            <w:color w:val="007FAC"/>
            <w:w w:val="115"/>
            <w:sz w:val="12"/>
          </w:rPr>
          <w:t>following</w:t>
        </w:r>
        <w:r>
          <w:rPr>
            <w:color w:val="007FAC"/>
            <w:spacing w:val="-7"/>
            <w:w w:val="115"/>
            <w:sz w:val="12"/>
          </w:rPr>
          <w:t> </w:t>
        </w:r>
        <w:r>
          <w:rPr>
            <w:color w:val="007FAC"/>
            <w:w w:val="115"/>
            <w:sz w:val="12"/>
          </w:rPr>
          <w:t>knee</w:t>
        </w:r>
        <w:r>
          <w:rPr>
            <w:color w:val="007FAC"/>
            <w:spacing w:val="-5"/>
            <w:w w:val="115"/>
            <w:sz w:val="12"/>
          </w:rPr>
          <w:t> </w:t>
        </w:r>
        <w:r>
          <w:rPr>
            <w:color w:val="007FAC"/>
            <w:w w:val="115"/>
            <w:sz w:val="12"/>
          </w:rPr>
          <w:t>and</w:t>
        </w:r>
        <w:r>
          <w:rPr>
            <w:color w:val="007FAC"/>
            <w:spacing w:val="-4"/>
            <w:w w:val="115"/>
            <w:sz w:val="12"/>
          </w:rPr>
          <w:t> </w:t>
        </w:r>
        <w:r>
          <w:rPr>
            <w:color w:val="007FAC"/>
            <w:w w:val="115"/>
            <w:sz w:val="12"/>
          </w:rPr>
          <w:t>hip</w:t>
        </w:r>
        <w:r>
          <w:rPr>
            <w:color w:val="007FAC"/>
            <w:spacing w:val="-4"/>
            <w:w w:val="115"/>
            <w:sz w:val="12"/>
          </w:rPr>
          <w:t> </w:t>
        </w:r>
        <w:r>
          <w:rPr>
            <w:color w:val="007FAC"/>
            <w:w w:val="115"/>
            <w:sz w:val="12"/>
          </w:rPr>
          <w:t>arthroplasty:</w:t>
        </w:r>
        <w:r>
          <w:rPr>
            <w:color w:val="007FAC"/>
            <w:spacing w:val="-4"/>
            <w:w w:val="115"/>
            <w:sz w:val="12"/>
          </w:rPr>
          <w:t> </w:t>
        </w:r>
        <w:r>
          <w:rPr>
            <w:color w:val="007FAC"/>
            <w:w w:val="115"/>
            <w:sz w:val="12"/>
          </w:rPr>
          <w:t>a</w:t>
        </w:r>
        <w:r>
          <w:rPr>
            <w:color w:val="007FAC"/>
            <w:spacing w:val="-3"/>
            <w:w w:val="115"/>
            <w:sz w:val="12"/>
          </w:rPr>
          <w:t> </w:t>
        </w:r>
        <w:r>
          <w:rPr>
            <w:color w:val="007FAC"/>
            <w:w w:val="115"/>
            <w:sz w:val="12"/>
          </w:rPr>
          <w:t>review.</w:t>
        </w:r>
        <w:r>
          <w:rPr>
            <w:color w:val="007FAC"/>
            <w:spacing w:val="-6"/>
            <w:w w:val="115"/>
            <w:sz w:val="12"/>
          </w:rPr>
          <w:t> </w:t>
        </w:r>
        <w:r>
          <w:rPr>
            <w:color w:val="007FAC"/>
            <w:w w:val="115"/>
            <w:sz w:val="12"/>
          </w:rPr>
          <w:t>J</w:t>
        </w:r>
        <w:r>
          <w:rPr>
            <w:color w:val="007FAC"/>
            <w:spacing w:val="-3"/>
            <w:w w:val="115"/>
            <w:sz w:val="12"/>
          </w:rPr>
          <w:t> </w:t>
        </w:r>
        <w:r>
          <w:rPr>
            <w:color w:val="007FAC"/>
            <w:w w:val="115"/>
            <w:sz w:val="12"/>
          </w:rPr>
          <w:t>Knee</w:t>
        </w:r>
        <w:r>
          <w:rPr>
            <w:color w:val="007FAC"/>
            <w:spacing w:val="-5"/>
            <w:w w:val="115"/>
            <w:sz w:val="12"/>
          </w:rPr>
          <w:t> </w:t>
        </w:r>
        <w:r>
          <w:rPr>
            <w:color w:val="007FAC"/>
            <w:w w:val="115"/>
            <w:sz w:val="12"/>
          </w:rPr>
          <w:t>Surg</w:t>
        </w:r>
        <w:r>
          <w:rPr>
            <w:color w:val="007FAC"/>
            <w:spacing w:val="-6"/>
            <w:w w:val="115"/>
            <w:sz w:val="12"/>
          </w:rPr>
          <w:t> </w:t>
        </w:r>
        <w:r>
          <w:rPr>
            <w:color w:val="007FAC"/>
            <w:spacing w:val="-3"/>
            <w:w w:val="115"/>
            <w:sz w:val="12"/>
          </w:rPr>
          <w:t>2018;31(9):858</w:t>
        </w:r>
      </w:hyperlink>
      <w:r>
        <w:rPr>
          <w:spacing w:val="-3"/>
          <w:w w:val="115"/>
          <w:sz w:val="12"/>
        </w:rPr>
        <w:t>.</w:t>
      </w:r>
    </w:p>
    <w:p>
      <w:pPr>
        <w:pStyle w:val="ListParagraph"/>
        <w:numPr>
          <w:ilvl w:val="0"/>
          <w:numId w:val="3"/>
        </w:numPr>
        <w:tabs>
          <w:tab w:pos="442" w:val="left" w:leader="none"/>
        </w:tabs>
        <w:spacing w:line="256" w:lineRule="auto" w:before="2" w:after="0"/>
        <w:ind w:left="441" w:right="306" w:hanging="326"/>
        <w:jc w:val="both"/>
        <w:rPr>
          <w:sz w:val="12"/>
        </w:rPr>
      </w:pPr>
      <w:hyperlink r:id="rId101">
        <w:r>
          <w:rPr>
            <w:color w:val="007FAC"/>
            <w:w w:val="115"/>
            <w:sz w:val="12"/>
          </w:rPr>
          <w:t>Meena</w:t>
        </w:r>
        <w:r>
          <w:rPr>
            <w:color w:val="007FAC"/>
            <w:spacing w:val="-11"/>
            <w:w w:val="115"/>
            <w:sz w:val="12"/>
          </w:rPr>
          <w:t> </w:t>
        </w:r>
        <w:r>
          <w:rPr>
            <w:color w:val="007FAC"/>
            <w:w w:val="115"/>
            <w:sz w:val="12"/>
          </w:rPr>
          <w:t>S,</w:t>
        </w:r>
        <w:r>
          <w:rPr>
            <w:color w:val="007FAC"/>
            <w:spacing w:val="-12"/>
            <w:w w:val="115"/>
            <w:sz w:val="12"/>
          </w:rPr>
          <w:t> </w:t>
        </w:r>
        <w:r>
          <w:rPr>
            <w:color w:val="007FAC"/>
            <w:w w:val="115"/>
            <w:sz w:val="12"/>
          </w:rPr>
          <w:t>Gangary</w:t>
        </w:r>
        <w:r>
          <w:rPr>
            <w:color w:val="007FAC"/>
            <w:spacing w:val="-11"/>
            <w:w w:val="115"/>
            <w:sz w:val="12"/>
          </w:rPr>
          <w:t> </w:t>
        </w:r>
        <w:r>
          <w:rPr>
            <w:color w:val="007FAC"/>
            <w:w w:val="115"/>
            <w:sz w:val="12"/>
          </w:rPr>
          <w:t>S,</w:t>
        </w:r>
        <w:r>
          <w:rPr>
            <w:color w:val="007FAC"/>
            <w:spacing w:val="-11"/>
            <w:w w:val="115"/>
            <w:sz w:val="12"/>
          </w:rPr>
          <w:t> </w:t>
        </w:r>
        <w:r>
          <w:rPr>
            <w:color w:val="007FAC"/>
            <w:w w:val="115"/>
            <w:sz w:val="12"/>
          </w:rPr>
          <w:t>Sharma</w:t>
        </w:r>
        <w:r>
          <w:rPr>
            <w:color w:val="007FAC"/>
            <w:spacing w:val="-12"/>
            <w:w w:val="115"/>
            <w:sz w:val="12"/>
          </w:rPr>
          <w:t> </w:t>
        </w:r>
        <w:r>
          <w:rPr>
            <w:color w:val="007FAC"/>
            <w:w w:val="115"/>
            <w:sz w:val="12"/>
          </w:rPr>
          <w:t>P,</w:t>
        </w:r>
        <w:r>
          <w:rPr>
            <w:color w:val="007FAC"/>
            <w:spacing w:val="-11"/>
            <w:w w:val="115"/>
            <w:sz w:val="12"/>
          </w:rPr>
          <w:t> </w:t>
        </w:r>
        <w:r>
          <w:rPr>
            <w:color w:val="007FAC"/>
            <w:w w:val="115"/>
            <w:sz w:val="12"/>
          </w:rPr>
          <w:t>Chowdhury</w:t>
        </w:r>
        <w:r>
          <w:rPr>
            <w:color w:val="007FAC"/>
            <w:spacing w:val="-11"/>
            <w:w w:val="115"/>
            <w:sz w:val="12"/>
          </w:rPr>
          <w:t> </w:t>
        </w:r>
        <w:r>
          <w:rPr>
            <w:color w:val="007FAC"/>
            <w:w w:val="115"/>
            <w:sz w:val="12"/>
          </w:rPr>
          <w:t>B.</w:t>
        </w:r>
        <w:r>
          <w:rPr>
            <w:color w:val="007FAC"/>
            <w:spacing w:val="-11"/>
            <w:w w:val="115"/>
            <w:sz w:val="12"/>
          </w:rPr>
          <w:t> </w:t>
        </w:r>
        <w:r>
          <w:rPr>
            <w:color w:val="007FAC"/>
            <w:w w:val="115"/>
            <w:sz w:val="12"/>
          </w:rPr>
          <w:t>Barbed</w:t>
        </w:r>
        <w:r>
          <w:rPr>
            <w:color w:val="007FAC"/>
            <w:spacing w:val="-11"/>
            <w:w w:val="115"/>
            <w:sz w:val="12"/>
          </w:rPr>
          <w:t> </w:t>
        </w:r>
        <w:r>
          <w:rPr>
            <w:color w:val="007FAC"/>
            <w:w w:val="115"/>
            <w:sz w:val="12"/>
          </w:rPr>
          <w:t>versus</w:t>
        </w:r>
        <w:r>
          <w:rPr>
            <w:color w:val="007FAC"/>
            <w:spacing w:val="-11"/>
            <w:w w:val="115"/>
            <w:sz w:val="12"/>
          </w:rPr>
          <w:t> </w:t>
        </w:r>
        <w:r>
          <w:rPr>
            <w:color w:val="007FAC"/>
            <w:w w:val="115"/>
            <w:sz w:val="12"/>
          </w:rPr>
          <w:t>standard</w:t>
        </w:r>
        <w:r>
          <w:rPr>
            <w:color w:val="007FAC"/>
            <w:spacing w:val="-11"/>
            <w:w w:val="115"/>
            <w:sz w:val="12"/>
          </w:rPr>
          <w:t> </w:t>
        </w:r>
        <w:r>
          <w:rPr>
            <w:color w:val="007FAC"/>
            <w:w w:val="115"/>
            <w:sz w:val="12"/>
          </w:rPr>
          <w:t>sutures</w:t>
        </w:r>
      </w:hyperlink>
      <w:hyperlink r:id="rId101">
        <w:r>
          <w:rPr>
            <w:color w:val="007FAC"/>
            <w:w w:val="115"/>
            <w:sz w:val="12"/>
          </w:rPr>
          <w:t> in total knee arthroplasty: a meta-analysis. Eur J Orthop Surg Traumatol</w:t>
        </w:r>
      </w:hyperlink>
      <w:bookmarkStart w:name="_bookmark73" w:id="109"/>
      <w:bookmarkEnd w:id="109"/>
      <w:r>
        <w:rPr>
          <w:color w:val="007FAC"/>
          <w:w w:val="115"/>
          <w:sz w:val="12"/>
        </w:rPr>
      </w:r>
      <w:hyperlink r:id="rId101">
        <w:r>
          <w:rPr>
            <w:color w:val="007FAC"/>
            <w:w w:val="115"/>
            <w:sz w:val="12"/>
          </w:rPr>
          <w:t> 2015;25(6):1105</w:t>
        </w:r>
      </w:hyperlink>
      <w:r>
        <w:rPr>
          <w:w w:val="115"/>
          <w:sz w:val="12"/>
        </w:rPr>
        <w:t>.</w:t>
      </w:r>
    </w:p>
    <w:p>
      <w:pPr>
        <w:pStyle w:val="ListParagraph"/>
        <w:numPr>
          <w:ilvl w:val="0"/>
          <w:numId w:val="3"/>
        </w:numPr>
        <w:tabs>
          <w:tab w:pos="442" w:val="left" w:leader="none"/>
        </w:tabs>
        <w:spacing w:line="256" w:lineRule="auto" w:before="0" w:after="0"/>
        <w:ind w:left="441" w:right="305" w:hanging="326"/>
        <w:jc w:val="both"/>
        <w:rPr>
          <w:sz w:val="12"/>
        </w:rPr>
      </w:pPr>
      <w:hyperlink r:id="rId102">
        <w:r>
          <w:rPr>
            <w:color w:val="007FAC"/>
            <w:w w:val="115"/>
            <w:sz w:val="12"/>
          </w:rPr>
          <w:t>Sundaram</w:t>
        </w:r>
        <w:r>
          <w:rPr>
            <w:color w:val="007FAC"/>
            <w:spacing w:val="-10"/>
            <w:w w:val="115"/>
            <w:sz w:val="12"/>
          </w:rPr>
          <w:t> </w:t>
        </w:r>
        <w:r>
          <w:rPr>
            <w:color w:val="007FAC"/>
            <w:w w:val="115"/>
            <w:sz w:val="12"/>
          </w:rPr>
          <w:t>K,</w:t>
        </w:r>
        <w:r>
          <w:rPr>
            <w:color w:val="007FAC"/>
            <w:spacing w:val="-8"/>
            <w:w w:val="115"/>
            <w:sz w:val="12"/>
          </w:rPr>
          <w:t> </w:t>
        </w:r>
        <w:r>
          <w:rPr>
            <w:color w:val="007FAC"/>
            <w:w w:val="115"/>
            <w:sz w:val="12"/>
          </w:rPr>
          <w:t>Piuzzi</w:t>
        </w:r>
        <w:r>
          <w:rPr>
            <w:color w:val="007FAC"/>
            <w:spacing w:val="-9"/>
            <w:w w:val="115"/>
            <w:sz w:val="12"/>
          </w:rPr>
          <w:t> </w:t>
        </w:r>
        <w:r>
          <w:rPr>
            <w:color w:val="007FAC"/>
            <w:w w:val="115"/>
            <w:sz w:val="12"/>
          </w:rPr>
          <w:t>NS,</w:t>
        </w:r>
        <w:r>
          <w:rPr>
            <w:color w:val="007FAC"/>
            <w:spacing w:val="-7"/>
            <w:w w:val="115"/>
            <w:sz w:val="12"/>
          </w:rPr>
          <w:t> </w:t>
        </w:r>
        <w:r>
          <w:rPr>
            <w:color w:val="007FAC"/>
            <w:w w:val="115"/>
            <w:sz w:val="12"/>
          </w:rPr>
          <w:t>Patterson</w:t>
        </w:r>
        <w:r>
          <w:rPr>
            <w:color w:val="007FAC"/>
            <w:spacing w:val="-9"/>
            <w:w w:val="115"/>
            <w:sz w:val="12"/>
          </w:rPr>
          <w:t> </w:t>
        </w:r>
        <w:r>
          <w:rPr>
            <w:color w:val="007FAC"/>
            <w:w w:val="115"/>
            <w:sz w:val="12"/>
          </w:rPr>
          <w:t>BM,</w:t>
        </w:r>
        <w:r>
          <w:rPr>
            <w:color w:val="007FAC"/>
            <w:spacing w:val="-8"/>
            <w:w w:val="115"/>
            <w:sz w:val="12"/>
          </w:rPr>
          <w:t> </w:t>
        </w:r>
        <w:r>
          <w:rPr>
            <w:color w:val="007FAC"/>
            <w:w w:val="115"/>
            <w:sz w:val="12"/>
          </w:rPr>
          <w:t>et</w:t>
        </w:r>
        <w:r>
          <w:rPr>
            <w:color w:val="007FAC"/>
            <w:spacing w:val="-9"/>
            <w:w w:val="115"/>
            <w:sz w:val="12"/>
          </w:rPr>
          <w:t> </w:t>
        </w:r>
        <w:r>
          <w:rPr>
            <w:color w:val="007FAC"/>
            <w:w w:val="115"/>
            <w:sz w:val="12"/>
          </w:rPr>
          <w:t>al.</w:t>
        </w:r>
        <w:r>
          <w:rPr>
            <w:color w:val="007FAC"/>
            <w:spacing w:val="-8"/>
            <w:w w:val="115"/>
            <w:sz w:val="12"/>
          </w:rPr>
          <w:t> </w:t>
        </w:r>
        <w:r>
          <w:rPr>
            <w:color w:val="007FAC"/>
            <w:w w:val="115"/>
            <w:sz w:val="12"/>
          </w:rPr>
          <w:t>Correction</w:t>
        </w:r>
        <w:r>
          <w:rPr>
            <w:color w:val="007FAC"/>
            <w:spacing w:val="-9"/>
            <w:w w:val="115"/>
            <w:sz w:val="12"/>
          </w:rPr>
          <w:t> </w:t>
        </w:r>
        <w:r>
          <w:rPr>
            <w:color w:val="007FAC"/>
            <w:w w:val="115"/>
            <w:sz w:val="12"/>
          </w:rPr>
          <w:t>to:</w:t>
        </w:r>
        <w:r>
          <w:rPr>
            <w:color w:val="007FAC"/>
            <w:spacing w:val="-8"/>
            <w:w w:val="115"/>
            <w:sz w:val="12"/>
          </w:rPr>
          <w:t> </w:t>
        </w:r>
        <w:r>
          <w:rPr>
            <w:color w:val="007FAC"/>
            <w:w w:val="115"/>
            <w:sz w:val="12"/>
          </w:rPr>
          <w:t>skin</w:t>
        </w:r>
        <w:r>
          <w:rPr>
            <w:color w:val="007FAC"/>
            <w:spacing w:val="-9"/>
            <w:w w:val="115"/>
            <w:sz w:val="12"/>
          </w:rPr>
          <w:t> </w:t>
        </w:r>
        <w:r>
          <w:rPr>
            <w:color w:val="007FAC"/>
            <w:w w:val="115"/>
            <w:sz w:val="12"/>
          </w:rPr>
          <w:t>closure</w:t>
        </w:r>
        <w:r>
          <w:rPr>
            <w:color w:val="007FAC"/>
            <w:spacing w:val="-8"/>
            <w:w w:val="115"/>
            <w:sz w:val="12"/>
          </w:rPr>
          <w:t> </w:t>
        </w:r>
        <w:r>
          <w:rPr>
            <w:color w:val="007FAC"/>
            <w:w w:val="115"/>
            <w:sz w:val="12"/>
          </w:rPr>
          <w:t>with</w:t>
        </w:r>
        <w:r>
          <w:rPr>
            <w:color w:val="007FAC"/>
            <w:spacing w:val="-9"/>
            <w:w w:val="115"/>
            <w:sz w:val="12"/>
          </w:rPr>
          <w:t> </w:t>
        </w:r>
        <w:r>
          <w:rPr>
            <w:color w:val="007FAC"/>
            <w:w w:val="115"/>
            <w:sz w:val="12"/>
          </w:rPr>
          <w:t>2-</w:t>
        </w:r>
      </w:hyperlink>
      <w:hyperlink r:id="rId102">
        <w:r>
          <w:rPr>
            <w:color w:val="007FAC"/>
            <w:w w:val="115"/>
            <w:sz w:val="12"/>
          </w:rPr>
          <w:t> octyl cyanoacrylate and polyester mesh after primary total knee arthroplasty</w:t>
        </w:r>
      </w:hyperlink>
      <w:hyperlink r:id="rId102">
        <w:r>
          <w:rPr>
            <w:color w:val="007FAC"/>
            <w:w w:val="115"/>
            <w:sz w:val="12"/>
          </w:rPr>
          <w:t> offers superior cosmetic outcomes and patient satisfaction compared to </w:t>
        </w:r>
        <w:r>
          <w:rPr>
            <w:color w:val="007FAC"/>
            <w:spacing w:val="-4"/>
            <w:w w:val="115"/>
            <w:sz w:val="12"/>
          </w:rPr>
          <w:t>sta-</w:t>
        </w:r>
      </w:hyperlink>
      <w:hyperlink r:id="rId102">
        <w:r>
          <w:rPr>
            <w:color w:val="007FAC"/>
            <w:spacing w:val="-4"/>
            <w:w w:val="115"/>
            <w:sz w:val="12"/>
          </w:rPr>
          <w:t> </w:t>
        </w:r>
        <w:r>
          <w:rPr>
            <w:color w:val="007FAC"/>
            <w:w w:val="115"/>
            <w:sz w:val="12"/>
          </w:rPr>
          <w:t>ples:</w:t>
        </w:r>
        <w:r>
          <w:rPr>
            <w:color w:val="007FAC"/>
            <w:spacing w:val="9"/>
            <w:w w:val="115"/>
            <w:sz w:val="12"/>
          </w:rPr>
          <w:t> </w:t>
        </w:r>
        <w:r>
          <w:rPr>
            <w:color w:val="007FAC"/>
            <w:w w:val="115"/>
            <w:sz w:val="12"/>
          </w:rPr>
          <w:t>a</w:t>
        </w:r>
        <w:r>
          <w:rPr>
            <w:color w:val="007FAC"/>
            <w:spacing w:val="10"/>
            <w:w w:val="115"/>
            <w:sz w:val="12"/>
          </w:rPr>
          <w:t> </w:t>
        </w:r>
        <w:r>
          <w:rPr>
            <w:color w:val="007FAC"/>
            <w:w w:val="115"/>
            <w:sz w:val="12"/>
          </w:rPr>
          <w:t>prospective</w:t>
        </w:r>
        <w:r>
          <w:rPr>
            <w:color w:val="007FAC"/>
            <w:spacing w:val="10"/>
            <w:w w:val="115"/>
            <w:sz w:val="12"/>
          </w:rPr>
          <w:t> </w:t>
        </w:r>
        <w:r>
          <w:rPr>
            <w:color w:val="007FAC"/>
            <w:w w:val="115"/>
            <w:sz w:val="12"/>
          </w:rPr>
          <w:t>trial.</w:t>
        </w:r>
        <w:r>
          <w:rPr>
            <w:color w:val="007FAC"/>
            <w:spacing w:val="9"/>
            <w:w w:val="115"/>
            <w:sz w:val="12"/>
          </w:rPr>
          <w:t> </w:t>
        </w:r>
        <w:r>
          <w:rPr>
            <w:color w:val="007FAC"/>
            <w:w w:val="115"/>
            <w:sz w:val="12"/>
          </w:rPr>
          <w:t>Eur</w:t>
        </w:r>
        <w:r>
          <w:rPr>
            <w:color w:val="007FAC"/>
            <w:spacing w:val="10"/>
            <w:w w:val="115"/>
            <w:sz w:val="12"/>
          </w:rPr>
          <w:t> </w:t>
        </w:r>
        <w:r>
          <w:rPr>
            <w:color w:val="007FAC"/>
            <w:w w:val="115"/>
            <w:sz w:val="12"/>
          </w:rPr>
          <w:t>J</w:t>
        </w:r>
        <w:r>
          <w:rPr>
            <w:color w:val="007FAC"/>
            <w:spacing w:val="10"/>
            <w:w w:val="115"/>
            <w:sz w:val="12"/>
          </w:rPr>
          <w:t> </w:t>
        </w:r>
        <w:r>
          <w:rPr>
            <w:color w:val="007FAC"/>
            <w:w w:val="115"/>
            <w:sz w:val="12"/>
          </w:rPr>
          <w:t>Orthop</w:t>
        </w:r>
        <w:r>
          <w:rPr>
            <w:color w:val="007FAC"/>
            <w:spacing w:val="10"/>
            <w:w w:val="115"/>
            <w:sz w:val="12"/>
          </w:rPr>
          <w:t> </w:t>
        </w:r>
        <w:r>
          <w:rPr>
            <w:color w:val="007FAC"/>
            <w:w w:val="115"/>
            <w:sz w:val="12"/>
          </w:rPr>
          <w:t>Surg</w:t>
        </w:r>
        <w:r>
          <w:rPr>
            <w:color w:val="007FAC"/>
            <w:spacing w:val="10"/>
            <w:w w:val="115"/>
            <w:sz w:val="12"/>
          </w:rPr>
          <w:t> </w:t>
        </w:r>
        <w:r>
          <w:rPr>
            <w:color w:val="007FAC"/>
            <w:w w:val="115"/>
            <w:sz w:val="12"/>
          </w:rPr>
          <w:t>Traumatol</w:t>
        </w:r>
        <w:r>
          <w:rPr>
            <w:color w:val="007FAC"/>
            <w:spacing w:val="9"/>
            <w:w w:val="115"/>
            <w:sz w:val="12"/>
          </w:rPr>
          <w:t> </w:t>
        </w:r>
        <w:r>
          <w:rPr>
            <w:color w:val="007FAC"/>
            <w:w w:val="115"/>
            <w:sz w:val="12"/>
          </w:rPr>
          <w:t>2020;30(3):447</w:t>
        </w:r>
      </w:hyperlink>
      <w:r>
        <w:rPr>
          <w:w w:val="115"/>
          <w:sz w:val="12"/>
        </w:rPr>
        <w:t>.</w:t>
      </w:r>
    </w:p>
    <w:p>
      <w:pPr>
        <w:spacing w:after="0" w:line="256" w:lineRule="auto"/>
        <w:jc w:val="both"/>
        <w:rPr>
          <w:sz w:val="12"/>
        </w:rPr>
        <w:sectPr>
          <w:type w:val="continuous"/>
          <w:pgSz w:w="11910" w:h="15880"/>
          <w:pgMar w:top="840" w:bottom="360" w:left="540" w:right="540"/>
          <w:cols w:num="2" w:equalWidth="0">
            <w:col w:w="5178" w:space="202"/>
            <w:col w:w="5450"/>
          </w:cols>
        </w:sectPr>
      </w:pPr>
    </w:p>
    <w:p>
      <w:pPr>
        <w:pStyle w:val="BodyText"/>
        <w:rPr>
          <w:sz w:val="20"/>
        </w:rPr>
      </w:pPr>
    </w:p>
    <w:p>
      <w:pPr>
        <w:pStyle w:val="BodyText"/>
        <w:spacing w:before="8"/>
      </w:pPr>
    </w:p>
    <w:p>
      <w:pPr>
        <w:pStyle w:val="BodyText"/>
        <w:ind w:left="310"/>
      </w:pPr>
      <w:bookmarkStart w:name="Appendix" w:id="110"/>
      <w:bookmarkEnd w:id="110"/>
      <w:r>
        <w:rPr/>
      </w:r>
      <w:bookmarkStart w:name="Appendix A" w:id="111"/>
      <w:bookmarkEnd w:id="111"/>
      <w:r>
        <w:rPr/>
      </w:r>
      <w:r>
        <w:rPr>
          <w:w w:val="105"/>
        </w:rPr>
        <w:t>Appendix</w:t>
      </w:r>
    </w:p>
    <w:p>
      <w:pPr>
        <w:pStyle w:val="BodyText"/>
        <w:spacing w:before="1"/>
        <w:rPr>
          <w:sz w:val="18"/>
        </w:rPr>
      </w:pPr>
    </w:p>
    <w:p>
      <w:pPr>
        <w:spacing w:before="1"/>
        <w:ind w:left="310" w:right="0" w:firstLine="0"/>
        <w:jc w:val="left"/>
        <w:rPr>
          <w:i/>
          <w:sz w:val="16"/>
        </w:rPr>
      </w:pPr>
      <w:bookmarkStart w:name="_bookmark74" w:id="112"/>
      <w:bookmarkEnd w:id="112"/>
      <w:r>
        <w:rPr/>
      </w:r>
      <w:r>
        <w:rPr>
          <w:i/>
          <w:sz w:val="16"/>
        </w:rPr>
        <w:t>Appendix </w:t>
      </w:r>
      <w:r>
        <w:rPr>
          <w:i/>
          <w:spacing w:val="3"/>
          <w:sz w:val="16"/>
        </w:rPr>
        <w:t> </w:t>
      </w:r>
      <w:r>
        <w:rPr>
          <w:i/>
          <w:sz w:val="16"/>
        </w:rPr>
        <w:t>A</w:t>
      </w:r>
    </w:p>
    <w:p>
      <w:pPr>
        <w:pStyle w:val="BodyText"/>
        <w:spacing w:before="2"/>
        <w:rPr>
          <w:i/>
          <w:sz w:val="18"/>
        </w:rPr>
      </w:pPr>
    </w:p>
    <w:p>
      <w:pPr>
        <w:pStyle w:val="BodyText"/>
        <w:spacing w:line="252" w:lineRule="auto"/>
        <w:ind w:left="549" w:right="-18"/>
      </w:pPr>
      <w:r>
        <w:rPr>
          <w:w w:val="105"/>
        </w:rPr>
        <w:t>Search Strategy Details MEDLINE search terms</w:t>
      </w:r>
    </w:p>
    <w:p>
      <w:pPr>
        <w:tabs>
          <w:tab w:pos="6862" w:val="left" w:leader="none"/>
        </w:tabs>
        <w:spacing w:before="99"/>
        <w:ind w:left="310" w:right="0" w:firstLine="0"/>
        <w:jc w:val="left"/>
        <w:rPr>
          <w:sz w:val="12"/>
        </w:rPr>
      </w:pPr>
      <w:r>
        <w:rPr/>
        <w:br w:type="column"/>
      </w:r>
      <w:r>
        <w:rPr>
          <w:i/>
          <w:w w:val="110"/>
          <w:sz w:val="12"/>
        </w:rPr>
        <w:t>M.A. Snyder et al. / Arthroplasty</w:t>
      </w:r>
      <w:r>
        <w:rPr>
          <w:i/>
          <w:spacing w:val="30"/>
          <w:w w:val="110"/>
          <w:sz w:val="12"/>
        </w:rPr>
        <w:t> </w:t>
      </w:r>
      <w:r>
        <w:rPr>
          <w:i/>
          <w:w w:val="110"/>
          <w:sz w:val="12"/>
        </w:rPr>
        <w:t>Today  xxx  (2021)</w:t>
      </w:r>
      <w:r>
        <w:rPr>
          <w:i/>
          <w:spacing w:val="12"/>
          <w:w w:val="110"/>
          <w:sz w:val="12"/>
        </w:rPr>
        <w:t> </w:t>
      </w:r>
      <w:r>
        <w:rPr>
          <w:i/>
          <w:spacing w:val="-3"/>
          <w:w w:val="110"/>
          <w:sz w:val="12"/>
        </w:rPr>
        <w:t>1</w:t>
      </w:r>
      <w:r>
        <w:rPr>
          <w:rFonts w:ascii="Lucida Sans"/>
          <w:spacing w:val="-3"/>
          <w:w w:val="110"/>
          <w:sz w:val="12"/>
        </w:rPr>
        <w:t>e</w:t>
      </w:r>
      <w:r>
        <w:rPr>
          <w:i/>
          <w:spacing w:val="-3"/>
          <w:w w:val="110"/>
          <w:sz w:val="12"/>
        </w:rPr>
        <w:t>10.e7</w:t>
        <w:tab/>
      </w:r>
      <w:r>
        <w:rPr>
          <w:w w:val="110"/>
          <w:sz w:val="12"/>
        </w:rPr>
        <w:t>10.e1</w:t>
      </w:r>
    </w:p>
    <w:p>
      <w:pPr>
        <w:pStyle w:val="BodyText"/>
        <w:spacing w:before="1"/>
      </w:pPr>
    </w:p>
    <w:p>
      <w:pPr>
        <w:pStyle w:val="BodyText"/>
        <w:spacing w:line="249" w:lineRule="auto"/>
        <w:ind w:left="2626" w:right="110" w:hanging="1"/>
        <w:jc w:val="both"/>
      </w:pPr>
      <w:r>
        <w:rPr>
          <w:w w:val="105"/>
        </w:rPr>
        <w:t>octyl cyanoacrylate") AND ("Polyester mesh" OR </w:t>
      </w:r>
      <w:r>
        <w:rPr>
          <w:rFonts w:ascii="Lucida Sans" w:hAnsi="Lucida Sans"/>
          <w:w w:val="105"/>
        </w:rPr>
        <w:t>“</w:t>
      </w:r>
      <w:r>
        <w:rPr>
          <w:w w:val="105"/>
        </w:rPr>
        <w:t>adhesive mesh</w:t>
      </w:r>
      <w:r>
        <w:rPr>
          <w:rFonts w:ascii="Lucida Sans" w:hAnsi="Lucida Sans"/>
          <w:w w:val="105"/>
        </w:rPr>
        <w:t>”</w:t>
      </w:r>
      <w:r>
        <w:rPr>
          <w:w w:val="105"/>
        </w:rPr>
        <w:t>)</w:t>
      </w:r>
    </w:p>
    <w:p>
      <w:pPr>
        <w:pStyle w:val="BodyText"/>
        <w:spacing w:line="252" w:lineRule="auto" w:before="4"/>
        <w:ind w:left="2626" w:right="111" w:hanging="228"/>
        <w:jc w:val="both"/>
      </w:pPr>
      <w:r>
        <w:rPr>
          <w:w w:val="105"/>
        </w:rPr>
        <w:t>6) Dermabond OR Liquiband OR Exo</w:t>
      </w:r>
      <w:r>
        <w:rPr>
          <w:rFonts w:ascii="Times New Roman" w:hAnsi="Times New Roman"/>
          <w:w w:val="105"/>
        </w:rPr>
        <w:t>ﬁ</w:t>
      </w:r>
      <w:r>
        <w:rPr>
          <w:w w:val="105"/>
        </w:rPr>
        <w:t>n OR Prineo OR Aquacel OR</w:t>
      </w:r>
      <w:r>
        <w:rPr>
          <w:spacing w:val="-26"/>
          <w:w w:val="105"/>
        </w:rPr>
        <w:t> </w:t>
      </w:r>
      <w:r>
        <w:rPr>
          <w:w w:val="105"/>
        </w:rPr>
        <w:t>(Aquacel</w:t>
      </w:r>
      <w:r>
        <w:rPr>
          <w:spacing w:val="-25"/>
          <w:w w:val="105"/>
        </w:rPr>
        <w:t> </w:t>
      </w:r>
      <w:r>
        <w:rPr>
          <w:w w:val="105"/>
        </w:rPr>
        <w:t>AND</w:t>
      </w:r>
      <w:r>
        <w:rPr>
          <w:spacing w:val="-25"/>
          <w:w w:val="105"/>
        </w:rPr>
        <w:t> </w:t>
      </w:r>
      <w:r>
        <w:rPr>
          <w:w w:val="105"/>
        </w:rPr>
        <w:t>Silver)</w:t>
      </w:r>
      <w:r>
        <w:rPr>
          <w:spacing w:val="-25"/>
          <w:w w:val="105"/>
        </w:rPr>
        <w:t> </w:t>
      </w:r>
      <w:r>
        <w:rPr>
          <w:w w:val="105"/>
        </w:rPr>
        <w:t>OR</w:t>
      </w:r>
      <w:r>
        <w:rPr>
          <w:spacing w:val="-25"/>
          <w:w w:val="105"/>
        </w:rPr>
        <w:t> </w:t>
      </w:r>
      <w:r>
        <w:rPr>
          <w:w w:val="105"/>
        </w:rPr>
        <w:t>(Aquacel</w:t>
      </w:r>
      <w:r>
        <w:rPr>
          <w:spacing w:val="-25"/>
          <w:w w:val="105"/>
        </w:rPr>
        <w:t> </w:t>
      </w:r>
      <w:r>
        <w:rPr>
          <w:w w:val="105"/>
        </w:rPr>
        <w:t>AND</w:t>
      </w:r>
      <w:r>
        <w:rPr>
          <w:spacing w:val="-27"/>
          <w:w w:val="105"/>
        </w:rPr>
        <w:t> </w:t>
      </w:r>
      <w:r>
        <w:rPr>
          <w:w w:val="105"/>
        </w:rPr>
        <w:t>Ag)</w:t>
      </w:r>
      <w:r>
        <w:rPr>
          <w:spacing w:val="-25"/>
          <w:w w:val="105"/>
        </w:rPr>
        <w:t> </w:t>
      </w:r>
      <w:r>
        <w:rPr>
          <w:w w:val="105"/>
        </w:rPr>
        <w:t>OR</w:t>
      </w:r>
      <w:r>
        <w:rPr>
          <w:spacing w:val="-25"/>
          <w:w w:val="105"/>
        </w:rPr>
        <w:t> </w:t>
      </w:r>
      <w:r>
        <w:rPr>
          <w:w w:val="105"/>
        </w:rPr>
        <w:t>Tegaderm OR Opsite OR Sorbact OR "Steri-strip" OR "Steri strip" OR "Skin adhesive" OR "Tissue adhesive" OR suture OR (suture AND barbed) OR (suture AND knotless) staples OR</w:t>
      </w:r>
      <w:r>
        <w:rPr>
          <w:spacing w:val="10"/>
          <w:w w:val="105"/>
        </w:rPr>
        <w:t> </w:t>
      </w:r>
      <w:r>
        <w:rPr>
          <w:spacing w:val="-3"/>
          <w:w w:val="105"/>
        </w:rPr>
        <w:t>(wound</w:t>
      </w:r>
    </w:p>
    <w:p>
      <w:pPr>
        <w:spacing w:after="0" w:line="252" w:lineRule="auto"/>
        <w:jc w:val="both"/>
        <w:sectPr>
          <w:pgSz w:w="11910" w:h="15880"/>
          <w:pgMar w:header="210" w:footer="165" w:top="840" w:bottom="360" w:left="540" w:right="540"/>
          <w:cols w:num="2" w:equalWidth="0">
            <w:col w:w="2324" w:space="1217"/>
            <w:col w:w="7289"/>
          </w:cols>
        </w:sectPr>
      </w:pPr>
    </w:p>
    <w:p>
      <w:pPr>
        <w:pStyle w:val="ListParagraph"/>
        <w:numPr>
          <w:ilvl w:val="1"/>
          <w:numId w:val="4"/>
        </w:numPr>
        <w:tabs>
          <w:tab w:pos="788" w:val="left" w:leader="none"/>
        </w:tabs>
        <w:spacing w:line="252" w:lineRule="auto" w:before="7" w:after="0"/>
        <w:ind w:left="787" w:right="0" w:hanging="227"/>
        <w:jc w:val="both"/>
        <w:rPr>
          <w:sz w:val="16"/>
        </w:rPr>
      </w:pPr>
      <w:r>
        <w:rPr>
          <w:w w:val="105"/>
          <w:sz w:val="16"/>
        </w:rPr>
        <w:t>(knee[MeSH Terms] OR knee[All Fields]) AND (replace </w:t>
      </w:r>
      <w:r>
        <w:rPr>
          <w:spacing w:val="-7"/>
          <w:w w:val="105"/>
          <w:sz w:val="16"/>
        </w:rPr>
        <w:t>OR </w:t>
      </w:r>
      <w:r>
        <w:rPr>
          <w:w w:val="105"/>
          <w:sz w:val="16"/>
        </w:rPr>
        <w:t>replacement)</w:t>
      </w:r>
    </w:p>
    <w:p>
      <w:pPr>
        <w:pStyle w:val="ListParagraph"/>
        <w:numPr>
          <w:ilvl w:val="1"/>
          <w:numId w:val="4"/>
        </w:numPr>
        <w:tabs>
          <w:tab w:pos="788" w:val="left" w:leader="none"/>
        </w:tabs>
        <w:spacing w:line="252" w:lineRule="auto" w:before="1" w:after="0"/>
        <w:ind w:left="787" w:right="0" w:hanging="227"/>
        <w:jc w:val="both"/>
        <w:rPr>
          <w:sz w:val="16"/>
        </w:rPr>
      </w:pPr>
      <w:r>
        <w:rPr>
          <w:spacing w:val="-3"/>
          <w:w w:val="105"/>
          <w:sz w:val="16"/>
        </w:rPr>
        <w:t>Total </w:t>
      </w:r>
      <w:r>
        <w:rPr>
          <w:w w:val="105"/>
          <w:sz w:val="16"/>
        </w:rPr>
        <w:t>knee arthroplasty OR arthroplasty of the knee[Title/ Abstract] OR knee arthroplast</w:t>
      </w:r>
      <w:r>
        <w:rPr>
          <w:rFonts w:ascii="Lucida Sans"/>
          <w:w w:val="105"/>
          <w:sz w:val="16"/>
        </w:rPr>
        <w:t>*</w:t>
      </w:r>
      <w:r>
        <w:rPr>
          <w:w w:val="105"/>
          <w:sz w:val="16"/>
        </w:rPr>
        <w:t>[Title/Abstract] OR </w:t>
      </w:r>
      <w:r>
        <w:rPr>
          <w:spacing w:val="-3"/>
          <w:w w:val="105"/>
          <w:sz w:val="16"/>
        </w:rPr>
        <w:t>knee</w:t>
      </w:r>
      <w:r>
        <w:rPr>
          <w:spacing w:val="36"/>
          <w:w w:val="105"/>
          <w:sz w:val="16"/>
        </w:rPr>
        <w:t> </w:t>
      </w:r>
      <w:r>
        <w:rPr>
          <w:w w:val="105"/>
          <w:sz w:val="16"/>
        </w:rPr>
        <w:t>replac</w:t>
      </w:r>
      <w:r>
        <w:rPr>
          <w:rFonts w:ascii="Lucida Sans"/>
          <w:w w:val="105"/>
          <w:sz w:val="16"/>
        </w:rPr>
        <w:t>*</w:t>
      </w:r>
      <w:r>
        <w:rPr>
          <w:w w:val="105"/>
          <w:sz w:val="16"/>
        </w:rPr>
        <w:t>[Title/Abstract] OR knee arthroplasty[Title/Abstract] OR "Arthroplasty, Replacement,</w:t>
      </w:r>
      <w:r>
        <w:rPr>
          <w:spacing w:val="19"/>
          <w:w w:val="105"/>
          <w:sz w:val="16"/>
        </w:rPr>
        <w:t> </w:t>
      </w:r>
      <w:r>
        <w:rPr>
          <w:w w:val="105"/>
          <w:sz w:val="16"/>
        </w:rPr>
        <w:t>Knee"[Mesh]</w:t>
      </w:r>
    </w:p>
    <w:p>
      <w:pPr>
        <w:pStyle w:val="ListParagraph"/>
        <w:numPr>
          <w:ilvl w:val="1"/>
          <w:numId w:val="4"/>
        </w:numPr>
        <w:tabs>
          <w:tab w:pos="788" w:val="left" w:leader="none"/>
        </w:tabs>
        <w:spacing w:line="252" w:lineRule="auto" w:before="0" w:after="0"/>
        <w:ind w:left="787" w:right="0" w:hanging="227"/>
        <w:jc w:val="both"/>
        <w:rPr>
          <w:sz w:val="16"/>
        </w:rPr>
      </w:pPr>
      <w:r>
        <w:rPr>
          <w:w w:val="105"/>
          <w:sz w:val="16"/>
        </w:rPr>
        <w:t>("hip"[MeSH Terms] OR "hip"[All Fields]) AND (replace </w:t>
      </w:r>
      <w:r>
        <w:rPr>
          <w:spacing w:val="-7"/>
          <w:w w:val="105"/>
          <w:sz w:val="16"/>
        </w:rPr>
        <w:t>OR </w:t>
      </w:r>
      <w:r>
        <w:rPr>
          <w:w w:val="105"/>
          <w:sz w:val="16"/>
        </w:rPr>
        <w:t>replacement)</w:t>
      </w:r>
    </w:p>
    <w:p>
      <w:pPr>
        <w:pStyle w:val="ListParagraph"/>
        <w:numPr>
          <w:ilvl w:val="1"/>
          <w:numId w:val="4"/>
        </w:numPr>
        <w:tabs>
          <w:tab w:pos="788" w:val="left" w:leader="none"/>
        </w:tabs>
        <w:spacing w:line="252" w:lineRule="auto" w:before="0" w:after="0"/>
        <w:ind w:left="787" w:right="0" w:hanging="227"/>
        <w:jc w:val="both"/>
        <w:rPr>
          <w:sz w:val="16"/>
        </w:rPr>
      </w:pPr>
      <w:r>
        <w:rPr>
          <w:spacing w:val="-3"/>
          <w:w w:val="105"/>
          <w:sz w:val="16"/>
        </w:rPr>
        <w:t>Total </w:t>
      </w:r>
      <w:r>
        <w:rPr>
          <w:w w:val="105"/>
          <w:sz w:val="16"/>
        </w:rPr>
        <w:t>hip arthroplasty OR "Arthroplasty, Replacement, Hip"[Mesh]</w:t>
      </w:r>
      <w:r>
        <w:rPr>
          <w:spacing w:val="-12"/>
          <w:w w:val="105"/>
          <w:sz w:val="16"/>
        </w:rPr>
        <w:t> </w:t>
      </w:r>
      <w:r>
        <w:rPr>
          <w:w w:val="105"/>
          <w:sz w:val="16"/>
        </w:rPr>
        <w:t>OR</w:t>
      </w:r>
      <w:r>
        <w:rPr>
          <w:spacing w:val="-12"/>
          <w:w w:val="105"/>
          <w:sz w:val="16"/>
        </w:rPr>
        <w:t> </w:t>
      </w:r>
      <w:r>
        <w:rPr>
          <w:w w:val="105"/>
          <w:sz w:val="16"/>
        </w:rPr>
        <w:t>hip</w:t>
      </w:r>
      <w:r>
        <w:rPr>
          <w:spacing w:val="-12"/>
          <w:w w:val="105"/>
          <w:sz w:val="16"/>
        </w:rPr>
        <w:t> </w:t>
      </w:r>
      <w:r>
        <w:rPr>
          <w:w w:val="105"/>
          <w:sz w:val="16"/>
        </w:rPr>
        <w:t>replac</w:t>
      </w:r>
      <w:r>
        <w:rPr>
          <w:rFonts w:ascii="Lucida Sans"/>
          <w:w w:val="105"/>
          <w:sz w:val="16"/>
        </w:rPr>
        <w:t>*</w:t>
      </w:r>
      <w:r>
        <w:rPr>
          <w:w w:val="105"/>
          <w:sz w:val="16"/>
        </w:rPr>
        <w:t>[tiab]</w:t>
      </w:r>
      <w:r>
        <w:rPr>
          <w:spacing w:val="-11"/>
          <w:w w:val="105"/>
          <w:sz w:val="16"/>
        </w:rPr>
        <w:t> </w:t>
      </w:r>
      <w:r>
        <w:rPr>
          <w:w w:val="105"/>
          <w:sz w:val="16"/>
        </w:rPr>
        <w:t>OR</w:t>
      </w:r>
      <w:r>
        <w:rPr>
          <w:spacing w:val="-12"/>
          <w:w w:val="105"/>
          <w:sz w:val="16"/>
        </w:rPr>
        <w:t> </w:t>
      </w:r>
      <w:r>
        <w:rPr>
          <w:w w:val="105"/>
          <w:sz w:val="16"/>
        </w:rPr>
        <w:t>hip</w:t>
      </w:r>
      <w:r>
        <w:rPr>
          <w:spacing w:val="-12"/>
          <w:w w:val="105"/>
          <w:sz w:val="16"/>
        </w:rPr>
        <w:t> </w:t>
      </w:r>
      <w:r>
        <w:rPr>
          <w:w w:val="105"/>
          <w:sz w:val="16"/>
        </w:rPr>
        <w:t>arthroplast</w:t>
      </w:r>
      <w:r>
        <w:rPr>
          <w:rFonts w:ascii="Lucida Sans"/>
          <w:w w:val="105"/>
          <w:sz w:val="16"/>
        </w:rPr>
        <w:t>*</w:t>
      </w:r>
      <w:r>
        <w:rPr>
          <w:w w:val="105"/>
          <w:sz w:val="16"/>
        </w:rPr>
        <w:t>[tiab]</w:t>
      </w:r>
      <w:r>
        <w:rPr>
          <w:spacing w:val="-12"/>
          <w:w w:val="105"/>
          <w:sz w:val="16"/>
        </w:rPr>
        <w:t> </w:t>
      </w:r>
      <w:r>
        <w:rPr>
          <w:w w:val="105"/>
          <w:sz w:val="16"/>
        </w:rPr>
        <w:t>OR arthroplasty of the</w:t>
      </w:r>
      <w:r>
        <w:rPr>
          <w:spacing w:val="22"/>
          <w:w w:val="105"/>
          <w:sz w:val="16"/>
        </w:rPr>
        <w:t> </w:t>
      </w:r>
      <w:r>
        <w:rPr>
          <w:w w:val="105"/>
          <w:sz w:val="16"/>
        </w:rPr>
        <w:t>hip[tiab]</w:t>
      </w:r>
    </w:p>
    <w:p>
      <w:pPr>
        <w:pStyle w:val="ListParagraph"/>
        <w:numPr>
          <w:ilvl w:val="1"/>
          <w:numId w:val="4"/>
        </w:numPr>
        <w:tabs>
          <w:tab w:pos="788" w:val="left" w:leader="none"/>
        </w:tabs>
        <w:spacing w:line="252" w:lineRule="auto" w:before="1" w:after="0"/>
        <w:ind w:left="787" w:right="0" w:hanging="227"/>
        <w:jc w:val="both"/>
        <w:rPr>
          <w:sz w:val="16"/>
        </w:rPr>
      </w:pPr>
      <w:r>
        <w:rPr>
          <w:w w:val="105"/>
          <w:sz w:val="16"/>
        </w:rPr>
        <w:t>(("octyl 2-cyanoacrylate"[Supplementary Concept]) </w:t>
      </w:r>
      <w:r>
        <w:rPr>
          <w:spacing w:val="-7"/>
          <w:w w:val="105"/>
          <w:sz w:val="16"/>
        </w:rPr>
        <w:t>OR  </w:t>
      </w:r>
      <w:r>
        <w:rPr>
          <w:w w:val="105"/>
          <w:sz w:val="16"/>
        </w:rPr>
        <w:t>"octyl 2-cyanoacrylate"[All Fields] OR Cyanoacrylate </w:t>
      </w:r>
      <w:r>
        <w:rPr>
          <w:spacing w:val="-7"/>
          <w:w w:val="105"/>
          <w:sz w:val="16"/>
        </w:rPr>
        <w:t>OR </w:t>
      </w:r>
      <w:r>
        <w:rPr>
          <w:w w:val="105"/>
          <w:sz w:val="16"/>
        </w:rPr>
        <w:t>Octylcyanoacrylate OR "N-butyl-2-cyanoacrylate" OR</w:t>
      </w:r>
      <w:r>
        <w:rPr>
          <w:spacing w:val="18"/>
          <w:w w:val="105"/>
          <w:sz w:val="16"/>
        </w:rPr>
        <w:t> </w:t>
      </w:r>
      <w:r>
        <w:rPr>
          <w:spacing w:val="-5"/>
          <w:w w:val="105"/>
          <w:sz w:val="16"/>
        </w:rPr>
        <w:t>"2-</w:t>
      </w:r>
    </w:p>
    <w:p>
      <w:pPr>
        <w:pStyle w:val="BodyText"/>
        <w:spacing w:line="252" w:lineRule="auto" w:before="2"/>
        <w:ind w:left="795"/>
      </w:pPr>
      <w:r>
        <w:rPr/>
        <w:br w:type="column"/>
      </w:r>
      <w:r>
        <w:rPr>
          <w:w w:val="105"/>
        </w:rPr>
        <w:t>AND closure) OR (wound AND dressing) OR (skin AND closure)</w:t>
      </w:r>
    </w:p>
    <w:p>
      <w:pPr>
        <w:pStyle w:val="ListParagraph"/>
        <w:numPr>
          <w:ilvl w:val="0"/>
          <w:numId w:val="5"/>
        </w:numPr>
        <w:tabs>
          <w:tab w:pos="796" w:val="left" w:leader="none"/>
        </w:tabs>
        <w:spacing w:line="240" w:lineRule="auto" w:before="1" w:after="0"/>
        <w:ind w:left="795" w:right="0" w:hanging="229"/>
        <w:jc w:val="left"/>
        <w:rPr>
          <w:sz w:val="16"/>
        </w:rPr>
      </w:pPr>
      <w:r>
        <w:rPr>
          <w:w w:val="105"/>
          <w:sz w:val="16"/>
        </w:rPr>
        <w:t>1</w:t>
      </w:r>
      <w:r>
        <w:rPr>
          <w:spacing w:val="13"/>
          <w:w w:val="105"/>
          <w:sz w:val="16"/>
        </w:rPr>
        <w:t> </w:t>
      </w:r>
      <w:r>
        <w:rPr>
          <w:w w:val="105"/>
          <w:sz w:val="16"/>
        </w:rPr>
        <w:t>OR</w:t>
      </w:r>
      <w:r>
        <w:rPr>
          <w:spacing w:val="13"/>
          <w:w w:val="105"/>
          <w:sz w:val="16"/>
        </w:rPr>
        <w:t> </w:t>
      </w:r>
      <w:r>
        <w:rPr>
          <w:w w:val="105"/>
          <w:sz w:val="16"/>
        </w:rPr>
        <w:t>2</w:t>
      </w:r>
      <w:r>
        <w:rPr>
          <w:spacing w:val="14"/>
          <w:w w:val="105"/>
          <w:sz w:val="16"/>
        </w:rPr>
        <w:t> </w:t>
      </w:r>
      <w:r>
        <w:rPr>
          <w:w w:val="105"/>
          <w:sz w:val="16"/>
        </w:rPr>
        <w:t>(search</w:t>
      </w:r>
      <w:r>
        <w:rPr>
          <w:spacing w:val="14"/>
          <w:w w:val="105"/>
          <w:sz w:val="16"/>
        </w:rPr>
        <w:t> </w:t>
      </w:r>
      <w:r>
        <w:rPr>
          <w:w w:val="105"/>
          <w:sz w:val="16"/>
        </w:rPr>
        <w:t>for</w:t>
      </w:r>
      <w:r>
        <w:rPr>
          <w:spacing w:val="13"/>
          <w:w w:val="105"/>
          <w:sz w:val="16"/>
        </w:rPr>
        <w:t> </w:t>
      </w:r>
      <w:r>
        <w:rPr>
          <w:w w:val="105"/>
          <w:sz w:val="16"/>
        </w:rPr>
        <w:t>studies</w:t>
      </w:r>
      <w:r>
        <w:rPr>
          <w:spacing w:val="13"/>
          <w:w w:val="105"/>
          <w:sz w:val="16"/>
        </w:rPr>
        <w:t> </w:t>
      </w:r>
      <w:r>
        <w:rPr>
          <w:w w:val="105"/>
          <w:sz w:val="16"/>
        </w:rPr>
        <w:t>on</w:t>
      </w:r>
      <w:r>
        <w:rPr>
          <w:spacing w:val="13"/>
          <w:w w:val="105"/>
          <w:sz w:val="16"/>
        </w:rPr>
        <w:t> </w:t>
      </w:r>
      <w:r>
        <w:rPr>
          <w:w w:val="105"/>
          <w:sz w:val="16"/>
        </w:rPr>
        <w:t>total</w:t>
      </w:r>
      <w:r>
        <w:rPr>
          <w:spacing w:val="14"/>
          <w:w w:val="105"/>
          <w:sz w:val="16"/>
        </w:rPr>
        <w:t> </w:t>
      </w:r>
      <w:r>
        <w:rPr>
          <w:w w:val="105"/>
          <w:sz w:val="16"/>
        </w:rPr>
        <w:t>knee</w:t>
      </w:r>
      <w:r>
        <w:rPr>
          <w:spacing w:val="12"/>
          <w:w w:val="105"/>
          <w:sz w:val="16"/>
        </w:rPr>
        <w:t> </w:t>
      </w:r>
      <w:r>
        <w:rPr>
          <w:w w:val="105"/>
          <w:sz w:val="16"/>
        </w:rPr>
        <w:t>arthroplasty)</w:t>
      </w:r>
    </w:p>
    <w:p>
      <w:pPr>
        <w:pStyle w:val="ListParagraph"/>
        <w:numPr>
          <w:ilvl w:val="0"/>
          <w:numId w:val="5"/>
        </w:numPr>
        <w:tabs>
          <w:tab w:pos="796" w:val="left" w:leader="none"/>
        </w:tabs>
        <w:spacing w:line="240" w:lineRule="auto" w:before="10" w:after="0"/>
        <w:ind w:left="795" w:right="0" w:hanging="229"/>
        <w:jc w:val="left"/>
        <w:rPr>
          <w:sz w:val="16"/>
        </w:rPr>
      </w:pPr>
      <w:r>
        <w:rPr>
          <w:w w:val="105"/>
          <w:sz w:val="16"/>
        </w:rPr>
        <w:t>3 OR 4  (search  for studies on total  hip</w:t>
      </w:r>
      <w:r>
        <w:rPr>
          <w:spacing w:val="-18"/>
          <w:w w:val="105"/>
          <w:sz w:val="16"/>
        </w:rPr>
        <w:t> </w:t>
      </w:r>
      <w:r>
        <w:rPr>
          <w:w w:val="105"/>
          <w:sz w:val="16"/>
        </w:rPr>
        <w:t>arthroplasty)</w:t>
      </w:r>
    </w:p>
    <w:p>
      <w:pPr>
        <w:pStyle w:val="ListParagraph"/>
        <w:numPr>
          <w:ilvl w:val="0"/>
          <w:numId w:val="5"/>
        </w:numPr>
        <w:tabs>
          <w:tab w:pos="796" w:val="left" w:leader="none"/>
        </w:tabs>
        <w:spacing w:line="240" w:lineRule="auto" w:before="11" w:after="0"/>
        <w:ind w:left="795" w:right="0" w:hanging="229"/>
        <w:jc w:val="left"/>
        <w:rPr>
          <w:sz w:val="16"/>
        </w:rPr>
      </w:pPr>
      <w:r>
        <w:rPr>
          <w:w w:val="105"/>
          <w:sz w:val="16"/>
        </w:rPr>
        <w:t>7</w:t>
      </w:r>
      <w:r>
        <w:rPr>
          <w:spacing w:val="9"/>
          <w:w w:val="105"/>
          <w:sz w:val="16"/>
        </w:rPr>
        <w:t> </w:t>
      </w:r>
      <w:r>
        <w:rPr>
          <w:w w:val="105"/>
          <w:sz w:val="16"/>
        </w:rPr>
        <w:t>OR</w:t>
      </w:r>
      <w:r>
        <w:rPr>
          <w:spacing w:val="10"/>
          <w:w w:val="105"/>
          <w:sz w:val="16"/>
        </w:rPr>
        <w:t> </w:t>
      </w:r>
      <w:r>
        <w:rPr>
          <w:w w:val="105"/>
          <w:sz w:val="16"/>
        </w:rPr>
        <w:t>8</w:t>
      </w:r>
      <w:r>
        <w:rPr>
          <w:spacing w:val="11"/>
          <w:w w:val="105"/>
          <w:sz w:val="16"/>
        </w:rPr>
        <w:t> </w:t>
      </w:r>
      <w:r>
        <w:rPr>
          <w:w w:val="105"/>
          <w:sz w:val="16"/>
        </w:rPr>
        <w:t>(total</w:t>
      </w:r>
      <w:r>
        <w:rPr>
          <w:spacing w:val="10"/>
          <w:w w:val="105"/>
          <w:sz w:val="16"/>
        </w:rPr>
        <w:t> </w:t>
      </w:r>
      <w:r>
        <w:rPr>
          <w:w w:val="105"/>
          <w:sz w:val="16"/>
        </w:rPr>
        <w:t>knee</w:t>
      </w:r>
      <w:r>
        <w:rPr>
          <w:spacing w:val="9"/>
          <w:w w:val="105"/>
          <w:sz w:val="16"/>
        </w:rPr>
        <w:t> </w:t>
      </w:r>
      <w:r>
        <w:rPr>
          <w:w w:val="105"/>
          <w:sz w:val="16"/>
        </w:rPr>
        <w:t>arthroplasty</w:t>
      </w:r>
      <w:r>
        <w:rPr>
          <w:spacing w:val="10"/>
          <w:w w:val="105"/>
          <w:sz w:val="16"/>
        </w:rPr>
        <w:t> </w:t>
      </w:r>
      <w:r>
        <w:rPr>
          <w:w w:val="105"/>
          <w:sz w:val="16"/>
        </w:rPr>
        <w:t>OR</w:t>
      </w:r>
      <w:r>
        <w:rPr>
          <w:spacing w:val="10"/>
          <w:w w:val="105"/>
          <w:sz w:val="16"/>
        </w:rPr>
        <w:t> </w:t>
      </w:r>
      <w:r>
        <w:rPr>
          <w:w w:val="105"/>
          <w:sz w:val="16"/>
        </w:rPr>
        <w:t>total</w:t>
      </w:r>
      <w:r>
        <w:rPr>
          <w:spacing w:val="11"/>
          <w:w w:val="105"/>
          <w:sz w:val="16"/>
        </w:rPr>
        <w:t> </w:t>
      </w:r>
      <w:r>
        <w:rPr>
          <w:w w:val="105"/>
          <w:sz w:val="16"/>
        </w:rPr>
        <w:t>hip</w:t>
      </w:r>
      <w:r>
        <w:rPr>
          <w:spacing w:val="10"/>
          <w:w w:val="105"/>
          <w:sz w:val="16"/>
        </w:rPr>
        <w:t> </w:t>
      </w:r>
      <w:r>
        <w:rPr>
          <w:w w:val="105"/>
          <w:sz w:val="16"/>
        </w:rPr>
        <w:t>arthroplasty)</w:t>
      </w:r>
    </w:p>
    <w:p>
      <w:pPr>
        <w:pStyle w:val="ListParagraph"/>
        <w:numPr>
          <w:ilvl w:val="0"/>
          <w:numId w:val="5"/>
        </w:numPr>
        <w:tabs>
          <w:tab w:pos="796" w:val="left" w:leader="none"/>
        </w:tabs>
        <w:spacing w:line="240" w:lineRule="auto" w:before="10" w:after="0"/>
        <w:ind w:left="795" w:right="0" w:hanging="312"/>
        <w:jc w:val="left"/>
        <w:rPr>
          <w:sz w:val="16"/>
        </w:rPr>
      </w:pPr>
      <w:r>
        <w:rPr>
          <w:w w:val="110"/>
          <w:sz w:val="16"/>
        </w:rPr>
        <w:t>5 OR 6 (closure</w:t>
      </w:r>
      <w:r>
        <w:rPr>
          <w:spacing w:val="18"/>
          <w:w w:val="110"/>
          <w:sz w:val="16"/>
        </w:rPr>
        <w:t> </w:t>
      </w:r>
      <w:r>
        <w:rPr>
          <w:w w:val="110"/>
          <w:sz w:val="16"/>
        </w:rPr>
        <w:t>terms)</w:t>
      </w:r>
    </w:p>
    <w:p>
      <w:pPr>
        <w:pStyle w:val="ListParagraph"/>
        <w:numPr>
          <w:ilvl w:val="0"/>
          <w:numId w:val="5"/>
        </w:numPr>
        <w:tabs>
          <w:tab w:pos="796" w:val="left" w:leader="none"/>
        </w:tabs>
        <w:spacing w:line="252" w:lineRule="auto" w:before="11" w:after="0"/>
        <w:ind w:left="795" w:right="111" w:hanging="306"/>
        <w:jc w:val="both"/>
        <w:rPr>
          <w:sz w:val="16"/>
        </w:rPr>
      </w:pPr>
      <w:r>
        <w:rPr>
          <w:w w:val="105"/>
          <w:sz w:val="16"/>
        </w:rPr>
        <w:t>9 AND </w:t>
      </w:r>
      <w:r>
        <w:rPr>
          <w:spacing w:val="-6"/>
          <w:w w:val="105"/>
          <w:sz w:val="16"/>
        </w:rPr>
        <w:t>10 </w:t>
      </w:r>
      <w:r>
        <w:rPr>
          <w:w w:val="105"/>
          <w:sz w:val="16"/>
        </w:rPr>
        <w:t>((total knee arthroplasty OR total hip arthroplasty) AND closure</w:t>
      </w:r>
      <w:r>
        <w:rPr>
          <w:spacing w:val="11"/>
          <w:w w:val="105"/>
          <w:sz w:val="16"/>
        </w:rPr>
        <w:t> </w:t>
      </w:r>
      <w:r>
        <w:rPr>
          <w:w w:val="105"/>
          <w:sz w:val="16"/>
        </w:rPr>
        <w:t>terms)</w:t>
      </w:r>
    </w:p>
    <w:p>
      <w:pPr>
        <w:pStyle w:val="ListParagraph"/>
        <w:numPr>
          <w:ilvl w:val="0"/>
          <w:numId w:val="5"/>
        </w:numPr>
        <w:tabs>
          <w:tab w:pos="796" w:val="left" w:leader="none"/>
        </w:tabs>
        <w:spacing w:line="252" w:lineRule="auto" w:before="1" w:after="0"/>
        <w:ind w:left="795" w:right="112" w:hanging="316"/>
        <w:jc w:val="both"/>
        <w:rPr>
          <w:sz w:val="16"/>
        </w:rPr>
      </w:pPr>
      <w:r>
        <w:rPr>
          <w:spacing w:val="-9"/>
          <w:w w:val="105"/>
          <w:sz w:val="16"/>
        </w:rPr>
        <w:t>11 </w:t>
      </w:r>
      <w:r>
        <w:rPr>
          <w:w w:val="105"/>
          <w:sz w:val="16"/>
        </w:rPr>
        <w:t>NOT (news[Publication Type] OR comment[Publication Type] OR case reports[Publication Type] OR editorial[Publi- cation</w:t>
      </w:r>
      <w:r>
        <w:rPr>
          <w:spacing w:val="1"/>
          <w:w w:val="105"/>
          <w:sz w:val="16"/>
        </w:rPr>
        <w:t> </w:t>
      </w:r>
      <w:r>
        <w:rPr>
          <w:w w:val="105"/>
          <w:sz w:val="16"/>
        </w:rPr>
        <w:t>Type])</w:t>
      </w:r>
    </w:p>
    <w:p>
      <w:pPr>
        <w:pStyle w:val="ListParagraph"/>
        <w:numPr>
          <w:ilvl w:val="0"/>
          <w:numId w:val="5"/>
        </w:numPr>
        <w:tabs>
          <w:tab w:pos="796" w:val="left" w:leader="none"/>
        </w:tabs>
        <w:spacing w:line="252" w:lineRule="auto" w:before="0" w:after="0"/>
        <w:ind w:left="795" w:right="110" w:hanging="312"/>
        <w:jc w:val="both"/>
        <w:rPr>
          <w:sz w:val="16"/>
        </w:rPr>
      </w:pPr>
      <w:r>
        <w:rPr>
          <w:spacing w:val="-4"/>
          <w:w w:val="105"/>
          <w:sz w:val="16"/>
        </w:rPr>
        <w:t>12 </w:t>
      </w:r>
      <w:r>
        <w:rPr>
          <w:w w:val="105"/>
          <w:sz w:val="16"/>
        </w:rPr>
        <w:t>with Filters: Humans, English, publication date </w:t>
      </w:r>
      <w:r>
        <w:rPr>
          <w:spacing w:val="-3"/>
          <w:w w:val="105"/>
          <w:sz w:val="16"/>
        </w:rPr>
        <w:t>from </w:t>
      </w:r>
      <w:r>
        <w:rPr>
          <w:w w:val="105"/>
          <w:sz w:val="16"/>
        </w:rPr>
        <w:t>January </w:t>
      </w:r>
      <w:r>
        <w:rPr>
          <w:spacing w:val="-7"/>
          <w:w w:val="105"/>
          <w:sz w:val="16"/>
        </w:rPr>
        <w:t>01,</w:t>
      </w:r>
      <w:r>
        <w:rPr>
          <w:spacing w:val="16"/>
          <w:w w:val="105"/>
          <w:sz w:val="16"/>
        </w:rPr>
        <w:t> </w:t>
      </w:r>
      <w:r>
        <w:rPr>
          <w:spacing w:val="2"/>
          <w:w w:val="105"/>
          <w:sz w:val="16"/>
        </w:rPr>
        <w:t>2000</w:t>
      </w:r>
    </w:p>
    <w:p>
      <w:pPr>
        <w:spacing w:after="0" w:line="252" w:lineRule="auto"/>
        <w:jc w:val="both"/>
        <w:rPr>
          <w:sz w:val="16"/>
        </w:rPr>
        <w:sectPr>
          <w:type w:val="continuous"/>
          <w:pgSz w:w="11910" w:h="15880"/>
          <w:pgMar w:top="840" w:bottom="360" w:left="540" w:right="540"/>
          <w:cols w:num="2" w:equalWidth="0">
            <w:col w:w="5333" w:space="40"/>
            <w:col w:w="5457"/>
          </w:cols>
        </w:sectPr>
      </w:pPr>
    </w:p>
    <w:p>
      <w:pPr>
        <w:tabs>
          <w:tab w:pos="3657" w:val="left" w:leader="none"/>
        </w:tabs>
        <w:spacing w:before="99"/>
        <w:ind w:left="116" w:right="0" w:firstLine="0"/>
        <w:jc w:val="left"/>
        <w:rPr>
          <w:i/>
          <w:sz w:val="12"/>
        </w:rPr>
      </w:pPr>
      <w:bookmarkStart w:name="Appendix B" w:id="113"/>
      <w:bookmarkEnd w:id="113"/>
      <w:r>
        <w:rPr/>
      </w:r>
      <w:r>
        <w:rPr>
          <w:w w:val="110"/>
          <w:sz w:val="12"/>
        </w:rPr>
        <w:t>10.e2</w:t>
        <w:tab/>
      </w:r>
      <w:r>
        <w:rPr>
          <w:i/>
          <w:w w:val="110"/>
          <w:sz w:val="12"/>
        </w:rPr>
        <w:t>M.A. Snyder et al. / Arthroplasty Today xxx (2021)</w:t>
      </w:r>
      <w:r>
        <w:rPr>
          <w:i/>
          <w:spacing w:val="15"/>
          <w:w w:val="110"/>
          <w:sz w:val="12"/>
        </w:rPr>
        <w:t> </w:t>
      </w:r>
      <w:r>
        <w:rPr>
          <w:i/>
          <w:spacing w:val="-3"/>
          <w:w w:val="110"/>
          <w:sz w:val="12"/>
        </w:rPr>
        <w:t>1</w:t>
      </w:r>
      <w:r>
        <w:rPr>
          <w:rFonts w:ascii="Lucida Sans"/>
          <w:spacing w:val="-3"/>
          <w:w w:val="110"/>
          <w:sz w:val="12"/>
        </w:rPr>
        <w:t>e</w:t>
      </w:r>
      <w:r>
        <w:rPr>
          <w:i/>
          <w:spacing w:val="-3"/>
          <w:w w:val="110"/>
          <w:sz w:val="12"/>
        </w:rPr>
        <w:t>10.e7</w:t>
      </w:r>
    </w:p>
    <w:p>
      <w:pPr>
        <w:pStyle w:val="BodyText"/>
        <w:spacing w:before="9"/>
        <w:rPr>
          <w:i/>
          <w:sz w:val="8"/>
        </w:rPr>
      </w:pPr>
    </w:p>
    <w:p>
      <w:pPr>
        <w:spacing w:before="107"/>
        <w:ind w:left="116" w:right="0" w:firstLine="0"/>
        <w:jc w:val="left"/>
        <w:rPr>
          <w:i/>
          <w:sz w:val="16"/>
        </w:rPr>
      </w:pPr>
      <w:r>
        <w:rPr>
          <w:i/>
          <w:w w:val="105"/>
          <w:sz w:val="16"/>
        </w:rPr>
        <w:t>Appendix B</w:t>
      </w:r>
    </w:p>
    <w:p>
      <w:pPr>
        <w:pStyle w:val="BodyText"/>
        <w:rPr>
          <w:i/>
          <w:sz w:val="20"/>
        </w:rPr>
      </w:pPr>
    </w:p>
    <w:p>
      <w:pPr>
        <w:pStyle w:val="BodyText"/>
        <w:spacing w:before="3"/>
        <w:rPr>
          <w:i/>
          <w:sz w:val="19"/>
        </w:rPr>
      </w:pPr>
    </w:p>
    <w:p>
      <w:pPr>
        <w:spacing w:before="0"/>
        <w:ind w:left="116" w:right="0" w:firstLine="0"/>
        <w:jc w:val="left"/>
        <w:rPr>
          <w:sz w:val="12"/>
        </w:rPr>
      </w:pPr>
      <w:bookmarkStart w:name="_bookmark75" w:id="114"/>
      <w:bookmarkEnd w:id="114"/>
      <w:r>
        <w:rPr/>
      </w:r>
      <w:r>
        <w:rPr>
          <w:w w:val="120"/>
          <w:sz w:val="12"/>
        </w:rPr>
        <w:t>Supplement Table 1</w:t>
      </w:r>
    </w:p>
    <w:p>
      <w:pPr>
        <w:spacing w:before="22"/>
        <w:ind w:left="116" w:right="0" w:firstLine="0"/>
        <w:jc w:val="left"/>
        <w:rPr>
          <w:sz w:val="12"/>
        </w:rPr>
      </w:pPr>
      <w:r>
        <w:rPr>
          <w:w w:val="115"/>
          <w:sz w:val="12"/>
        </w:rPr>
        <w:t>Methodological quality assessment of the RCT using the Cochrane risk of bias tool.</w:t>
      </w:r>
    </w:p>
    <w:p>
      <w:pPr>
        <w:pStyle w:val="BodyText"/>
        <w:spacing w:before="9"/>
        <w:rPr>
          <w:sz w:val="5"/>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85"/>
        <w:gridCol w:w="1246"/>
        <w:gridCol w:w="1028"/>
        <w:gridCol w:w="1708"/>
        <w:gridCol w:w="1423"/>
        <w:gridCol w:w="1040"/>
        <w:gridCol w:w="869"/>
        <w:gridCol w:w="638"/>
        <w:gridCol w:w="1066"/>
      </w:tblGrid>
      <w:tr>
        <w:trPr>
          <w:trHeight w:val="419" w:hRule="atLeast"/>
        </w:trPr>
        <w:tc>
          <w:tcPr>
            <w:tcW w:w="1385" w:type="dxa"/>
            <w:tcBorders>
              <w:top w:val="single" w:sz="6" w:space="0" w:color="000000"/>
              <w:bottom w:val="single" w:sz="6" w:space="0" w:color="000000"/>
            </w:tcBorders>
          </w:tcPr>
          <w:p>
            <w:pPr>
              <w:pStyle w:val="TableParagraph"/>
              <w:spacing w:before="56"/>
              <w:ind w:left="119"/>
              <w:rPr>
                <w:sz w:val="12"/>
              </w:rPr>
            </w:pPr>
            <w:r>
              <w:rPr>
                <w:w w:val="110"/>
                <w:sz w:val="12"/>
              </w:rPr>
              <w:t>Study</w:t>
            </w:r>
          </w:p>
        </w:tc>
        <w:tc>
          <w:tcPr>
            <w:tcW w:w="1246" w:type="dxa"/>
            <w:tcBorders>
              <w:top w:val="single" w:sz="6" w:space="0" w:color="000000"/>
              <w:bottom w:val="single" w:sz="6" w:space="0" w:color="000000"/>
            </w:tcBorders>
          </w:tcPr>
          <w:p>
            <w:pPr>
              <w:pStyle w:val="TableParagraph"/>
              <w:spacing w:line="276" w:lineRule="auto" w:before="56"/>
              <w:ind w:left="27" w:hanging="1"/>
              <w:rPr>
                <w:sz w:val="12"/>
              </w:rPr>
            </w:pPr>
            <w:r>
              <w:rPr>
                <w:w w:val="115"/>
                <w:sz w:val="12"/>
              </w:rPr>
              <w:t>Random sequence generation</w:t>
            </w:r>
          </w:p>
        </w:tc>
        <w:tc>
          <w:tcPr>
            <w:tcW w:w="1028" w:type="dxa"/>
            <w:tcBorders>
              <w:top w:val="single" w:sz="6" w:space="0" w:color="000000"/>
              <w:bottom w:val="single" w:sz="6" w:space="0" w:color="000000"/>
            </w:tcBorders>
          </w:tcPr>
          <w:p>
            <w:pPr>
              <w:pStyle w:val="TableParagraph"/>
              <w:spacing w:line="276" w:lineRule="auto" w:before="56"/>
              <w:ind w:left="109" w:right="132"/>
              <w:rPr>
                <w:sz w:val="12"/>
              </w:rPr>
            </w:pPr>
            <w:r>
              <w:rPr>
                <w:w w:val="115"/>
                <w:sz w:val="12"/>
              </w:rPr>
              <w:t>Allocation concealment</w:t>
            </w:r>
          </w:p>
        </w:tc>
        <w:tc>
          <w:tcPr>
            <w:tcW w:w="1708" w:type="dxa"/>
            <w:tcBorders>
              <w:top w:val="single" w:sz="6" w:space="0" w:color="000000"/>
              <w:bottom w:val="single" w:sz="6" w:space="0" w:color="000000"/>
            </w:tcBorders>
          </w:tcPr>
          <w:p>
            <w:pPr>
              <w:pStyle w:val="TableParagraph"/>
              <w:spacing w:line="276" w:lineRule="auto" w:before="56"/>
              <w:ind w:left="142"/>
              <w:rPr>
                <w:sz w:val="12"/>
              </w:rPr>
            </w:pPr>
            <w:r>
              <w:rPr>
                <w:w w:val="110"/>
                <w:sz w:val="12"/>
              </w:rPr>
              <w:t>Blinding of participants and personnel</w:t>
            </w:r>
          </w:p>
        </w:tc>
        <w:tc>
          <w:tcPr>
            <w:tcW w:w="1423" w:type="dxa"/>
            <w:tcBorders>
              <w:top w:val="single" w:sz="6" w:space="0" w:color="000000"/>
              <w:bottom w:val="single" w:sz="6" w:space="0" w:color="000000"/>
            </w:tcBorders>
          </w:tcPr>
          <w:p>
            <w:pPr>
              <w:pStyle w:val="TableParagraph"/>
              <w:spacing w:line="276" w:lineRule="auto" w:before="56"/>
              <w:ind w:left="137"/>
              <w:rPr>
                <w:sz w:val="12"/>
              </w:rPr>
            </w:pPr>
            <w:r>
              <w:rPr>
                <w:w w:val="115"/>
                <w:sz w:val="12"/>
              </w:rPr>
              <w:t>Blinding of outcome assessors</w:t>
            </w:r>
          </w:p>
        </w:tc>
        <w:tc>
          <w:tcPr>
            <w:tcW w:w="1040" w:type="dxa"/>
            <w:tcBorders>
              <w:top w:val="single" w:sz="6" w:space="0" w:color="000000"/>
              <w:bottom w:val="single" w:sz="6" w:space="0" w:color="000000"/>
            </w:tcBorders>
          </w:tcPr>
          <w:p>
            <w:pPr>
              <w:pStyle w:val="TableParagraph"/>
              <w:spacing w:line="276" w:lineRule="auto" w:before="56"/>
              <w:ind w:left="49" w:right="141"/>
              <w:rPr>
                <w:sz w:val="12"/>
              </w:rPr>
            </w:pPr>
            <w:r>
              <w:rPr>
                <w:w w:val="115"/>
                <w:sz w:val="12"/>
              </w:rPr>
              <w:t>Incomplete outcome data</w:t>
            </w:r>
          </w:p>
        </w:tc>
        <w:tc>
          <w:tcPr>
            <w:tcW w:w="869" w:type="dxa"/>
            <w:tcBorders>
              <w:top w:val="single" w:sz="6" w:space="0" w:color="000000"/>
              <w:bottom w:val="single" w:sz="6" w:space="0" w:color="000000"/>
            </w:tcBorders>
          </w:tcPr>
          <w:p>
            <w:pPr>
              <w:pStyle w:val="TableParagraph"/>
              <w:spacing w:line="276" w:lineRule="auto" w:before="56"/>
              <w:ind w:left="153"/>
              <w:rPr>
                <w:sz w:val="12"/>
              </w:rPr>
            </w:pPr>
            <w:r>
              <w:rPr>
                <w:w w:val="115"/>
                <w:sz w:val="12"/>
              </w:rPr>
              <w:t>Selective </w:t>
            </w:r>
            <w:r>
              <w:rPr>
                <w:w w:val="110"/>
                <w:sz w:val="12"/>
              </w:rPr>
              <w:t>reporting</w:t>
            </w:r>
          </w:p>
        </w:tc>
        <w:tc>
          <w:tcPr>
            <w:tcW w:w="638" w:type="dxa"/>
            <w:tcBorders>
              <w:top w:val="single" w:sz="6" w:space="0" w:color="000000"/>
              <w:bottom w:val="single" w:sz="6" w:space="0" w:color="000000"/>
            </w:tcBorders>
          </w:tcPr>
          <w:p>
            <w:pPr>
              <w:pStyle w:val="TableParagraph"/>
              <w:spacing w:line="276" w:lineRule="auto" w:before="56"/>
              <w:ind w:left="141" w:right="137"/>
              <w:rPr>
                <w:sz w:val="12"/>
              </w:rPr>
            </w:pPr>
            <w:r>
              <w:rPr>
                <w:w w:val="110"/>
                <w:sz w:val="12"/>
              </w:rPr>
              <w:t>Other </w:t>
            </w:r>
            <w:r>
              <w:rPr>
                <w:w w:val="115"/>
                <w:sz w:val="12"/>
              </w:rPr>
              <w:t>bias</w:t>
            </w:r>
          </w:p>
        </w:tc>
        <w:tc>
          <w:tcPr>
            <w:tcW w:w="1066" w:type="dxa"/>
            <w:tcBorders>
              <w:top w:val="single" w:sz="6" w:space="0" w:color="000000"/>
              <w:bottom w:val="single" w:sz="6" w:space="0" w:color="000000"/>
            </w:tcBorders>
          </w:tcPr>
          <w:p>
            <w:pPr>
              <w:pStyle w:val="TableParagraph"/>
              <w:spacing w:line="276" w:lineRule="auto" w:before="56"/>
              <w:ind w:left="26" w:right="337"/>
              <w:rPr>
                <w:sz w:val="12"/>
              </w:rPr>
            </w:pPr>
            <w:r>
              <w:rPr>
                <w:w w:val="115"/>
                <w:sz w:val="12"/>
              </w:rPr>
              <w:t>Summary assessment</w:t>
            </w:r>
          </w:p>
        </w:tc>
      </w:tr>
      <w:tr>
        <w:trPr>
          <w:trHeight w:val="210" w:hRule="atLeast"/>
        </w:trPr>
        <w:tc>
          <w:tcPr>
            <w:tcW w:w="1385" w:type="dxa"/>
            <w:tcBorders>
              <w:top w:val="single" w:sz="6" w:space="0" w:color="000000"/>
            </w:tcBorders>
          </w:tcPr>
          <w:p>
            <w:pPr>
              <w:pStyle w:val="TableParagraph"/>
              <w:spacing w:line="134" w:lineRule="exact" w:before="56"/>
              <w:ind w:left="119"/>
              <w:rPr>
                <w:sz w:val="12"/>
              </w:rPr>
            </w:pPr>
            <w:r>
              <w:rPr>
                <w:w w:val="120"/>
                <w:sz w:val="12"/>
              </w:rPr>
              <w:t>Chan, 2017 [</w:t>
            </w:r>
            <w:hyperlink w:history="true" w:anchor="_bookmark43">
              <w:r>
                <w:rPr>
                  <w:color w:val="007FAC"/>
                  <w:w w:val="120"/>
                  <w:sz w:val="12"/>
                </w:rPr>
                <w:t>32</w:t>
              </w:r>
            </w:hyperlink>
            <w:r>
              <w:rPr>
                <w:w w:val="120"/>
                <w:sz w:val="12"/>
              </w:rPr>
              <w:t>]</w:t>
            </w:r>
          </w:p>
        </w:tc>
        <w:tc>
          <w:tcPr>
            <w:tcW w:w="1246" w:type="dxa"/>
            <w:tcBorders>
              <w:top w:val="single" w:sz="6" w:space="0" w:color="000000"/>
            </w:tcBorders>
          </w:tcPr>
          <w:p>
            <w:pPr>
              <w:pStyle w:val="TableParagraph"/>
              <w:spacing w:line="134" w:lineRule="exact" w:before="56"/>
              <w:ind w:left="27"/>
              <w:rPr>
                <w:sz w:val="12"/>
              </w:rPr>
            </w:pPr>
            <w:r>
              <w:rPr>
                <w:w w:val="105"/>
                <w:sz w:val="12"/>
              </w:rPr>
              <w:t>Low</w:t>
            </w:r>
          </w:p>
        </w:tc>
        <w:tc>
          <w:tcPr>
            <w:tcW w:w="1028" w:type="dxa"/>
            <w:tcBorders>
              <w:top w:val="single" w:sz="6" w:space="0" w:color="000000"/>
            </w:tcBorders>
          </w:tcPr>
          <w:p>
            <w:pPr>
              <w:pStyle w:val="TableParagraph"/>
              <w:spacing w:line="134" w:lineRule="exact" w:before="56"/>
              <w:ind w:left="109"/>
              <w:rPr>
                <w:sz w:val="12"/>
              </w:rPr>
            </w:pPr>
            <w:r>
              <w:rPr>
                <w:w w:val="110"/>
                <w:sz w:val="12"/>
              </w:rPr>
              <w:t>Unclear</w:t>
            </w:r>
          </w:p>
        </w:tc>
        <w:tc>
          <w:tcPr>
            <w:tcW w:w="1708" w:type="dxa"/>
            <w:tcBorders>
              <w:top w:val="single" w:sz="6" w:space="0" w:color="000000"/>
            </w:tcBorders>
          </w:tcPr>
          <w:p>
            <w:pPr>
              <w:pStyle w:val="TableParagraph"/>
              <w:spacing w:line="134" w:lineRule="exact" w:before="56"/>
              <w:ind w:left="142"/>
              <w:rPr>
                <w:sz w:val="12"/>
              </w:rPr>
            </w:pPr>
            <w:r>
              <w:rPr>
                <w:w w:val="105"/>
                <w:sz w:val="12"/>
              </w:rPr>
              <w:t>Low</w:t>
            </w:r>
          </w:p>
        </w:tc>
        <w:tc>
          <w:tcPr>
            <w:tcW w:w="1423" w:type="dxa"/>
            <w:tcBorders>
              <w:top w:val="single" w:sz="6" w:space="0" w:color="000000"/>
            </w:tcBorders>
          </w:tcPr>
          <w:p>
            <w:pPr>
              <w:pStyle w:val="TableParagraph"/>
              <w:spacing w:line="134" w:lineRule="exact" w:before="56"/>
              <w:ind w:left="137"/>
              <w:rPr>
                <w:sz w:val="12"/>
              </w:rPr>
            </w:pPr>
            <w:r>
              <w:rPr>
                <w:w w:val="105"/>
                <w:sz w:val="12"/>
              </w:rPr>
              <w:t>Low</w:t>
            </w:r>
          </w:p>
        </w:tc>
        <w:tc>
          <w:tcPr>
            <w:tcW w:w="1040" w:type="dxa"/>
            <w:tcBorders>
              <w:top w:val="single" w:sz="6" w:space="0" w:color="000000"/>
            </w:tcBorders>
          </w:tcPr>
          <w:p>
            <w:pPr>
              <w:pStyle w:val="TableParagraph"/>
              <w:spacing w:line="134" w:lineRule="exact" w:before="56"/>
              <w:ind w:left="49"/>
              <w:rPr>
                <w:sz w:val="12"/>
              </w:rPr>
            </w:pPr>
            <w:r>
              <w:rPr>
                <w:w w:val="105"/>
                <w:sz w:val="12"/>
              </w:rPr>
              <w:t>Low</w:t>
            </w:r>
          </w:p>
        </w:tc>
        <w:tc>
          <w:tcPr>
            <w:tcW w:w="869" w:type="dxa"/>
            <w:tcBorders>
              <w:top w:val="single" w:sz="6" w:space="0" w:color="000000"/>
            </w:tcBorders>
          </w:tcPr>
          <w:p>
            <w:pPr>
              <w:pStyle w:val="TableParagraph"/>
              <w:spacing w:line="134" w:lineRule="exact" w:before="56"/>
              <w:ind w:left="153"/>
              <w:rPr>
                <w:sz w:val="12"/>
              </w:rPr>
            </w:pPr>
            <w:r>
              <w:rPr>
                <w:w w:val="105"/>
                <w:sz w:val="12"/>
              </w:rPr>
              <w:t>Low</w:t>
            </w:r>
          </w:p>
        </w:tc>
        <w:tc>
          <w:tcPr>
            <w:tcW w:w="638" w:type="dxa"/>
            <w:tcBorders>
              <w:top w:val="single" w:sz="6" w:space="0" w:color="000000"/>
            </w:tcBorders>
          </w:tcPr>
          <w:p>
            <w:pPr>
              <w:pStyle w:val="TableParagraph"/>
              <w:spacing w:line="134" w:lineRule="exact" w:before="56"/>
              <w:ind w:left="141"/>
              <w:rPr>
                <w:sz w:val="12"/>
              </w:rPr>
            </w:pPr>
            <w:r>
              <w:rPr>
                <w:w w:val="105"/>
                <w:sz w:val="12"/>
              </w:rPr>
              <w:t>Low</w:t>
            </w:r>
          </w:p>
        </w:tc>
        <w:tc>
          <w:tcPr>
            <w:tcW w:w="1066" w:type="dxa"/>
            <w:tcBorders>
              <w:top w:val="single" w:sz="6" w:space="0" w:color="000000"/>
            </w:tcBorders>
          </w:tcPr>
          <w:p>
            <w:pPr>
              <w:pStyle w:val="TableParagraph"/>
              <w:spacing w:line="134" w:lineRule="exact" w:before="56"/>
              <w:ind w:left="26"/>
              <w:rPr>
                <w:sz w:val="12"/>
              </w:rPr>
            </w:pPr>
            <w:r>
              <w:rPr>
                <w:w w:val="110"/>
                <w:sz w:val="12"/>
              </w:rPr>
              <w:t>Unclear</w:t>
            </w:r>
          </w:p>
        </w:tc>
      </w:tr>
      <w:tr>
        <w:trPr>
          <w:trHeight w:val="171" w:hRule="atLeast"/>
        </w:trPr>
        <w:tc>
          <w:tcPr>
            <w:tcW w:w="1385" w:type="dxa"/>
          </w:tcPr>
          <w:p>
            <w:pPr>
              <w:pStyle w:val="TableParagraph"/>
              <w:spacing w:line="134" w:lineRule="exact" w:before="17"/>
              <w:ind w:left="119"/>
              <w:rPr>
                <w:sz w:val="12"/>
              </w:rPr>
            </w:pPr>
            <w:r>
              <w:rPr>
                <w:w w:val="115"/>
                <w:sz w:val="12"/>
              </w:rPr>
              <w:t>Gililland, 2014 [</w:t>
            </w:r>
            <w:hyperlink w:history="true" w:anchor="_bookmark44">
              <w:r>
                <w:rPr>
                  <w:color w:val="007FAC"/>
                  <w:w w:val="115"/>
                  <w:sz w:val="12"/>
                </w:rPr>
                <w:t>33</w:t>
              </w:r>
            </w:hyperlink>
            <w:r>
              <w:rPr>
                <w:w w:val="115"/>
                <w:sz w:val="12"/>
              </w:rPr>
              <w:t>]</w:t>
            </w:r>
          </w:p>
        </w:tc>
        <w:tc>
          <w:tcPr>
            <w:tcW w:w="1246" w:type="dxa"/>
          </w:tcPr>
          <w:p>
            <w:pPr>
              <w:pStyle w:val="TableParagraph"/>
              <w:spacing w:line="134" w:lineRule="exact" w:before="17"/>
              <w:ind w:left="27"/>
              <w:rPr>
                <w:sz w:val="12"/>
              </w:rPr>
            </w:pPr>
            <w:r>
              <w:rPr>
                <w:w w:val="110"/>
                <w:sz w:val="12"/>
              </w:rPr>
              <w:t>Unclear</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10"/>
                <w:sz w:val="12"/>
              </w:rPr>
              <w:t>Unclear</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10"/>
                <w:sz w:val="12"/>
              </w:rPr>
              <w:t>Unclear</w:t>
            </w:r>
          </w:p>
        </w:tc>
      </w:tr>
      <w:tr>
        <w:trPr>
          <w:trHeight w:val="171" w:hRule="atLeast"/>
        </w:trPr>
        <w:tc>
          <w:tcPr>
            <w:tcW w:w="1385" w:type="dxa"/>
          </w:tcPr>
          <w:p>
            <w:pPr>
              <w:pStyle w:val="TableParagraph"/>
              <w:spacing w:line="134" w:lineRule="exact" w:before="17"/>
              <w:ind w:left="119"/>
              <w:rPr>
                <w:sz w:val="12"/>
              </w:rPr>
            </w:pPr>
            <w:r>
              <w:rPr>
                <w:w w:val="120"/>
                <w:sz w:val="12"/>
              </w:rPr>
              <w:t>Sah, 2015 [</w:t>
            </w:r>
            <w:hyperlink w:history="true" w:anchor="_bookmark45">
              <w:r>
                <w:rPr>
                  <w:color w:val="007FAC"/>
                  <w:w w:val="120"/>
                  <w:sz w:val="12"/>
                </w:rPr>
                <w:t>34</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05"/>
                <w:sz w:val="12"/>
              </w:rPr>
              <w:t>Low</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05"/>
                <w:sz w:val="12"/>
              </w:rPr>
              <w:t>Low</w:t>
            </w:r>
          </w:p>
        </w:tc>
      </w:tr>
      <w:tr>
        <w:trPr>
          <w:trHeight w:val="171" w:hRule="atLeast"/>
        </w:trPr>
        <w:tc>
          <w:tcPr>
            <w:tcW w:w="1385" w:type="dxa"/>
          </w:tcPr>
          <w:p>
            <w:pPr>
              <w:pStyle w:val="TableParagraph"/>
              <w:spacing w:line="134" w:lineRule="exact" w:before="17"/>
              <w:ind w:left="119"/>
              <w:rPr>
                <w:sz w:val="12"/>
              </w:rPr>
            </w:pPr>
            <w:r>
              <w:rPr>
                <w:w w:val="115"/>
                <w:sz w:val="12"/>
              </w:rPr>
              <w:t>Lin, 2018 [</w:t>
            </w:r>
            <w:hyperlink w:history="true" w:anchor="_bookmark46">
              <w:r>
                <w:rPr>
                  <w:color w:val="007FAC"/>
                  <w:w w:val="115"/>
                  <w:sz w:val="12"/>
                </w:rPr>
                <w:t>35</w:t>
              </w:r>
            </w:hyperlink>
            <w:r>
              <w:rPr>
                <w:w w:val="115"/>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05"/>
                <w:sz w:val="12"/>
              </w:rPr>
              <w:t>Low</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10"/>
                <w:sz w:val="12"/>
              </w:rPr>
              <w:t>Unclear</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10"/>
                <w:sz w:val="12"/>
              </w:rPr>
              <w:t>Unclear</w:t>
            </w:r>
          </w:p>
        </w:tc>
      </w:tr>
      <w:tr>
        <w:trPr>
          <w:trHeight w:val="171" w:hRule="atLeast"/>
        </w:trPr>
        <w:tc>
          <w:tcPr>
            <w:tcW w:w="1385" w:type="dxa"/>
          </w:tcPr>
          <w:p>
            <w:pPr>
              <w:pStyle w:val="TableParagraph"/>
              <w:spacing w:line="134" w:lineRule="exact" w:before="17"/>
              <w:ind w:left="119"/>
              <w:rPr>
                <w:sz w:val="12"/>
              </w:rPr>
            </w:pPr>
            <w:r>
              <w:rPr>
                <w:w w:val="115"/>
                <w:sz w:val="12"/>
              </w:rPr>
              <w:t>Li, 2018 [</w:t>
            </w:r>
            <w:hyperlink w:history="true" w:anchor="_bookmark47">
              <w:r>
                <w:rPr>
                  <w:color w:val="007FAC"/>
                  <w:w w:val="115"/>
                  <w:sz w:val="12"/>
                </w:rPr>
                <w:t>36</w:t>
              </w:r>
            </w:hyperlink>
            <w:r>
              <w:rPr>
                <w:w w:val="115"/>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05"/>
                <w:sz w:val="12"/>
              </w:rPr>
              <w:t>Low</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10"/>
                <w:sz w:val="12"/>
              </w:rPr>
              <w:t>Unclear</w:t>
            </w:r>
          </w:p>
        </w:tc>
      </w:tr>
      <w:tr>
        <w:trPr>
          <w:trHeight w:val="171" w:hRule="atLeast"/>
        </w:trPr>
        <w:tc>
          <w:tcPr>
            <w:tcW w:w="1385" w:type="dxa"/>
          </w:tcPr>
          <w:p>
            <w:pPr>
              <w:pStyle w:val="TableParagraph"/>
              <w:spacing w:line="134" w:lineRule="exact" w:before="17"/>
              <w:ind w:left="119"/>
              <w:rPr>
                <w:sz w:val="12"/>
              </w:rPr>
            </w:pPr>
            <w:r>
              <w:rPr>
                <w:w w:val="120"/>
                <w:sz w:val="12"/>
              </w:rPr>
              <w:t>Glennie, 2017 [</w:t>
            </w:r>
            <w:hyperlink w:history="true" w:anchor="_bookmark30">
              <w:r>
                <w:rPr>
                  <w:color w:val="007FAC"/>
                  <w:w w:val="120"/>
                  <w:sz w:val="12"/>
                </w:rPr>
                <w:t>19</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High</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5" w:lineRule="exact" w:before="17"/>
              <w:ind w:left="119"/>
              <w:rPr>
                <w:sz w:val="12"/>
              </w:rPr>
            </w:pPr>
            <w:r>
              <w:rPr>
                <w:w w:val="120"/>
                <w:sz w:val="12"/>
              </w:rPr>
              <w:t>Khan, 2006 [</w:t>
            </w:r>
            <w:hyperlink w:history="true" w:anchor="_bookmark31">
              <w:r>
                <w:rPr>
                  <w:color w:val="007FAC"/>
                  <w:w w:val="120"/>
                  <w:sz w:val="12"/>
                </w:rPr>
                <w:t>20</w:t>
              </w:r>
            </w:hyperlink>
            <w:r>
              <w:rPr>
                <w:w w:val="120"/>
                <w:sz w:val="12"/>
              </w:rPr>
              <w:t>]</w:t>
            </w:r>
          </w:p>
        </w:tc>
        <w:tc>
          <w:tcPr>
            <w:tcW w:w="1246" w:type="dxa"/>
          </w:tcPr>
          <w:p>
            <w:pPr>
              <w:pStyle w:val="TableParagraph"/>
              <w:spacing w:line="135" w:lineRule="exact" w:before="17"/>
              <w:ind w:left="27"/>
              <w:rPr>
                <w:sz w:val="12"/>
              </w:rPr>
            </w:pPr>
            <w:r>
              <w:rPr>
                <w:w w:val="105"/>
                <w:sz w:val="12"/>
              </w:rPr>
              <w:t>Low</w:t>
            </w:r>
          </w:p>
        </w:tc>
        <w:tc>
          <w:tcPr>
            <w:tcW w:w="1028" w:type="dxa"/>
          </w:tcPr>
          <w:p>
            <w:pPr>
              <w:pStyle w:val="TableParagraph"/>
              <w:spacing w:line="135" w:lineRule="exact" w:before="17"/>
              <w:ind w:left="109"/>
              <w:rPr>
                <w:sz w:val="12"/>
              </w:rPr>
            </w:pPr>
            <w:r>
              <w:rPr>
                <w:w w:val="105"/>
                <w:sz w:val="12"/>
              </w:rPr>
              <w:t>Low</w:t>
            </w:r>
          </w:p>
        </w:tc>
        <w:tc>
          <w:tcPr>
            <w:tcW w:w="1708" w:type="dxa"/>
          </w:tcPr>
          <w:p>
            <w:pPr>
              <w:pStyle w:val="TableParagraph"/>
              <w:spacing w:line="135" w:lineRule="exact" w:before="17"/>
              <w:ind w:left="142"/>
              <w:rPr>
                <w:sz w:val="12"/>
              </w:rPr>
            </w:pPr>
            <w:r>
              <w:rPr>
                <w:w w:val="105"/>
                <w:sz w:val="12"/>
              </w:rPr>
              <w:t>High</w:t>
            </w:r>
          </w:p>
        </w:tc>
        <w:tc>
          <w:tcPr>
            <w:tcW w:w="1423" w:type="dxa"/>
          </w:tcPr>
          <w:p>
            <w:pPr>
              <w:pStyle w:val="TableParagraph"/>
              <w:spacing w:line="135" w:lineRule="exact" w:before="17"/>
              <w:ind w:left="137"/>
              <w:rPr>
                <w:sz w:val="12"/>
              </w:rPr>
            </w:pPr>
            <w:r>
              <w:rPr>
                <w:w w:val="105"/>
                <w:sz w:val="12"/>
              </w:rPr>
              <w:t>High</w:t>
            </w:r>
          </w:p>
        </w:tc>
        <w:tc>
          <w:tcPr>
            <w:tcW w:w="1040" w:type="dxa"/>
          </w:tcPr>
          <w:p>
            <w:pPr>
              <w:pStyle w:val="TableParagraph"/>
              <w:spacing w:line="135" w:lineRule="exact" w:before="17"/>
              <w:ind w:left="49"/>
              <w:rPr>
                <w:sz w:val="12"/>
              </w:rPr>
            </w:pPr>
            <w:r>
              <w:rPr>
                <w:w w:val="105"/>
                <w:sz w:val="12"/>
              </w:rPr>
              <w:t>Low</w:t>
            </w:r>
          </w:p>
        </w:tc>
        <w:tc>
          <w:tcPr>
            <w:tcW w:w="869" w:type="dxa"/>
          </w:tcPr>
          <w:p>
            <w:pPr>
              <w:pStyle w:val="TableParagraph"/>
              <w:spacing w:line="135" w:lineRule="exact" w:before="17"/>
              <w:ind w:left="153"/>
              <w:rPr>
                <w:sz w:val="12"/>
              </w:rPr>
            </w:pPr>
            <w:r>
              <w:rPr>
                <w:w w:val="105"/>
                <w:sz w:val="12"/>
              </w:rPr>
              <w:t>Low</w:t>
            </w:r>
          </w:p>
        </w:tc>
        <w:tc>
          <w:tcPr>
            <w:tcW w:w="638" w:type="dxa"/>
          </w:tcPr>
          <w:p>
            <w:pPr>
              <w:pStyle w:val="TableParagraph"/>
              <w:spacing w:line="135" w:lineRule="exact" w:before="17"/>
              <w:ind w:left="141"/>
              <w:rPr>
                <w:sz w:val="12"/>
              </w:rPr>
            </w:pPr>
            <w:r>
              <w:rPr>
                <w:w w:val="105"/>
                <w:sz w:val="12"/>
              </w:rPr>
              <w:t>High</w:t>
            </w:r>
          </w:p>
        </w:tc>
        <w:tc>
          <w:tcPr>
            <w:tcW w:w="1066" w:type="dxa"/>
          </w:tcPr>
          <w:p>
            <w:pPr>
              <w:pStyle w:val="TableParagraph"/>
              <w:spacing w:line="135"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20"/>
                <w:sz w:val="12"/>
              </w:rPr>
              <w:t>Buttaro, 2015 [</w:t>
            </w:r>
            <w:hyperlink w:history="true" w:anchor="_bookmark32">
              <w:r>
                <w:rPr>
                  <w:color w:val="007FAC"/>
                  <w:w w:val="120"/>
                  <w:sz w:val="12"/>
                </w:rPr>
                <w:t>21</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10"/>
                <w:sz w:val="12"/>
              </w:rPr>
              <w:t>Unclear</w:t>
            </w:r>
          </w:p>
        </w:tc>
        <w:tc>
          <w:tcPr>
            <w:tcW w:w="869" w:type="dxa"/>
          </w:tcPr>
          <w:p>
            <w:pPr>
              <w:pStyle w:val="TableParagraph"/>
              <w:spacing w:line="134" w:lineRule="exact" w:before="17"/>
              <w:ind w:left="153"/>
              <w:rPr>
                <w:sz w:val="12"/>
              </w:rPr>
            </w:pPr>
            <w:r>
              <w:rPr>
                <w:w w:val="110"/>
                <w:sz w:val="12"/>
              </w:rPr>
              <w:t>Unclear</w:t>
            </w:r>
          </w:p>
        </w:tc>
        <w:tc>
          <w:tcPr>
            <w:tcW w:w="638" w:type="dxa"/>
          </w:tcPr>
          <w:p>
            <w:pPr>
              <w:pStyle w:val="TableParagraph"/>
              <w:spacing w:line="134" w:lineRule="exact" w:before="17"/>
              <w:ind w:left="141"/>
              <w:rPr>
                <w:sz w:val="12"/>
              </w:rPr>
            </w:pPr>
            <w:r>
              <w:rPr>
                <w:w w:val="105"/>
                <w:sz w:val="12"/>
              </w:rPr>
              <w:t>High</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20"/>
                <w:sz w:val="12"/>
              </w:rPr>
              <w:t>Eggers, 2011 [</w:t>
            </w:r>
            <w:hyperlink w:history="true" w:anchor="_bookmark33">
              <w:r>
                <w:rPr>
                  <w:color w:val="007FAC"/>
                  <w:w w:val="120"/>
                  <w:sz w:val="12"/>
                </w:rPr>
                <w:t>22</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20"/>
                <w:sz w:val="12"/>
              </w:rPr>
              <w:t>Wyles, 2016 [</w:t>
            </w:r>
            <w:hyperlink w:history="true" w:anchor="_bookmark34">
              <w:r>
                <w:rPr>
                  <w:color w:val="007FAC"/>
                  <w:w w:val="120"/>
                  <w:sz w:val="12"/>
                </w:rPr>
                <w:t>23</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High</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15"/>
                <w:sz w:val="12"/>
              </w:rPr>
              <w:t>Livesey, 2009 [</w:t>
            </w:r>
            <w:hyperlink w:history="true" w:anchor="_bookmark35">
              <w:r>
                <w:rPr>
                  <w:color w:val="007FAC"/>
                  <w:w w:val="115"/>
                  <w:sz w:val="12"/>
                </w:rPr>
                <w:t>24</w:t>
              </w:r>
            </w:hyperlink>
            <w:r>
              <w:rPr>
                <w:w w:val="115"/>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High</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20"/>
                <w:sz w:val="12"/>
              </w:rPr>
              <w:t>Sprowson,</w:t>
            </w:r>
            <w:r>
              <w:rPr>
                <w:spacing w:val="-17"/>
                <w:w w:val="120"/>
                <w:sz w:val="12"/>
              </w:rPr>
              <w:t> </w:t>
            </w:r>
            <w:r>
              <w:rPr>
                <w:w w:val="120"/>
                <w:sz w:val="12"/>
              </w:rPr>
              <w:t>2018</w:t>
            </w:r>
            <w:r>
              <w:rPr>
                <w:spacing w:val="-17"/>
                <w:w w:val="120"/>
                <w:sz w:val="12"/>
              </w:rPr>
              <w:t> </w:t>
            </w:r>
            <w:r>
              <w:rPr>
                <w:w w:val="120"/>
                <w:sz w:val="12"/>
              </w:rPr>
              <w:t>[</w:t>
            </w:r>
            <w:hyperlink w:history="true" w:anchor="_bookmark48">
              <w:r>
                <w:rPr>
                  <w:color w:val="007FAC"/>
                  <w:w w:val="120"/>
                  <w:sz w:val="12"/>
                </w:rPr>
                <w:t>37</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05"/>
                <w:sz w:val="12"/>
              </w:rPr>
              <w:t>Low</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10"/>
                <w:sz w:val="12"/>
              </w:rPr>
              <w:t>Unclear</w:t>
            </w:r>
          </w:p>
        </w:tc>
        <w:tc>
          <w:tcPr>
            <w:tcW w:w="1066" w:type="dxa"/>
          </w:tcPr>
          <w:p>
            <w:pPr>
              <w:pStyle w:val="TableParagraph"/>
              <w:spacing w:line="134" w:lineRule="exact" w:before="17"/>
              <w:ind w:left="26"/>
              <w:rPr>
                <w:sz w:val="12"/>
              </w:rPr>
            </w:pPr>
            <w:r>
              <w:rPr>
                <w:w w:val="110"/>
                <w:sz w:val="12"/>
              </w:rPr>
              <w:t>Unclear</w:t>
            </w:r>
          </w:p>
        </w:tc>
      </w:tr>
      <w:tr>
        <w:trPr>
          <w:trHeight w:val="171" w:hRule="atLeast"/>
        </w:trPr>
        <w:tc>
          <w:tcPr>
            <w:tcW w:w="1385" w:type="dxa"/>
          </w:tcPr>
          <w:p>
            <w:pPr>
              <w:pStyle w:val="TableParagraph"/>
              <w:spacing w:line="134" w:lineRule="exact" w:before="17"/>
              <w:ind w:left="119"/>
              <w:rPr>
                <w:sz w:val="12"/>
              </w:rPr>
            </w:pPr>
            <w:r>
              <w:rPr>
                <w:w w:val="120"/>
                <w:sz w:val="12"/>
              </w:rPr>
              <w:t>Rui, 2018 [</w:t>
            </w:r>
            <w:hyperlink w:history="true" w:anchor="_bookmark36">
              <w:r>
                <w:rPr>
                  <w:color w:val="007FAC"/>
                  <w:w w:val="120"/>
                  <w:sz w:val="12"/>
                </w:rPr>
                <w:t>25</w:t>
              </w:r>
            </w:hyperlink>
            <w:r>
              <w:rPr>
                <w:w w:val="120"/>
                <w:sz w:val="12"/>
              </w:rPr>
              <w:t>]</w:t>
            </w:r>
          </w:p>
        </w:tc>
        <w:tc>
          <w:tcPr>
            <w:tcW w:w="1246" w:type="dxa"/>
          </w:tcPr>
          <w:p>
            <w:pPr>
              <w:pStyle w:val="TableParagraph"/>
              <w:spacing w:line="134" w:lineRule="exact" w:before="17"/>
              <w:ind w:left="27"/>
              <w:rPr>
                <w:sz w:val="12"/>
              </w:rPr>
            </w:pPr>
            <w:r>
              <w:rPr>
                <w:w w:val="110"/>
                <w:sz w:val="12"/>
              </w:rPr>
              <w:t>Unclear</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20"/>
                <w:sz w:val="12"/>
              </w:rPr>
              <w:t>Fisher, 2010 [</w:t>
            </w:r>
            <w:hyperlink w:history="true" w:anchor="_bookmark37">
              <w:r>
                <w:rPr>
                  <w:color w:val="007FAC"/>
                  <w:w w:val="120"/>
                  <w:sz w:val="12"/>
                </w:rPr>
                <w:t>26</w:t>
              </w:r>
            </w:hyperlink>
            <w:r>
              <w:rPr>
                <w:w w:val="120"/>
                <w:sz w:val="12"/>
              </w:rPr>
              <w:t>]</w:t>
            </w:r>
          </w:p>
        </w:tc>
        <w:tc>
          <w:tcPr>
            <w:tcW w:w="1246" w:type="dxa"/>
          </w:tcPr>
          <w:p>
            <w:pPr>
              <w:pStyle w:val="TableParagraph"/>
              <w:spacing w:line="134" w:lineRule="exact" w:before="17"/>
              <w:ind w:left="27"/>
              <w:rPr>
                <w:sz w:val="12"/>
              </w:rPr>
            </w:pPr>
            <w:r>
              <w:rPr>
                <w:w w:val="110"/>
                <w:sz w:val="12"/>
              </w:rPr>
              <w:t>Unclear</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High</w:t>
            </w:r>
          </w:p>
        </w:tc>
        <w:tc>
          <w:tcPr>
            <w:tcW w:w="1040" w:type="dxa"/>
          </w:tcPr>
          <w:p>
            <w:pPr>
              <w:pStyle w:val="TableParagraph"/>
              <w:spacing w:line="134" w:lineRule="exact" w:before="17"/>
              <w:ind w:left="49"/>
              <w:rPr>
                <w:sz w:val="12"/>
              </w:rPr>
            </w:pPr>
            <w:r>
              <w:rPr>
                <w:w w:val="105"/>
                <w:sz w:val="12"/>
              </w:rPr>
              <w:t>High</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5" w:lineRule="exact" w:before="17"/>
              <w:ind w:left="119"/>
              <w:rPr>
                <w:sz w:val="12"/>
              </w:rPr>
            </w:pPr>
            <w:r>
              <w:rPr>
                <w:w w:val="120"/>
                <w:sz w:val="12"/>
              </w:rPr>
              <w:t>Ting, 2012 [</w:t>
            </w:r>
            <w:hyperlink w:history="true" w:anchor="_bookmark49">
              <w:r>
                <w:rPr>
                  <w:color w:val="007FAC"/>
                  <w:w w:val="120"/>
                  <w:sz w:val="12"/>
                </w:rPr>
                <w:t>38</w:t>
              </w:r>
            </w:hyperlink>
            <w:r>
              <w:rPr>
                <w:w w:val="120"/>
                <w:sz w:val="12"/>
              </w:rPr>
              <w:t>]</w:t>
            </w:r>
          </w:p>
        </w:tc>
        <w:tc>
          <w:tcPr>
            <w:tcW w:w="1246" w:type="dxa"/>
          </w:tcPr>
          <w:p>
            <w:pPr>
              <w:pStyle w:val="TableParagraph"/>
              <w:spacing w:line="135" w:lineRule="exact" w:before="17"/>
              <w:ind w:left="27"/>
              <w:rPr>
                <w:sz w:val="12"/>
              </w:rPr>
            </w:pPr>
            <w:r>
              <w:rPr>
                <w:w w:val="105"/>
                <w:sz w:val="12"/>
              </w:rPr>
              <w:t>Low</w:t>
            </w:r>
          </w:p>
        </w:tc>
        <w:tc>
          <w:tcPr>
            <w:tcW w:w="1028" w:type="dxa"/>
          </w:tcPr>
          <w:p>
            <w:pPr>
              <w:pStyle w:val="TableParagraph"/>
              <w:spacing w:line="135" w:lineRule="exact" w:before="17"/>
              <w:ind w:left="109"/>
              <w:rPr>
                <w:sz w:val="12"/>
              </w:rPr>
            </w:pPr>
            <w:r>
              <w:rPr>
                <w:w w:val="105"/>
                <w:sz w:val="12"/>
              </w:rPr>
              <w:t>Low</w:t>
            </w:r>
          </w:p>
        </w:tc>
        <w:tc>
          <w:tcPr>
            <w:tcW w:w="1708" w:type="dxa"/>
          </w:tcPr>
          <w:p>
            <w:pPr>
              <w:pStyle w:val="TableParagraph"/>
              <w:spacing w:line="135" w:lineRule="exact" w:before="17"/>
              <w:ind w:left="142"/>
              <w:rPr>
                <w:sz w:val="12"/>
              </w:rPr>
            </w:pPr>
            <w:r>
              <w:rPr>
                <w:w w:val="105"/>
                <w:sz w:val="12"/>
              </w:rPr>
              <w:t>Low</w:t>
            </w:r>
          </w:p>
        </w:tc>
        <w:tc>
          <w:tcPr>
            <w:tcW w:w="1423" w:type="dxa"/>
          </w:tcPr>
          <w:p>
            <w:pPr>
              <w:pStyle w:val="TableParagraph"/>
              <w:spacing w:line="135" w:lineRule="exact" w:before="17"/>
              <w:ind w:left="137"/>
              <w:rPr>
                <w:sz w:val="12"/>
              </w:rPr>
            </w:pPr>
            <w:r>
              <w:rPr>
                <w:w w:val="105"/>
                <w:sz w:val="12"/>
              </w:rPr>
              <w:t>Low</w:t>
            </w:r>
          </w:p>
        </w:tc>
        <w:tc>
          <w:tcPr>
            <w:tcW w:w="1040" w:type="dxa"/>
          </w:tcPr>
          <w:p>
            <w:pPr>
              <w:pStyle w:val="TableParagraph"/>
              <w:spacing w:line="135" w:lineRule="exact" w:before="17"/>
              <w:ind w:left="49"/>
              <w:rPr>
                <w:sz w:val="12"/>
              </w:rPr>
            </w:pPr>
            <w:r>
              <w:rPr>
                <w:w w:val="105"/>
                <w:sz w:val="12"/>
              </w:rPr>
              <w:t>Low</w:t>
            </w:r>
          </w:p>
        </w:tc>
        <w:tc>
          <w:tcPr>
            <w:tcW w:w="869" w:type="dxa"/>
          </w:tcPr>
          <w:p>
            <w:pPr>
              <w:pStyle w:val="TableParagraph"/>
              <w:spacing w:line="135" w:lineRule="exact" w:before="17"/>
              <w:ind w:left="153"/>
              <w:rPr>
                <w:sz w:val="12"/>
              </w:rPr>
            </w:pPr>
            <w:r>
              <w:rPr>
                <w:w w:val="105"/>
                <w:sz w:val="12"/>
              </w:rPr>
              <w:t>Low</w:t>
            </w:r>
          </w:p>
        </w:tc>
        <w:tc>
          <w:tcPr>
            <w:tcW w:w="638" w:type="dxa"/>
          </w:tcPr>
          <w:p>
            <w:pPr>
              <w:pStyle w:val="TableParagraph"/>
              <w:spacing w:line="135" w:lineRule="exact" w:before="17"/>
              <w:ind w:left="141"/>
              <w:rPr>
                <w:sz w:val="12"/>
              </w:rPr>
            </w:pPr>
            <w:r>
              <w:rPr>
                <w:w w:val="105"/>
                <w:sz w:val="12"/>
              </w:rPr>
              <w:t>Low</w:t>
            </w:r>
          </w:p>
        </w:tc>
        <w:tc>
          <w:tcPr>
            <w:tcW w:w="1066" w:type="dxa"/>
          </w:tcPr>
          <w:p>
            <w:pPr>
              <w:pStyle w:val="TableParagraph"/>
              <w:spacing w:line="135" w:lineRule="exact" w:before="17"/>
              <w:ind w:left="26"/>
              <w:rPr>
                <w:sz w:val="12"/>
              </w:rPr>
            </w:pPr>
            <w:r>
              <w:rPr>
                <w:w w:val="105"/>
                <w:sz w:val="12"/>
              </w:rPr>
              <w:t>Low</w:t>
            </w:r>
          </w:p>
        </w:tc>
      </w:tr>
      <w:tr>
        <w:trPr>
          <w:trHeight w:val="171" w:hRule="atLeast"/>
        </w:trPr>
        <w:tc>
          <w:tcPr>
            <w:tcW w:w="1385" w:type="dxa"/>
          </w:tcPr>
          <w:p>
            <w:pPr>
              <w:pStyle w:val="TableParagraph"/>
              <w:spacing w:line="134" w:lineRule="exact" w:before="17"/>
              <w:ind w:left="119"/>
              <w:rPr>
                <w:sz w:val="12"/>
              </w:rPr>
            </w:pPr>
            <w:r>
              <w:rPr>
                <w:w w:val="120"/>
                <w:sz w:val="12"/>
              </w:rPr>
              <w:t>Smith, 2014 [</w:t>
            </w:r>
            <w:hyperlink w:history="true" w:anchor="_bookmark50">
              <w:r>
                <w:rPr>
                  <w:color w:val="007FAC"/>
                  <w:w w:val="120"/>
                  <w:sz w:val="12"/>
                </w:rPr>
                <w:t>39</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10"/>
                <w:sz w:val="12"/>
              </w:rPr>
              <w:t>Unclear</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10"/>
                <w:sz w:val="12"/>
              </w:rPr>
              <w:t>Unclear</w:t>
            </w:r>
          </w:p>
        </w:tc>
      </w:tr>
      <w:tr>
        <w:trPr>
          <w:trHeight w:val="171" w:hRule="atLeast"/>
        </w:trPr>
        <w:tc>
          <w:tcPr>
            <w:tcW w:w="1385" w:type="dxa"/>
          </w:tcPr>
          <w:p>
            <w:pPr>
              <w:pStyle w:val="TableParagraph"/>
              <w:spacing w:line="134" w:lineRule="exact" w:before="17"/>
              <w:ind w:left="119"/>
              <w:rPr>
                <w:sz w:val="12"/>
              </w:rPr>
            </w:pPr>
            <w:r>
              <w:rPr>
                <w:w w:val="120"/>
                <w:sz w:val="12"/>
              </w:rPr>
              <w:t>Feng, 2020 [</w:t>
            </w:r>
            <w:hyperlink w:history="true" w:anchor="_bookmark51">
              <w:r>
                <w:rPr>
                  <w:color w:val="007FAC"/>
                  <w:w w:val="120"/>
                  <w:sz w:val="12"/>
                </w:rPr>
                <w:t>40</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Low</w:t>
            </w:r>
          </w:p>
        </w:tc>
        <w:tc>
          <w:tcPr>
            <w:tcW w:w="1423" w:type="dxa"/>
          </w:tcPr>
          <w:p>
            <w:pPr>
              <w:pStyle w:val="TableParagraph"/>
              <w:spacing w:line="134" w:lineRule="exact" w:before="17"/>
              <w:ind w:left="137"/>
              <w:rPr>
                <w:sz w:val="12"/>
              </w:rPr>
            </w:pPr>
            <w:r>
              <w:rPr>
                <w:w w:val="105"/>
                <w:sz w:val="12"/>
              </w:rPr>
              <w:t>Low</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05"/>
                <w:sz w:val="12"/>
              </w:rPr>
              <w:t>Low</w:t>
            </w:r>
          </w:p>
        </w:tc>
      </w:tr>
      <w:tr>
        <w:trPr>
          <w:trHeight w:val="171" w:hRule="atLeast"/>
        </w:trPr>
        <w:tc>
          <w:tcPr>
            <w:tcW w:w="1385" w:type="dxa"/>
          </w:tcPr>
          <w:p>
            <w:pPr>
              <w:pStyle w:val="TableParagraph"/>
              <w:spacing w:line="134" w:lineRule="exact" w:before="17"/>
              <w:ind w:left="119"/>
              <w:rPr>
                <w:sz w:val="12"/>
              </w:rPr>
            </w:pPr>
            <w:r>
              <w:rPr>
                <w:w w:val="120"/>
                <w:sz w:val="12"/>
              </w:rPr>
              <w:t>Gamba, 2020 [</w:t>
            </w:r>
            <w:hyperlink w:history="true" w:anchor="_bookmark38">
              <w:r>
                <w:rPr>
                  <w:color w:val="007FAC"/>
                  <w:w w:val="120"/>
                  <w:sz w:val="12"/>
                </w:rPr>
                <w:t>27</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05"/>
                <w:sz w:val="12"/>
              </w:rPr>
              <w:t>Low</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10"/>
                <w:sz w:val="12"/>
              </w:rPr>
              <w:t>Unclear</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Low</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20"/>
                <w:sz w:val="12"/>
              </w:rPr>
              <w:t>Mallee, 2020 [</w:t>
            </w:r>
            <w:hyperlink w:history="true" w:anchor="_bookmark39">
              <w:r>
                <w:rPr>
                  <w:color w:val="007FAC"/>
                  <w:w w:val="120"/>
                  <w:sz w:val="12"/>
                </w:rPr>
                <w:t>28</w:t>
              </w:r>
            </w:hyperlink>
            <w:r>
              <w:rPr>
                <w:w w:val="120"/>
                <w:sz w:val="12"/>
              </w:rPr>
              <w:t>]</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05"/>
                <w:sz w:val="12"/>
              </w:rPr>
              <w:t>Low</w:t>
            </w:r>
          </w:p>
        </w:tc>
        <w:tc>
          <w:tcPr>
            <w:tcW w:w="1040" w:type="dxa"/>
          </w:tcPr>
          <w:p>
            <w:pPr>
              <w:pStyle w:val="TableParagraph"/>
              <w:spacing w:line="134" w:lineRule="exact" w:before="17"/>
              <w:ind w:left="49"/>
              <w:rPr>
                <w:sz w:val="12"/>
              </w:rPr>
            </w:pPr>
            <w:r>
              <w:rPr>
                <w:w w:val="105"/>
                <w:sz w:val="12"/>
              </w:rPr>
              <w:t>High</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High</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119"/>
              <w:rPr>
                <w:sz w:val="12"/>
              </w:rPr>
            </w:pPr>
            <w:r>
              <w:rPr>
                <w:w w:val="110"/>
                <w:sz w:val="12"/>
              </w:rPr>
              <w:t>Sakdinakiattikoon,</w:t>
            </w:r>
          </w:p>
        </w:tc>
        <w:tc>
          <w:tcPr>
            <w:tcW w:w="1246" w:type="dxa"/>
          </w:tcPr>
          <w:p>
            <w:pPr>
              <w:pStyle w:val="TableParagraph"/>
              <w:spacing w:line="134" w:lineRule="exact" w:before="17"/>
              <w:ind w:left="27"/>
              <w:rPr>
                <w:sz w:val="12"/>
              </w:rPr>
            </w:pPr>
            <w:r>
              <w:rPr>
                <w:w w:val="105"/>
                <w:sz w:val="12"/>
              </w:rPr>
              <w:t>Low</w:t>
            </w:r>
          </w:p>
        </w:tc>
        <w:tc>
          <w:tcPr>
            <w:tcW w:w="1028" w:type="dxa"/>
          </w:tcPr>
          <w:p>
            <w:pPr>
              <w:pStyle w:val="TableParagraph"/>
              <w:spacing w:line="134" w:lineRule="exact" w:before="17"/>
              <w:ind w:left="109"/>
              <w:rPr>
                <w:sz w:val="12"/>
              </w:rPr>
            </w:pPr>
            <w:r>
              <w:rPr>
                <w:w w:val="110"/>
                <w:sz w:val="12"/>
              </w:rPr>
              <w:t>Unclear</w:t>
            </w:r>
          </w:p>
        </w:tc>
        <w:tc>
          <w:tcPr>
            <w:tcW w:w="1708" w:type="dxa"/>
          </w:tcPr>
          <w:p>
            <w:pPr>
              <w:pStyle w:val="TableParagraph"/>
              <w:spacing w:line="134" w:lineRule="exact" w:before="17"/>
              <w:ind w:left="142"/>
              <w:rPr>
                <w:sz w:val="12"/>
              </w:rPr>
            </w:pPr>
            <w:r>
              <w:rPr>
                <w:w w:val="105"/>
                <w:sz w:val="12"/>
              </w:rPr>
              <w:t>High</w:t>
            </w:r>
          </w:p>
        </w:tc>
        <w:tc>
          <w:tcPr>
            <w:tcW w:w="1423" w:type="dxa"/>
          </w:tcPr>
          <w:p>
            <w:pPr>
              <w:pStyle w:val="TableParagraph"/>
              <w:spacing w:line="134" w:lineRule="exact" w:before="17"/>
              <w:ind w:left="137"/>
              <w:rPr>
                <w:sz w:val="12"/>
              </w:rPr>
            </w:pPr>
            <w:r>
              <w:rPr>
                <w:w w:val="110"/>
                <w:sz w:val="12"/>
              </w:rPr>
              <w:t>Unclear</w:t>
            </w:r>
          </w:p>
        </w:tc>
        <w:tc>
          <w:tcPr>
            <w:tcW w:w="1040" w:type="dxa"/>
          </w:tcPr>
          <w:p>
            <w:pPr>
              <w:pStyle w:val="TableParagraph"/>
              <w:spacing w:line="134" w:lineRule="exact" w:before="17"/>
              <w:ind w:left="49"/>
              <w:rPr>
                <w:sz w:val="12"/>
              </w:rPr>
            </w:pPr>
            <w:r>
              <w:rPr>
                <w:w w:val="105"/>
                <w:sz w:val="12"/>
              </w:rPr>
              <w:t>Low</w:t>
            </w:r>
          </w:p>
        </w:tc>
        <w:tc>
          <w:tcPr>
            <w:tcW w:w="869" w:type="dxa"/>
          </w:tcPr>
          <w:p>
            <w:pPr>
              <w:pStyle w:val="TableParagraph"/>
              <w:spacing w:line="134" w:lineRule="exact" w:before="17"/>
              <w:ind w:left="153"/>
              <w:rPr>
                <w:sz w:val="12"/>
              </w:rPr>
            </w:pPr>
            <w:r>
              <w:rPr>
                <w:w w:val="105"/>
                <w:sz w:val="12"/>
              </w:rPr>
              <w:t>Low</w:t>
            </w:r>
          </w:p>
        </w:tc>
        <w:tc>
          <w:tcPr>
            <w:tcW w:w="638" w:type="dxa"/>
          </w:tcPr>
          <w:p>
            <w:pPr>
              <w:pStyle w:val="TableParagraph"/>
              <w:spacing w:line="134" w:lineRule="exact" w:before="17"/>
              <w:ind w:left="141"/>
              <w:rPr>
                <w:sz w:val="12"/>
              </w:rPr>
            </w:pPr>
            <w:r>
              <w:rPr>
                <w:w w:val="105"/>
                <w:sz w:val="12"/>
              </w:rPr>
              <w:t>High</w:t>
            </w:r>
          </w:p>
        </w:tc>
        <w:tc>
          <w:tcPr>
            <w:tcW w:w="1066" w:type="dxa"/>
          </w:tcPr>
          <w:p>
            <w:pPr>
              <w:pStyle w:val="TableParagraph"/>
              <w:spacing w:line="134" w:lineRule="exact" w:before="17"/>
              <w:ind w:left="26"/>
              <w:rPr>
                <w:sz w:val="12"/>
              </w:rPr>
            </w:pPr>
            <w:r>
              <w:rPr>
                <w:w w:val="105"/>
                <w:sz w:val="12"/>
              </w:rPr>
              <w:t>High</w:t>
            </w:r>
          </w:p>
        </w:tc>
      </w:tr>
      <w:tr>
        <w:trPr>
          <w:trHeight w:val="171" w:hRule="atLeast"/>
        </w:trPr>
        <w:tc>
          <w:tcPr>
            <w:tcW w:w="1385" w:type="dxa"/>
          </w:tcPr>
          <w:p>
            <w:pPr>
              <w:pStyle w:val="TableParagraph"/>
              <w:spacing w:line="134" w:lineRule="exact" w:before="17"/>
              <w:ind w:left="278"/>
              <w:rPr>
                <w:sz w:val="12"/>
              </w:rPr>
            </w:pPr>
            <w:r>
              <w:rPr>
                <w:w w:val="125"/>
                <w:sz w:val="12"/>
              </w:rPr>
              <w:t>2019 [</w:t>
            </w:r>
            <w:hyperlink w:history="true" w:anchor="_bookmark40">
              <w:r>
                <w:rPr>
                  <w:color w:val="007FAC"/>
                  <w:w w:val="125"/>
                  <w:sz w:val="12"/>
                </w:rPr>
                <w:t>29</w:t>
              </w:r>
            </w:hyperlink>
            <w:r>
              <w:rPr>
                <w:w w:val="125"/>
                <w:sz w:val="12"/>
              </w:rPr>
              <w:t>]</w:t>
            </w:r>
          </w:p>
        </w:tc>
        <w:tc>
          <w:tcPr>
            <w:tcW w:w="1246" w:type="dxa"/>
          </w:tcPr>
          <w:p>
            <w:pPr>
              <w:pStyle w:val="TableParagraph"/>
              <w:rPr>
                <w:rFonts w:ascii="Times New Roman"/>
                <w:sz w:val="10"/>
              </w:rPr>
            </w:pPr>
          </w:p>
        </w:tc>
        <w:tc>
          <w:tcPr>
            <w:tcW w:w="1028" w:type="dxa"/>
          </w:tcPr>
          <w:p>
            <w:pPr>
              <w:pStyle w:val="TableParagraph"/>
              <w:rPr>
                <w:rFonts w:ascii="Times New Roman"/>
                <w:sz w:val="10"/>
              </w:rPr>
            </w:pPr>
          </w:p>
        </w:tc>
        <w:tc>
          <w:tcPr>
            <w:tcW w:w="1708" w:type="dxa"/>
          </w:tcPr>
          <w:p>
            <w:pPr>
              <w:pStyle w:val="TableParagraph"/>
              <w:rPr>
                <w:rFonts w:ascii="Times New Roman"/>
                <w:sz w:val="10"/>
              </w:rPr>
            </w:pPr>
          </w:p>
        </w:tc>
        <w:tc>
          <w:tcPr>
            <w:tcW w:w="1423" w:type="dxa"/>
          </w:tcPr>
          <w:p>
            <w:pPr>
              <w:pStyle w:val="TableParagraph"/>
              <w:rPr>
                <w:rFonts w:ascii="Times New Roman"/>
                <w:sz w:val="10"/>
              </w:rPr>
            </w:pPr>
          </w:p>
        </w:tc>
        <w:tc>
          <w:tcPr>
            <w:tcW w:w="1040" w:type="dxa"/>
          </w:tcPr>
          <w:p>
            <w:pPr>
              <w:pStyle w:val="TableParagraph"/>
              <w:rPr>
                <w:rFonts w:ascii="Times New Roman"/>
                <w:sz w:val="10"/>
              </w:rPr>
            </w:pPr>
          </w:p>
        </w:tc>
        <w:tc>
          <w:tcPr>
            <w:tcW w:w="869" w:type="dxa"/>
          </w:tcPr>
          <w:p>
            <w:pPr>
              <w:pStyle w:val="TableParagraph"/>
              <w:rPr>
                <w:rFonts w:ascii="Times New Roman"/>
                <w:sz w:val="10"/>
              </w:rPr>
            </w:pPr>
          </w:p>
        </w:tc>
        <w:tc>
          <w:tcPr>
            <w:tcW w:w="638" w:type="dxa"/>
          </w:tcPr>
          <w:p>
            <w:pPr>
              <w:pStyle w:val="TableParagraph"/>
              <w:rPr>
                <w:rFonts w:ascii="Times New Roman"/>
                <w:sz w:val="10"/>
              </w:rPr>
            </w:pPr>
          </w:p>
        </w:tc>
        <w:tc>
          <w:tcPr>
            <w:tcW w:w="1066" w:type="dxa"/>
          </w:tcPr>
          <w:p>
            <w:pPr>
              <w:pStyle w:val="TableParagraph"/>
              <w:rPr>
                <w:rFonts w:ascii="Times New Roman"/>
                <w:sz w:val="10"/>
              </w:rPr>
            </w:pPr>
          </w:p>
        </w:tc>
      </w:tr>
      <w:tr>
        <w:trPr>
          <w:trHeight w:val="163" w:hRule="atLeast"/>
        </w:trPr>
        <w:tc>
          <w:tcPr>
            <w:tcW w:w="1385" w:type="dxa"/>
          </w:tcPr>
          <w:p>
            <w:pPr>
              <w:pStyle w:val="TableParagraph"/>
              <w:spacing w:line="127" w:lineRule="exact" w:before="17"/>
              <w:ind w:left="119"/>
              <w:rPr>
                <w:sz w:val="12"/>
              </w:rPr>
            </w:pPr>
            <w:r>
              <w:rPr>
                <w:w w:val="120"/>
                <w:sz w:val="12"/>
              </w:rPr>
              <w:t>Sundaram, 2019</w:t>
            </w:r>
          </w:p>
        </w:tc>
        <w:tc>
          <w:tcPr>
            <w:tcW w:w="1246" w:type="dxa"/>
          </w:tcPr>
          <w:p>
            <w:pPr>
              <w:pStyle w:val="TableParagraph"/>
              <w:spacing w:line="127" w:lineRule="exact" w:before="17"/>
              <w:ind w:left="27"/>
              <w:rPr>
                <w:sz w:val="12"/>
              </w:rPr>
            </w:pPr>
            <w:r>
              <w:rPr>
                <w:w w:val="105"/>
                <w:sz w:val="12"/>
              </w:rPr>
              <w:t>Low</w:t>
            </w:r>
          </w:p>
        </w:tc>
        <w:tc>
          <w:tcPr>
            <w:tcW w:w="1028" w:type="dxa"/>
          </w:tcPr>
          <w:p>
            <w:pPr>
              <w:pStyle w:val="TableParagraph"/>
              <w:spacing w:line="127" w:lineRule="exact" w:before="17"/>
              <w:ind w:left="109"/>
              <w:rPr>
                <w:sz w:val="12"/>
              </w:rPr>
            </w:pPr>
            <w:r>
              <w:rPr>
                <w:w w:val="105"/>
                <w:sz w:val="12"/>
              </w:rPr>
              <w:t>Low</w:t>
            </w:r>
          </w:p>
        </w:tc>
        <w:tc>
          <w:tcPr>
            <w:tcW w:w="1708" w:type="dxa"/>
          </w:tcPr>
          <w:p>
            <w:pPr>
              <w:pStyle w:val="TableParagraph"/>
              <w:spacing w:line="127" w:lineRule="exact" w:before="17"/>
              <w:ind w:left="142"/>
              <w:rPr>
                <w:sz w:val="12"/>
              </w:rPr>
            </w:pPr>
            <w:r>
              <w:rPr>
                <w:w w:val="105"/>
                <w:sz w:val="12"/>
              </w:rPr>
              <w:t>High</w:t>
            </w:r>
          </w:p>
        </w:tc>
        <w:tc>
          <w:tcPr>
            <w:tcW w:w="1423" w:type="dxa"/>
          </w:tcPr>
          <w:p>
            <w:pPr>
              <w:pStyle w:val="TableParagraph"/>
              <w:spacing w:line="127" w:lineRule="exact" w:before="17"/>
              <w:ind w:left="137"/>
              <w:rPr>
                <w:sz w:val="12"/>
              </w:rPr>
            </w:pPr>
            <w:r>
              <w:rPr>
                <w:w w:val="105"/>
                <w:sz w:val="12"/>
              </w:rPr>
              <w:t>High</w:t>
            </w:r>
          </w:p>
        </w:tc>
        <w:tc>
          <w:tcPr>
            <w:tcW w:w="1040" w:type="dxa"/>
          </w:tcPr>
          <w:p>
            <w:pPr>
              <w:pStyle w:val="TableParagraph"/>
              <w:spacing w:line="127" w:lineRule="exact" w:before="17"/>
              <w:ind w:left="49"/>
              <w:rPr>
                <w:sz w:val="12"/>
              </w:rPr>
            </w:pPr>
            <w:r>
              <w:rPr>
                <w:w w:val="105"/>
                <w:sz w:val="12"/>
              </w:rPr>
              <w:t>Low</w:t>
            </w:r>
          </w:p>
        </w:tc>
        <w:tc>
          <w:tcPr>
            <w:tcW w:w="869" w:type="dxa"/>
          </w:tcPr>
          <w:p>
            <w:pPr>
              <w:pStyle w:val="TableParagraph"/>
              <w:spacing w:line="127" w:lineRule="exact" w:before="17"/>
              <w:ind w:left="153"/>
              <w:rPr>
                <w:sz w:val="12"/>
              </w:rPr>
            </w:pPr>
            <w:r>
              <w:rPr>
                <w:w w:val="105"/>
                <w:sz w:val="12"/>
              </w:rPr>
              <w:t>Low</w:t>
            </w:r>
          </w:p>
        </w:tc>
        <w:tc>
          <w:tcPr>
            <w:tcW w:w="638" w:type="dxa"/>
          </w:tcPr>
          <w:p>
            <w:pPr>
              <w:pStyle w:val="TableParagraph"/>
              <w:spacing w:line="127" w:lineRule="exact" w:before="17"/>
              <w:ind w:left="141"/>
              <w:rPr>
                <w:sz w:val="12"/>
              </w:rPr>
            </w:pPr>
            <w:r>
              <w:rPr>
                <w:w w:val="105"/>
                <w:sz w:val="12"/>
              </w:rPr>
              <w:t>Low</w:t>
            </w:r>
          </w:p>
        </w:tc>
        <w:tc>
          <w:tcPr>
            <w:tcW w:w="1066" w:type="dxa"/>
          </w:tcPr>
          <w:p>
            <w:pPr>
              <w:pStyle w:val="TableParagraph"/>
              <w:spacing w:line="127" w:lineRule="exact" w:before="17"/>
              <w:ind w:left="26"/>
              <w:rPr>
                <w:sz w:val="12"/>
              </w:rPr>
            </w:pPr>
            <w:r>
              <w:rPr>
                <w:w w:val="105"/>
                <w:sz w:val="12"/>
              </w:rPr>
              <w:t>High</w:t>
            </w:r>
          </w:p>
        </w:tc>
      </w:tr>
      <w:tr>
        <w:trPr>
          <w:trHeight w:val="171" w:hRule="atLeast"/>
        </w:trPr>
        <w:tc>
          <w:tcPr>
            <w:tcW w:w="1385" w:type="dxa"/>
          </w:tcPr>
          <w:p>
            <w:pPr>
              <w:pStyle w:val="TableParagraph"/>
              <w:spacing w:line="127" w:lineRule="exact" w:before="24"/>
              <w:ind w:left="278"/>
              <w:rPr>
                <w:sz w:val="12"/>
              </w:rPr>
            </w:pPr>
            <w:r>
              <w:rPr>
                <w:w w:val="120"/>
                <w:sz w:val="12"/>
              </w:rPr>
              <w:t>[</w:t>
            </w:r>
            <w:hyperlink w:history="true" w:anchor="_bookmark41">
              <w:r>
                <w:rPr>
                  <w:color w:val="007FAC"/>
                  <w:w w:val="120"/>
                  <w:sz w:val="12"/>
                </w:rPr>
                <w:t>30</w:t>
              </w:r>
            </w:hyperlink>
            <w:r>
              <w:rPr>
                <w:w w:val="120"/>
                <w:sz w:val="12"/>
              </w:rPr>
              <w:t>]</w:t>
            </w:r>
          </w:p>
        </w:tc>
        <w:tc>
          <w:tcPr>
            <w:tcW w:w="1246" w:type="dxa"/>
          </w:tcPr>
          <w:p>
            <w:pPr>
              <w:pStyle w:val="TableParagraph"/>
              <w:rPr>
                <w:rFonts w:ascii="Times New Roman"/>
                <w:sz w:val="10"/>
              </w:rPr>
            </w:pPr>
          </w:p>
        </w:tc>
        <w:tc>
          <w:tcPr>
            <w:tcW w:w="1028" w:type="dxa"/>
          </w:tcPr>
          <w:p>
            <w:pPr>
              <w:pStyle w:val="TableParagraph"/>
              <w:rPr>
                <w:rFonts w:ascii="Times New Roman"/>
                <w:sz w:val="10"/>
              </w:rPr>
            </w:pPr>
          </w:p>
        </w:tc>
        <w:tc>
          <w:tcPr>
            <w:tcW w:w="1708" w:type="dxa"/>
          </w:tcPr>
          <w:p>
            <w:pPr>
              <w:pStyle w:val="TableParagraph"/>
              <w:rPr>
                <w:rFonts w:ascii="Times New Roman"/>
                <w:sz w:val="10"/>
              </w:rPr>
            </w:pPr>
          </w:p>
        </w:tc>
        <w:tc>
          <w:tcPr>
            <w:tcW w:w="1423" w:type="dxa"/>
          </w:tcPr>
          <w:p>
            <w:pPr>
              <w:pStyle w:val="TableParagraph"/>
              <w:rPr>
                <w:rFonts w:ascii="Times New Roman"/>
                <w:sz w:val="10"/>
              </w:rPr>
            </w:pPr>
          </w:p>
        </w:tc>
        <w:tc>
          <w:tcPr>
            <w:tcW w:w="1040" w:type="dxa"/>
          </w:tcPr>
          <w:p>
            <w:pPr>
              <w:pStyle w:val="TableParagraph"/>
              <w:rPr>
                <w:rFonts w:ascii="Times New Roman"/>
                <w:sz w:val="10"/>
              </w:rPr>
            </w:pPr>
          </w:p>
        </w:tc>
        <w:tc>
          <w:tcPr>
            <w:tcW w:w="869" w:type="dxa"/>
          </w:tcPr>
          <w:p>
            <w:pPr>
              <w:pStyle w:val="TableParagraph"/>
              <w:rPr>
                <w:rFonts w:ascii="Times New Roman"/>
                <w:sz w:val="10"/>
              </w:rPr>
            </w:pPr>
          </w:p>
        </w:tc>
        <w:tc>
          <w:tcPr>
            <w:tcW w:w="638" w:type="dxa"/>
          </w:tcPr>
          <w:p>
            <w:pPr>
              <w:pStyle w:val="TableParagraph"/>
              <w:rPr>
                <w:rFonts w:ascii="Times New Roman"/>
                <w:sz w:val="10"/>
              </w:rPr>
            </w:pPr>
          </w:p>
        </w:tc>
        <w:tc>
          <w:tcPr>
            <w:tcW w:w="1066" w:type="dxa"/>
          </w:tcPr>
          <w:p>
            <w:pPr>
              <w:pStyle w:val="TableParagraph"/>
              <w:rPr>
                <w:rFonts w:ascii="Times New Roman"/>
                <w:sz w:val="10"/>
              </w:rPr>
            </w:pPr>
          </w:p>
        </w:tc>
      </w:tr>
      <w:tr>
        <w:trPr>
          <w:trHeight w:val="172" w:hRule="atLeast"/>
        </w:trPr>
        <w:tc>
          <w:tcPr>
            <w:tcW w:w="1385" w:type="dxa"/>
          </w:tcPr>
          <w:p>
            <w:pPr>
              <w:pStyle w:val="TableParagraph"/>
              <w:spacing w:line="127" w:lineRule="exact" w:before="9"/>
              <w:ind w:left="119"/>
              <w:rPr>
                <w:sz w:val="12"/>
              </w:rPr>
            </w:pPr>
            <w:r>
              <w:rPr>
                <w:w w:val="120"/>
                <w:sz w:val="12"/>
              </w:rPr>
              <w:t>Sundaram, 2020</w:t>
            </w:r>
          </w:p>
        </w:tc>
        <w:tc>
          <w:tcPr>
            <w:tcW w:w="1246" w:type="dxa"/>
          </w:tcPr>
          <w:p>
            <w:pPr>
              <w:pStyle w:val="TableParagraph"/>
              <w:spacing w:line="127" w:lineRule="exact" w:before="9"/>
              <w:ind w:left="27"/>
              <w:rPr>
                <w:sz w:val="12"/>
              </w:rPr>
            </w:pPr>
            <w:r>
              <w:rPr>
                <w:w w:val="105"/>
                <w:sz w:val="12"/>
              </w:rPr>
              <w:t>Low</w:t>
            </w:r>
          </w:p>
        </w:tc>
        <w:tc>
          <w:tcPr>
            <w:tcW w:w="1028" w:type="dxa"/>
          </w:tcPr>
          <w:p>
            <w:pPr>
              <w:pStyle w:val="TableParagraph"/>
              <w:spacing w:line="127" w:lineRule="exact" w:before="9"/>
              <w:ind w:left="109"/>
              <w:rPr>
                <w:sz w:val="12"/>
              </w:rPr>
            </w:pPr>
            <w:r>
              <w:rPr>
                <w:w w:val="105"/>
                <w:sz w:val="12"/>
              </w:rPr>
              <w:t>Low</w:t>
            </w:r>
          </w:p>
        </w:tc>
        <w:tc>
          <w:tcPr>
            <w:tcW w:w="1708" w:type="dxa"/>
          </w:tcPr>
          <w:p>
            <w:pPr>
              <w:pStyle w:val="TableParagraph"/>
              <w:spacing w:line="127" w:lineRule="exact" w:before="9"/>
              <w:ind w:left="142"/>
              <w:rPr>
                <w:sz w:val="12"/>
              </w:rPr>
            </w:pPr>
            <w:r>
              <w:rPr>
                <w:w w:val="105"/>
                <w:sz w:val="12"/>
              </w:rPr>
              <w:t>High</w:t>
            </w:r>
          </w:p>
        </w:tc>
        <w:tc>
          <w:tcPr>
            <w:tcW w:w="1423" w:type="dxa"/>
          </w:tcPr>
          <w:p>
            <w:pPr>
              <w:pStyle w:val="TableParagraph"/>
              <w:spacing w:line="127" w:lineRule="exact" w:before="9"/>
              <w:ind w:left="137"/>
              <w:rPr>
                <w:sz w:val="12"/>
              </w:rPr>
            </w:pPr>
            <w:r>
              <w:rPr>
                <w:w w:val="105"/>
                <w:sz w:val="12"/>
              </w:rPr>
              <w:t>Low</w:t>
            </w:r>
          </w:p>
        </w:tc>
        <w:tc>
          <w:tcPr>
            <w:tcW w:w="1040" w:type="dxa"/>
          </w:tcPr>
          <w:p>
            <w:pPr>
              <w:pStyle w:val="TableParagraph"/>
              <w:spacing w:line="127" w:lineRule="exact" w:before="9"/>
              <w:ind w:left="49"/>
              <w:rPr>
                <w:sz w:val="12"/>
              </w:rPr>
            </w:pPr>
            <w:r>
              <w:rPr>
                <w:w w:val="105"/>
                <w:sz w:val="12"/>
              </w:rPr>
              <w:t>Low</w:t>
            </w:r>
          </w:p>
        </w:tc>
        <w:tc>
          <w:tcPr>
            <w:tcW w:w="869" w:type="dxa"/>
          </w:tcPr>
          <w:p>
            <w:pPr>
              <w:pStyle w:val="TableParagraph"/>
              <w:spacing w:line="127" w:lineRule="exact" w:before="9"/>
              <w:ind w:left="153"/>
              <w:rPr>
                <w:sz w:val="12"/>
              </w:rPr>
            </w:pPr>
            <w:r>
              <w:rPr>
                <w:w w:val="105"/>
                <w:sz w:val="12"/>
              </w:rPr>
              <w:t>Low</w:t>
            </w:r>
          </w:p>
        </w:tc>
        <w:tc>
          <w:tcPr>
            <w:tcW w:w="638" w:type="dxa"/>
          </w:tcPr>
          <w:p>
            <w:pPr>
              <w:pStyle w:val="TableParagraph"/>
              <w:spacing w:line="127" w:lineRule="exact" w:before="9"/>
              <w:ind w:left="141"/>
              <w:rPr>
                <w:sz w:val="12"/>
              </w:rPr>
            </w:pPr>
            <w:r>
              <w:rPr>
                <w:w w:val="105"/>
                <w:sz w:val="12"/>
              </w:rPr>
              <w:t>Low</w:t>
            </w:r>
          </w:p>
        </w:tc>
        <w:tc>
          <w:tcPr>
            <w:tcW w:w="1066" w:type="dxa"/>
          </w:tcPr>
          <w:p>
            <w:pPr>
              <w:pStyle w:val="TableParagraph"/>
              <w:spacing w:line="127" w:lineRule="exact" w:before="9"/>
              <w:ind w:left="26"/>
              <w:rPr>
                <w:sz w:val="12"/>
              </w:rPr>
            </w:pPr>
            <w:r>
              <w:rPr>
                <w:w w:val="105"/>
                <w:sz w:val="12"/>
              </w:rPr>
              <w:t>High</w:t>
            </w:r>
          </w:p>
        </w:tc>
      </w:tr>
    </w:tbl>
    <w:p>
      <w:pPr>
        <w:spacing w:before="24"/>
        <w:ind w:left="395" w:right="0" w:firstLine="0"/>
        <w:jc w:val="left"/>
        <w:rPr>
          <w:sz w:val="12"/>
        </w:rPr>
      </w:pPr>
      <w:r>
        <w:rPr/>
        <w:pict>
          <v:shape style="position:absolute;margin-left:32.825001pt;margin-top:11.188491pt;width:520.0500pt;height:.1pt;mso-position-horizontal-relative:page;mso-position-vertical-relative:paragraph;z-index:-251613184;mso-wrap-distance-left:0;mso-wrap-distance-right:0" coordorigin="657,224" coordsize="10401,0" path="m657,224l11057,224e" filled="false" stroked="true" strokeweight=".51pt" strokecolor="#000000">
            <v:path arrowok="t"/>
            <v:stroke dashstyle="solid"/>
            <w10:wrap type="topAndBottom"/>
          </v:shape>
        </w:pict>
      </w:r>
      <w:r>
        <w:rPr>
          <w:w w:val="120"/>
          <w:sz w:val="12"/>
        </w:rPr>
        <w:t>[</w:t>
      </w:r>
      <w:hyperlink w:history="true" w:anchor="_bookmark42">
        <w:r>
          <w:rPr>
            <w:color w:val="007FAC"/>
            <w:w w:val="120"/>
            <w:sz w:val="12"/>
          </w:rPr>
          <w:t>31</w:t>
        </w:r>
      </w:hyperlink>
      <w:r>
        <w:rPr>
          <w:w w:val="120"/>
          <w:sz w:val="12"/>
        </w:rPr>
        <w:t>]</w:t>
      </w:r>
    </w:p>
    <w:p>
      <w:pPr>
        <w:pStyle w:val="BodyText"/>
        <w:spacing w:before="5"/>
        <w:rPr>
          <w:sz w:val="15"/>
        </w:rPr>
      </w:pPr>
    </w:p>
    <w:p>
      <w:pPr>
        <w:spacing w:before="111"/>
        <w:ind w:left="116" w:right="0" w:firstLine="0"/>
        <w:jc w:val="left"/>
        <w:rPr>
          <w:sz w:val="12"/>
        </w:rPr>
      </w:pPr>
      <w:bookmarkStart w:name="_bookmark76" w:id="115"/>
      <w:bookmarkEnd w:id="115"/>
      <w:r>
        <w:rPr/>
      </w:r>
      <w:r>
        <w:rPr>
          <w:w w:val="120"/>
          <w:sz w:val="12"/>
        </w:rPr>
        <w:t>Supplement Table 2</w:t>
      </w:r>
    </w:p>
    <w:p>
      <w:pPr>
        <w:spacing w:before="22"/>
        <w:ind w:left="116" w:right="0" w:firstLine="0"/>
        <w:jc w:val="left"/>
        <w:rPr>
          <w:sz w:val="12"/>
        </w:rPr>
      </w:pPr>
      <w:r>
        <w:rPr/>
        <w:pict>
          <v:line style="position:absolute;mso-position-horizontal-relative:page;mso-position-vertical-relative:paragraph;z-index:251704320" from="32.825001pt,12.107188pt" to="552.869001pt,12.107188pt" stroked="true" strokeweight=".51pt" strokecolor="#000000">
            <v:stroke dashstyle="solid"/>
            <w10:wrap type="none"/>
          </v:line>
        </w:pict>
      </w:r>
      <w:r>
        <w:rPr>
          <w:w w:val="115"/>
          <w:sz w:val="12"/>
        </w:rPr>
        <w:t>Methodological quality assessment of observational studies using the Newcastle-Ottawa Quality Assessment Scale.</w:t>
      </w:r>
    </w:p>
    <w:p>
      <w:pPr>
        <w:spacing w:after="0"/>
        <w:jc w:val="left"/>
        <w:rPr>
          <w:sz w:val="12"/>
        </w:rPr>
        <w:sectPr>
          <w:pgSz w:w="11910" w:h="15880"/>
          <w:pgMar w:header="210" w:footer="165" w:top="840" w:bottom="360" w:left="540" w:right="540"/>
        </w:sectPr>
      </w:pPr>
    </w:p>
    <w:p>
      <w:pPr>
        <w:tabs>
          <w:tab w:pos="1310" w:val="left" w:leader="none"/>
        </w:tabs>
        <w:spacing w:line="142" w:lineRule="exact" w:before="134"/>
        <w:ind w:left="235" w:right="0" w:firstLine="0"/>
        <w:jc w:val="left"/>
        <w:rPr>
          <w:sz w:val="12"/>
        </w:rPr>
      </w:pPr>
      <w:r>
        <w:rPr>
          <w:w w:val="115"/>
          <w:sz w:val="12"/>
        </w:rPr>
        <w:t>Study</w:t>
        <w:tab/>
        <w:t>Representativeness Selection</w:t>
      </w:r>
      <w:r>
        <w:rPr>
          <w:spacing w:val="-9"/>
          <w:w w:val="115"/>
          <w:sz w:val="12"/>
        </w:rPr>
        <w:t> </w:t>
      </w:r>
      <w:r>
        <w:rPr>
          <w:spacing w:val="-10"/>
          <w:w w:val="115"/>
          <w:sz w:val="12"/>
        </w:rPr>
        <w:t>of</w:t>
      </w:r>
    </w:p>
    <w:p>
      <w:pPr>
        <w:spacing w:line="142" w:lineRule="exact" w:before="134"/>
        <w:ind w:left="86" w:right="0" w:firstLine="0"/>
        <w:jc w:val="left"/>
        <w:rPr>
          <w:sz w:val="12"/>
        </w:rPr>
      </w:pPr>
      <w:r>
        <w:rPr/>
        <w:br w:type="column"/>
      </w:r>
      <w:r>
        <w:rPr>
          <w:w w:val="115"/>
          <w:sz w:val="12"/>
        </w:rPr>
        <w:t>Ascertainment Demonstration that</w:t>
      </w:r>
    </w:p>
    <w:p>
      <w:pPr>
        <w:spacing w:line="142" w:lineRule="exact" w:before="134"/>
        <w:ind w:left="235" w:right="0" w:firstLine="0"/>
        <w:jc w:val="left"/>
        <w:rPr>
          <w:sz w:val="12"/>
        </w:rPr>
      </w:pPr>
      <w:r>
        <w:rPr/>
        <w:br w:type="column"/>
      </w:r>
      <w:r>
        <w:rPr>
          <w:w w:val="110"/>
          <w:sz w:val="12"/>
        </w:rPr>
        <w:t>Comparability of the Assessment Was the follow-up Adequacy</w:t>
      </w:r>
    </w:p>
    <w:p>
      <w:pPr>
        <w:spacing w:line="142" w:lineRule="exact" w:before="134"/>
        <w:ind w:left="102" w:right="0" w:firstLine="0"/>
        <w:jc w:val="left"/>
        <w:rPr>
          <w:sz w:val="12"/>
        </w:rPr>
      </w:pPr>
      <w:r>
        <w:rPr/>
        <w:br w:type="column"/>
      </w:r>
      <w:r>
        <w:rPr>
          <w:w w:val="110"/>
          <w:sz w:val="12"/>
        </w:rPr>
        <w:t>Total</w:t>
      </w:r>
    </w:p>
    <w:p>
      <w:pPr>
        <w:spacing w:after="0" w:line="142" w:lineRule="exact"/>
        <w:jc w:val="left"/>
        <w:rPr>
          <w:sz w:val="12"/>
        </w:rPr>
        <w:sectPr>
          <w:type w:val="continuous"/>
          <w:pgSz w:w="11910" w:h="15880"/>
          <w:pgMar w:top="840" w:bottom="360" w:left="540" w:right="540"/>
          <w:cols w:num="4" w:equalWidth="0">
            <w:col w:w="3281" w:space="40"/>
            <w:col w:w="2300" w:space="221"/>
            <w:col w:w="4112" w:space="39"/>
            <w:col w:w="837"/>
          </w:cols>
        </w:sectPr>
      </w:pPr>
    </w:p>
    <w:p>
      <w:pPr>
        <w:spacing w:before="29"/>
        <w:ind w:left="1310" w:right="0" w:firstLine="0"/>
        <w:jc w:val="left"/>
        <w:rPr>
          <w:sz w:val="12"/>
        </w:rPr>
      </w:pPr>
      <w:r>
        <w:rPr>
          <w:w w:val="115"/>
          <w:sz w:val="12"/>
        </w:rPr>
        <w:t>of exposed cohort</w:t>
      </w:r>
      <w:hyperlink w:history="true" w:anchor="_bookmark77">
        <w:r>
          <w:rPr>
            <w:color w:val="007FAC"/>
            <w:w w:val="115"/>
            <w:sz w:val="12"/>
            <w:vertAlign w:val="superscript"/>
          </w:rPr>
          <w:t>a</w:t>
        </w:r>
      </w:hyperlink>
    </w:p>
    <w:p>
      <w:pPr>
        <w:spacing w:before="29"/>
        <w:ind w:left="82" w:right="0" w:firstLine="0"/>
        <w:jc w:val="left"/>
        <w:rPr>
          <w:sz w:val="12"/>
        </w:rPr>
      </w:pPr>
      <w:r>
        <w:rPr/>
        <w:br w:type="column"/>
      </w:r>
      <w:r>
        <w:rPr>
          <w:w w:val="115"/>
          <w:sz w:val="12"/>
        </w:rPr>
        <w:t>the</w:t>
      </w:r>
    </w:p>
    <w:p>
      <w:pPr>
        <w:spacing w:before="29"/>
        <w:ind w:left="594" w:right="0" w:firstLine="0"/>
        <w:jc w:val="left"/>
        <w:rPr>
          <w:sz w:val="12"/>
        </w:rPr>
      </w:pPr>
      <w:r>
        <w:rPr/>
        <w:br w:type="column"/>
      </w:r>
      <w:r>
        <w:rPr>
          <w:w w:val="110"/>
          <w:sz w:val="12"/>
        </w:rPr>
        <w:t>of exposure</w:t>
      </w:r>
      <w:hyperlink w:history="true" w:anchor="_bookmark78">
        <w:r>
          <w:rPr>
            <w:color w:val="007FAC"/>
            <w:w w:val="110"/>
            <w:sz w:val="12"/>
            <w:vertAlign w:val="superscript"/>
          </w:rPr>
          <w:t>b</w:t>
        </w:r>
      </w:hyperlink>
    </w:p>
    <w:p>
      <w:pPr>
        <w:spacing w:before="29"/>
        <w:ind w:left="170" w:right="0" w:firstLine="0"/>
        <w:jc w:val="left"/>
        <w:rPr>
          <w:sz w:val="12"/>
        </w:rPr>
      </w:pPr>
      <w:r>
        <w:rPr/>
        <w:br w:type="column"/>
      </w:r>
      <w:r>
        <w:rPr>
          <w:w w:val="115"/>
          <w:sz w:val="12"/>
        </w:rPr>
        <w:t>outcome of interest was</w:t>
      </w:r>
    </w:p>
    <w:p>
      <w:pPr>
        <w:spacing w:before="29"/>
        <w:ind w:left="180" w:right="0" w:firstLine="0"/>
        <w:jc w:val="left"/>
        <w:rPr>
          <w:sz w:val="12"/>
        </w:rPr>
      </w:pPr>
      <w:r>
        <w:rPr/>
        <w:br w:type="column"/>
      </w:r>
      <w:r>
        <w:rPr>
          <w:w w:val="115"/>
          <w:sz w:val="12"/>
        </w:rPr>
        <w:t>cohorts on the basis of outcome</w:t>
      </w:r>
      <w:hyperlink w:history="true" w:anchor="_bookmark80">
        <w:r>
          <w:rPr>
            <w:color w:val="007FAC"/>
            <w:w w:val="115"/>
            <w:sz w:val="12"/>
            <w:vertAlign w:val="superscript"/>
          </w:rPr>
          <w:t>d</w:t>
        </w:r>
      </w:hyperlink>
      <w:r>
        <w:rPr>
          <w:color w:val="007FAC"/>
          <w:w w:val="115"/>
          <w:sz w:val="12"/>
          <w:vertAlign w:val="baseline"/>
        </w:rPr>
        <w:t> </w:t>
      </w:r>
      <w:r>
        <w:rPr>
          <w:w w:val="115"/>
          <w:sz w:val="12"/>
          <w:vertAlign w:val="baseline"/>
        </w:rPr>
        <w:t>long enough for</w:t>
      </w:r>
    </w:p>
    <w:p>
      <w:pPr>
        <w:spacing w:before="29"/>
        <w:ind w:left="163" w:right="0" w:firstLine="0"/>
        <w:jc w:val="left"/>
        <w:rPr>
          <w:sz w:val="12"/>
        </w:rPr>
      </w:pPr>
      <w:r>
        <w:rPr/>
        <w:br w:type="column"/>
      </w:r>
      <w:r>
        <w:rPr>
          <w:w w:val="115"/>
          <w:sz w:val="12"/>
        </w:rPr>
        <w:t>of follow-</w:t>
      </w:r>
    </w:p>
    <w:p>
      <w:pPr>
        <w:spacing w:after="0"/>
        <w:jc w:val="left"/>
        <w:rPr>
          <w:sz w:val="12"/>
        </w:rPr>
        <w:sectPr>
          <w:type w:val="continuous"/>
          <w:pgSz w:w="11910" w:h="15880"/>
          <w:pgMar w:top="840" w:bottom="360" w:left="540" w:right="540"/>
          <w:cols w:num="6" w:equalWidth="0">
            <w:col w:w="2452" w:space="40"/>
            <w:col w:w="281" w:space="39"/>
            <w:col w:w="1364" w:space="40"/>
            <w:col w:w="1641" w:space="39"/>
            <w:col w:w="3261" w:space="40"/>
            <w:col w:w="1633"/>
          </w:cols>
        </w:sect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42"/>
        <w:gridCol w:w="750"/>
        <w:gridCol w:w="1925"/>
        <w:gridCol w:w="2080"/>
        <w:gridCol w:w="1341"/>
        <w:gridCol w:w="1793"/>
        <w:gridCol w:w="821"/>
        <w:gridCol w:w="548"/>
      </w:tblGrid>
      <w:tr>
        <w:trPr>
          <w:trHeight w:val="392" w:hRule="atLeast"/>
        </w:trPr>
        <w:tc>
          <w:tcPr>
            <w:tcW w:w="1892" w:type="dxa"/>
            <w:gridSpan w:val="2"/>
            <w:tcBorders>
              <w:bottom w:val="single" w:sz="6" w:space="0" w:color="000000"/>
            </w:tcBorders>
          </w:tcPr>
          <w:p>
            <w:pPr>
              <w:pStyle w:val="TableParagraph"/>
              <w:rPr>
                <w:rFonts w:ascii="Times New Roman"/>
                <w:sz w:val="12"/>
              </w:rPr>
            </w:pPr>
          </w:p>
        </w:tc>
        <w:tc>
          <w:tcPr>
            <w:tcW w:w="1925" w:type="dxa"/>
            <w:tcBorders>
              <w:bottom w:val="single" w:sz="6" w:space="0" w:color="000000"/>
            </w:tcBorders>
          </w:tcPr>
          <w:p>
            <w:pPr>
              <w:pStyle w:val="TableParagraph"/>
              <w:spacing w:line="276" w:lineRule="auto" w:before="22"/>
              <w:ind w:left="566" w:right="234"/>
              <w:rPr>
                <w:sz w:val="12"/>
              </w:rPr>
            </w:pPr>
            <w:r>
              <w:rPr>
                <w:w w:val="110"/>
                <w:sz w:val="12"/>
              </w:rPr>
              <w:t>nonexposed </w:t>
            </w:r>
            <w:r>
              <w:rPr>
                <w:w w:val="115"/>
                <w:sz w:val="12"/>
              </w:rPr>
              <w:t>cohort</w:t>
            </w:r>
            <w:hyperlink w:history="true" w:anchor="_bookmark77">
              <w:r>
                <w:rPr>
                  <w:color w:val="007FAC"/>
                  <w:w w:val="115"/>
                  <w:sz w:val="12"/>
                  <w:vertAlign w:val="superscript"/>
                </w:rPr>
                <w:t>a</w:t>
              </w:r>
            </w:hyperlink>
          </w:p>
        </w:tc>
        <w:tc>
          <w:tcPr>
            <w:tcW w:w="2080" w:type="dxa"/>
            <w:tcBorders>
              <w:bottom w:val="single" w:sz="6" w:space="0" w:color="000000"/>
            </w:tcBorders>
          </w:tcPr>
          <w:p>
            <w:pPr>
              <w:pStyle w:val="TableParagraph"/>
              <w:spacing w:line="276" w:lineRule="auto" w:before="22"/>
              <w:ind w:left="453"/>
              <w:rPr>
                <w:sz w:val="12"/>
              </w:rPr>
            </w:pPr>
            <w:r>
              <w:rPr>
                <w:w w:val="115"/>
                <w:sz w:val="12"/>
              </w:rPr>
              <w:t>not present at the start of the study</w:t>
            </w:r>
            <w:hyperlink w:history="true" w:anchor="_bookmark77">
              <w:r>
                <w:rPr>
                  <w:color w:val="007FAC"/>
                  <w:w w:val="115"/>
                  <w:sz w:val="12"/>
                  <w:vertAlign w:val="superscript"/>
                </w:rPr>
                <w:t>a</w:t>
              </w:r>
            </w:hyperlink>
          </w:p>
        </w:tc>
        <w:tc>
          <w:tcPr>
            <w:tcW w:w="1341" w:type="dxa"/>
            <w:tcBorders>
              <w:bottom w:val="single" w:sz="6" w:space="0" w:color="000000"/>
            </w:tcBorders>
          </w:tcPr>
          <w:p>
            <w:pPr>
              <w:pStyle w:val="TableParagraph"/>
              <w:spacing w:before="22"/>
              <w:ind w:left="63"/>
              <w:rPr>
                <w:sz w:val="12"/>
              </w:rPr>
            </w:pPr>
            <w:r>
              <w:rPr>
                <w:w w:val="110"/>
                <w:sz w:val="12"/>
              </w:rPr>
              <w:t>of design or analysis</w:t>
            </w:r>
            <w:hyperlink w:history="true" w:anchor="_bookmark79">
              <w:r>
                <w:rPr>
                  <w:color w:val="007FAC"/>
                  <w:w w:val="110"/>
                  <w:sz w:val="12"/>
                  <w:vertAlign w:val="superscript"/>
                </w:rPr>
                <w:t>c</w:t>
              </w:r>
            </w:hyperlink>
          </w:p>
        </w:tc>
        <w:tc>
          <w:tcPr>
            <w:tcW w:w="1793" w:type="dxa"/>
            <w:tcBorders>
              <w:bottom w:val="single" w:sz="6" w:space="0" w:color="000000"/>
            </w:tcBorders>
          </w:tcPr>
          <w:p>
            <w:pPr>
              <w:pStyle w:val="TableParagraph"/>
              <w:spacing w:line="276" w:lineRule="auto" w:before="22"/>
              <w:ind w:left="832" w:right="199"/>
              <w:rPr>
                <w:sz w:val="12"/>
              </w:rPr>
            </w:pPr>
            <w:r>
              <w:rPr>
                <w:w w:val="115"/>
                <w:sz w:val="12"/>
              </w:rPr>
              <w:t>outcomes to occur</w:t>
            </w:r>
            <w:hyperlink w:history="true" w:anchor="_bookmark81">
              <w:r>
                <w:rPr>
                  <w:color w:val="007FAC"/>
                  <w:w w:val="115"/>
                  <w:sz w:val="12"/>
                  <w:vertAlign w:val="superscript"/>
                </w:rPr>
                <w:t>e</w:t>
              </w:r>
            </w:hyperlink>
            <w:r>
              <w:rPr>
                <w:w w:val="115"/>
                <w:sz w:val="12"/>
                <w:vertAlign w:val="baseline"/>
              </w:rPr>
              <w:t>?</w:t>
            </w:r>
          </w:p>
        </w:tc>
        <w:tc>
          <w:tcPr>
            <w:tcW w:w="821" w:type="dxa"/>
            <w:tcBorders>
              <w:bottom w:val="single" w:sz="6" w:space="0" w:color="000000"/>
            </w:tcBorders>
          </w:tcPr>
          <w:p>
            <w:pPr>
              <w:pStyle w:val="TableParagraph"/>
              <w:spacing w:line="276" w:lineRule="auto" w:before="22"/>
              <w:ind w:left="213"/>
              <w:rPr>
                <w:sz w:val="12"/>
              </w:rPr>
            </w:pPr>
            <w:r>
              <w:rPr>
                <w:w w:val="110"/>
                <w:sz w:val="12"/>
              </w:rPr>
              <w:t>up of cohorts</w:t>
            </w:r>
            <w:hyperlink w:history="true" w:anchor="_bookmark82">
              <w:r>
                <w:rPr>
                  <w:color w:val="007FAC"/>
                  <w:w w:val="110"/>
                  <w:sz w:val="12"/>
                  <w:vertAlign w:val="superscript"/>
                </w:rPr>
                <w:t>f</w:t>
              </w:r>
            </w:hyperlink>
          </w:p>
        </w:tc>
        <w:tc>
          <w:tcPr>
            <w:tcW w:w="548" w:type="dxa"/>
            <w:tcBorders>
              <w:bottom w:val="single" w:sz="6" w:space="0" w:color="000000"/>
            </w:tcBorders>
          </w:tcPr>
          <w:p>
            <w:pPr>
              <w:pStyle w:val="TableParagraph"/>
              <w:rPr>
                <w:rFonts w:ascii="Times New Roman"/>
                <w:sz w:val="12"/>
              </w:rPr>
            </w:pPr>
          </w:p>
        </w:tc>
      </w:tr>
      <w:tr>
        <w:trPr>
          <w:trHeight w:val="202" w:hRule="atLeast"/>
        </w:trPr>
        <w:tc>
          <w:tcPr>
            <w:tcW w:w="1142" w:type="dxa"/>
            <w:tcBorders>
              <w:top w:val="single" w:sz="6" w:space="0" w:color="000000"/>
            </w:tcBorders>
          </w:tcPr>
          <w:p>
            <w:pPr>
              <w:pStyle w:val="TableParagraph"/>
              <w:spacing w:line="133" w:lineRule="exact" w:before="49"/>
              <w:ind w:left="119"/>
              <w:rPr>
                <w:sz w:val="12"/>
              </w:rPr>
            </w:pPr>
            <w:r>
              <w:rPr>
                <w:w w:val="115"/>
                <w:sz w:val="12"/>
              </w:rPr>
              <w:t>Austin, 2017</w:t>
            </w:r>
          </w:p>
        </w:tc>
        <w:tc>
          <w:tcPr>
            <w:tcW w:w="750" w:type="dxa"/>
            <w:tcBorders>
              <w:top w:val="single" w:sz="6" w:space="0" w:color="000000"/>
            </w:tcBorders>
          </w:tcPr>
          <w:p>
            <w:pPr>
              <w:pStyle w:val="TableParagraph"/>
              <w:spacing w:line="133" w:lineRule="exact" w:before="49"/>
              <w:ind w:left="51"/>
              <w:rPr>
                <w:sz w:val="12"/>
              </w:rPr>
            </w:pPr>
            <w:r>
              <w:rPr>
                <w:w w:val="126"/>
                <w:sz w:val="12"/>
              </w:rPr>
              <w:t>1</w:t>
            </w:r>
          </w:p>
        </w:tc>
        <w:tc>
          <w:tcPr>
            <w:tcW w:w="1925" w:type="dxa"/>
            <w:tcBorders>
              <w:top w:val="single" w:sz="6" w:space="0" w:color="000000"/>
            </w:tcBorders>
          </w:tcPr>
          <w:p>
            <w:pPr>
              <w:pStyle w:val="TableParagraph"/>
              <w:tabs>
                <w:tab w:pos="1398" w:val="left" w:leader="none"/>
              </w:tabs>
              <w:spacing w:line="133" w:lineRule="exact" w:before="49"/>
              <w:ind w:left="566"/>
              <w:rPr>
                <w:sz w:val="12"/>
              </w:rPr>
            </w:pPr>
            <w:r>
              <w:rPr>
                <w:w w:val="125"/>
                <w:sz w:val="12"/>
              </w:rPr>
              <w:t>1</w:t>
              <w:tab/>
              <w:t>1</w:t>
            </w:r>
          </w:p>
        </w:tc>
        <w:tc>
          <w:tcPr>
            <w:tcW w:w="2080" w:type="dxa"/>
            <w:tcBorders>
              <w:top w:val="single" w:sz="6" w:space="0" w:color="000000"/>
            </w:tcBorders>
          </w:tcPr>
          <w:p>
            <w:pPr>
              <w:pStyle w:val="TableParagraph"/>
              <w:spacing w:line="133" w:lineRule="exact" w:before="49"/>
              <w:ind w:left="453"/>
              <w:rPr>
                <w:sz w:val="12"/>
              </w:rPr>
            </w:pPr>
            <w:r>
              <w:rPr>
                <w:w w:val="126"/>
                <w:sz w:val="12"/>
              </w:rPr>
              <w:t>1</w:t>
            </w:r>
          </w:p>
        </w:tc>
        <w:tc>
          <w:tcPr>
            <w:tcW w:w="1341" w:type="dxa"/>
            <w:tcBorders>
              <w:top w:val="single" w:sz="6" w:space="0" w:color="000000"/>
            </w:tcBorders>
          </w:tcPr>
          <w:p>
            <w:pPr>
              <w:pStyle w:val="TableParagraph"/>
              <w:spacing w:line="133" w:lineRule="exact" w:before="49"/>
              <w:ind w:left="63"/>
              <w:rPr>
                <w:sz w:val="12"/>
              </w:rPr>
            </w:pPr>
            <w:r>
              <w:rPr>
                <w:w w:val="126"/>
                <w:sz w:val="12"/>
              </w:rPr>
              <w:t>1</w:t>
            </w:r>
          </w:p>
        </w:tc>
        <w:tc>
          <w:tcPr>
            <w:tcW w:w="1793" w:type="dxa"/>
            <w:tcBorders>
              <w:top w:val="single" w:sz="6" w:space="0" w:color="000000"/>
            </w:tcBorders>
          </w:tcPr>
          <w:p>
            <w:pPr>
              <w:pStyle w:val="TableParagraph"/>
              <w:tabs>
                <w:tab w:pos="832" w:val="left" w:leader="none"/>
              </w:tabs>
              <w:spacing w:line="133" w:lineRule="exact" w:before="49"/>
              <w:ind w:left="30"/>
              <w:rPr>
                <w:sz w:val="12"/>
              </w:rPr>
            </w:pPr>
            <w:r>
              <w:rPr>
                <w:w w:val="125"/>
                <w:sz w:val="12"/>
              </w:rPr>
              <w:t>1</w:t>
              <w:tab/>
              <w:t>1</w:t>
            </w:r>
          </w:p>
        </w:tc>
        <w:tc>
          <w:tcPr>
            <w:tcW w:w="821" w:type="dxa"/>
            <w:tcBorders>
              <w:top w:val="single" w:sz="6" w:space="0" w:color="000000"/>
            </w:tcBorders>
          </w:tcPr>
          <w:p>
            <w:pPr>
              <w:pStyle w:val="TableParagraph"/>
              <w:spacing w:line="133" w:lineRule="exact" w:before="49"/>
              <w:ind w:left="213"/>
              <w:rPr>
                <w:sz w:val="12"/>
              </w:rPr>
            </w:pPr>
            <w:r>
              <w:rPr>
                <w:w w:val="126"/>
                <w:sz w:val="12"/>
              </w:rPr>
              <w:t>1</w:t>
            </w:r>
          </w:p>
        </w:tc>
        <w:tc>
          <w:tcPr>
            <w:tcW w:w="548" w:type="dxa"/>
            <w:tcBorders>
              <w:top w:val="single" w:sz="6" w:space="0" w:color="000000"/>
            </w:tcBorders>
          </w:tcPr>
          <w:p>
            <w:pPr>
              <w:pStyle w:val="TableParagraph"/>
              <w:spacing w:line="133" w:lineRule="exact" w:before="49"/>
              <w:ind w:left="127"/>
              <w:rPr>
                <w:sz w:val="12"/>
              </w:rPr>
            </w:pPr>
            <w:r>
              <w:rPr>
                <w:w w:val="126"/>
                <w:sz w:val="12"/>
              </w:rPr>
              <w:t>8</w:t>
            </w:r>
          </w:p>
        </w:tc>
      </w:tr>
      <w:tr>
        <w:trPr>
          <w:trHeight w:val="171" w:hRule="atLeast"/>
        </w:trPr>
        <w:tc>
          <w:tcPr>
            <w:tcW w:w="1142" w:type="dxa"/>
          </w:tcPr>
          <w:p>
            <w:pPr>
              <w:pStyle w:val="TableParagraph"/>
              <w:spacing w:line="133" w:lineRule="exact" w:before="18"/>
              <w:ind w:left="278"/>
              <w:rPr>
                <w:sz w:val="12"/>
              </w:rPr>
            </w:pPr>
            <w:r>
              <w:rPr>
                <w:w w:val="120"/>
                <w:sz w:val="12"/>
              </w:rPr>
              <w:t>[</w:t>
            </w:r>
            <w:hyperlink w:history="true" w:anchor="_bookmark52">
              <w:r>
                <w:rPr>
                  <w:color w:val="007FAC"/>
                  <w:w w:val="120"/>
                  <w:sz w:val="12"/>
                </w:rPr>
                <w:t>41</w:t>
              </w:r>
            </w:hyperlink>
            <w:r>
              <w:rPr>
                <w:w w:val="120"/>
                <w:sz w:val="12"/>
              </w:rPr>
              <w:t>]</w:t>
            </w:r>
          </w:p>
        </w:tc>
        <w:tc>
          <w:tcPr>
            <w:tcW w:w="750" w:type="dxa"/>
          </w:tcPr>
          <w:p>
            <w:pPr>
              <w:pStyle w:val="TableParagraph"/>
              <w:rPr>
                <w:rFonts w:ascii="Times New Roman"/>
                <w:sz w:val="10"/>
              </w:rPr>
            </w:pP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821" w:type="dxa"/>
          </w:tcPr>
          <w:p>
            <w:pPr>
              <w:pStyle w:val="TableParagraph"/>
              <w:rPr>
                <w:rFonts w:ascii="Times New Roman"/>
                <w:sz w:val="10"/>
              </w:rPr>
            </w:pPr>
          </w:p>
        </w:tc>
        <w:tc>
          <w:tcPr>
            <w:tcW w:w="548" w:type="dxa"/>
          </w:tcPr>
          <w:p>
            <w:pPr>
              <w:pStyle w:val="TableParagraph"/>
              <w:rPr>
                <w:rFonts w:ascii="Times New Roman"/>
                <w:sz w:val="10"/>
              </w:rPr>
            </w:pPr>
          </w:p>
        </w:tc>
      </w:tr>
      <w:tr>
        <w:trPr>
          <w:trHeight w:val="171" w:hRule="atLeast"/>
        </w:trPr>
        <w:tc>
          <w:tcPr>
            <w:tcW w:w="1142" w:type="dxa"/>
          </w:tcPr>
          <w:p>
            <w:pPr>
              <w:pStyle w:val="TableParagraph"/>
              <w:spacing w:line="133" w:lineRule="exact" w:before="3"/>
              <w:ind w:left="119"/>
              <w:rPr>
                <w:sz w:val="12"/>
              </w:rPr>
            </w:pPr>
            <w:r>
              <w:rPr>
                <w:w w:val="120"/>
                <w:sz w:val="12"/>
              </w:rPr>
              <w:t>Eickmann, 2010</w:t>
            </w:r>
          </w:p>
        </w:tc>
        <w:tc>
          <w:tcPr>
            <w:tcW w:w="750" w:type="dxa"/>
          </w:tcPr>
          <w:p>
            <w:pPr>
              <w:pStyle w:val="TableParagraph"/>
              <w:spacing w:line="133" w:lineRule="exact" w:before="3"/>
              <w:ind w:left="51"/>
              <w:rPr>
                <w:sz w:val="12"/>
              </w:rPr>
            </w:pPr>
            <w:r>
              <w:rPr>
                <w:w w:val="126"/>
                <w:sz w:val="12"/>
              </w:rPr>
              <w:t>1</w:t>
            </w:r>
          </w:p>
        </w:tc>
        <w:tc>
          <w:tcPr>
            <w:tcW w:w="1925" w:type="dxa"/>
          </w:tcPr>
          <w:p>
            <w:pPr>
              <w:pStyle w:val="TableParagraph"/>
              <w:tabs>
                <w:tab w:pos="1398" w:val="left" w:leader="none"/>
              </w:tabs>
              <w:spacing w:line="133" w:lineRule="exact" w:before="3"/>
              <w:ind w:left="566"/>
              <w:rPr>
                <w:sz w:val="12"/>
              </w:rPr>
            </w:pPr>
            <w:r>
              <w:rPr>
                <w:w w:val="125"/>
                <w:sz w:val="12"/>
              </w:rPr>
              <w:t>1</w:t>
              <w:tab/>
              <w:t>1</w:t>
            </w:r>
          </w:p>
        </w:tc>
        <w:tc>
          <w:tcPr>
            <w:tcW w:w="2080" w:type="dxa"/>
          </w:tcPr>
          <w:p>
            <w:pPr>
              <w:pStyle w:val="TableParagraph"/>
              <w:spacing w:line="133" w:lineRule="exact" w:before="3"/>
              <w:ind w:left="453"/>
              <w:rPr>
                <w:sz w:val="12"/>
              </w:rPr>
            </w:pPr>
            <w:r>
              <w:rPr>
                <w:w w:val="126"/>
                <w:sz w:val="12"/>
              </w:rPr>
              <w:t>1</w:t>
            </w:r>
          </w:p>
        </w:tc>
        <w:tc>
          <w:tcPr>
            <w:tcW w:w="1341" w:type="dxa"/>
          </w:tcPr>
          <w:p>
            <w:pPr>
              <w:pStyle w:val="TableParagraph"/>
              <w:spacing w:line="133" w:lineRule="exact" w:before="3"/>
              <w:ind w:left="63"/>
              <w:rPr>
                <w:sz w:val="12"/>
              </w:rPr>
            </w:pPr>
            <w:r>
              <w:rPr>
                <w:w w:val="126"/>
                <w:sz w:val="12"/>
              </w:rPr>
              <w:t>1</w:t>
            </w:r>
          </w:p>
        </w:tc>
        <w:tc>
          <w:tcPr>
            <w:tcW w:w="1793" w:type="dxa"/>
          </w:tcPr>
          <w:p>
            <w:pPr>
              <w:pStyle w:val="TableParagraph"/>
              <w:tabs>
                <w:tab w:pos="832" w:val="left" w:leader="none"/>
              </w:tabs>
              <w:spacing w:line="133" w:lineRule="exact" w:before="3"/>
              <w:ind w:left="30"/>
              <w:rPr>
                <w:sz w:val="12"/>
              </w:rPr>
            </w:pPr>
            <w:r>
              <w:rPr>
                <w:w w:val="125"/>
                <w:sz w:val="12"/>
              </w:rPr>
              <w:t>1</w:t>
              <w:tab/>
              <w:t>1</w:t>
            </w:r>
          </w:p>
        </w:tc>
        <w:tc>
          <w:tcPr>
            <w:tcW w:w="1369" w:type="dxa"/>
            <w:gridSpan w:val="2"/>
          </w:tcPr>
          <w:p>
            <w:pPr>
              <w:pStyle w:val="TableParagraph"/>
              <w:spacing w:line="133" w:lineRule="exact" w:before="3"/>
              <w:ind w:right="343"/>
              <w:jc w:val="right"/>
              <w:rPr>
                <w:sz w:val="12"/>
              </w:rPr>
            </w:pPr>
            <w:r>
              <w:rPr>
                <w:w w:val="126"/>
                <w:sz w:val="12"/>
              </w:rPr>
              <w:t>7</w:t>
            </w:r>
          </w:p>
        </w:tc>
      </w:tr>
      <w:tr>
        <w:trPr>
          <w:trHeight w:val="171" w:hRule="atLeast"/>
        </w:trPr>
        <w:tc>
          <w:tcPr>
            <w:tcW w:w="1142" w:type="dxa"/>
          </w:tcPr>
          <w:p>
            <w:pPr>
              <w:pStyle w:val="TableParagraph"/>
              <w:spacing w:line="133" w:lineRule="exact" w:before="18"/>
              <w:ind w:left="278"/>
              <w:rPr>
                <w:sz w:val="12"/>
              </w:rPr>
            </w:pPr>
            <w:r>
              <w:rPr>
                <w:w w:val="120"/>
                <w:sz w:val="12"/>
              </w:rPr>
              <w:t>[</w:t>
            </w:r>
            <w:hyperlink w:history="true" w:anchor="_bookmark56">
              <w:r>
                <w:rPr>
                  <w:color w:val="007FAC"/>
                  <w:w w:val="120"/>
                  <w:sz w:val="12"/>
                </w:rPr>
                <w:t>45</w:t>
              </w:r>
            </w:hyperlink>
            <w:r>
              <w:rPr>
                <w:w w:val="120"/>
                <w:sz w:val="12"/>
              </w:rPr>
              <w:t>]</w:t>
            </w:r>
          </w:p>
        </w:tc>
        <w:tc>
          <w:tcPr>
            <w:tcW w:w="750" w:type="dxa"/>
          </w:tcPr>
          <w:p>
            <w:pPr>
              <w:pStyle w:val="TableParagraph"/>
              <w:rPr>
                <w:rFonts w:ascii="Times New Roman"/>
                <w:sz w:val="10"/>
              </w:rPr>
            </w:pP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821" w:type="dxa"/>
          </w:tcPr>
          <w:p>
            <w:pPr>
              <w:pStyle w:val="TableParagraph"/>
              <w:rPr>
                <w:rFonts w:ascii="Times New Roman"/>
                <w:sz w:val="10"/>
              </w:rPr>
            </w:pPr>
          </w:p>
        </w:tc>
        <w:tc>
          <w:tcPr>
            <w:tcW w:w="548" w:type="dxa"/>
          </w:tcPr>
          <w:p>
            <w:pPr>
              <w:pStyle w:val="TableParagraph"/>
              <w:rPr>
                <w:rFonts w:ascii="Times New Roman"/>
                <w:sz w:val="10"/>
              </w:rPr>
            </w:pPr>
          </w:p>
        </w:tc>
      </w:tr>
      <w:tr>
        <w:trPr>
          <w:trHeight w:val="172" w:hRule="atLeast"/>
        </w:trPr>
        <w:tc>
          <w:tcPr>
            <w:tcW w:w="1142" w:type="dxa"/>
          </w:tcPr>
          <w:p>
            <w:pPr>
              <w:pStyle w:val="TableParagraph"/>
              <w:spacing w:line="133" w:lineRule="exact" w:before="3"/>
              <w:ind w:left="119"/>
              <w:rPr>
                <w:sz w:val="12"/>
              </w:rPr>
            </w:pPr>
            <w:r>
              <w:rPr>
                <w:w w:val="115"/>
                <w:sz w:val="12"/>
              </w:rPr>
              <w:t>Gililland, 2012</w:t>
            </w:r>
          </w:p>
        </w:tc>
        <w:tc>
          <w:tcPr>
            <w:tcW w:w="750" w:type="dxa"/>
          </w:tcPr>
          <w:p>
            <w:pPr>
              <w:pStyle w:val="TableParagraph"/>
              <w:spacing w:line="133" w:lineRule="exact" w:before="3"/>
              <w:ind w:left="51"/>
              <w:rPr>
                <w:sz w:val="12"/>
              </w:rPr>
            </w:pPr>
            <w:r>
              <w:rPr>
                <w:w w:val="126"/>
                <w:sz w:val="12"/>
              </w:rPr>
              <w:t>1</w:t>
            </w:r>
          </w:p>
        </w:tc>
        <w:tc>
          <w:tcPr>
            <w:tcW w:w="1925" w:type="dxa"/>
          </w:tcPr>
          <w:p>
            <w:pPr>
              <w:pStyle w:val="TableParagraph"/>
              <w:tabs>
                <w:tab w:pos="1398" w:val="left" w:leader="none"/>
              </w:tabs>
              <w:spacing w:line="133" w:lineRule="exact" w:before="3"/>
              <w:ind w:left="566"/>
              <w:rPr>
                <w:sz w:val="12"/>
              </w:rPr>
            </w:pPr>
            <w:r>
              <w:rPr>
                <w:w w:val="125"/>
                <w:sz w:val="12"/>
              </w:rPr>
              <w:t>1</w:t>
              <w:tab/>
              <w:t>1</w:t>
            </w:r>
          </w:p>
        </w:tc>
        <w:tc>
          <w:tcPr>
            <w:tcW w:w="2080" w:type="dxa"/>
          </w:tcPr>
          <w:p>
            <w:pPr>
              <w:pStyle w:val="TableParagraph"/>
              <w:spacing w:line="133" w:lineRule="exact" w:before="3"/>
              <w:ind w:left="453"/>
              <w:rPr>
                <w:sz w:val="12"/>
              </w:rPr>
            </w:pPr>
            <w:r>
              <w:rPr>
                <w:w w:val="126"/>
                <w:sz w:val="12"/>
              </w:rPr>
              <w:t>1</w:t>
            </w:r>
          </w:p>
        </w:tc>
        <w:tc>
          <w:tcPr>
            <w:tcW w:w="1341" w:type="dxa"/>
          </w:tcPr>
          <w:p>
            <w:pPr>
              <w:pStyle w:val="TableParagraph"/>
              <w:spacing w:line="133" w:lineRule="exact" w:before="3"/>
              <w:ind w:left="63"/>
              <w:rPr>
                <w:sz w:val="12"/>
              </w:rPr>
            </w:pPr>
            <w:r>
              <w:rPr>
                <w:w w:val="126"/>
                <w:sz w:val="12"/>
              </w:rPr>
              <w:t>1</w:t>
            </w:r>
          </w:p>
        </w:tc>
        <w:tc>
          <w:tcPr>
            <w:tcW w:w="1793" w:type="dxa"/>
          </w:tcPr>
          <w:p>
            <w:pPr>
              <w:pStyle w:val="TableParagraph"/>
              <w:tabs>
                <w:tab w:pos="832" w:val="left" w:leader="none"/>
              </w:tabs>
              <w:spacing w:line="133" w:lineRule="exact" w:before="3"/>
              <w:ind w:left="30"/>
              <w:rPr>
                <w:sz w:val="12"/>
              </w:rPr>
            </w:pPr>
            <w:r>
              <w:rPr>
                <w:w w:val="125"/>
                <w:sz w:val="12"/>
              </w:rPr>
              <w:t>1</w:t>
              <w:tab/>
              <w:t>1</w:t>
            </w:r>
          </w:p>
        </w:tc>
        <w:tc>
          <w:tcPr>
            <w:tcW w:w="821" w:type="dxa"/>
          </w:tcPr>
          <w:p>
            <w:pPr>
              <w:pStyle w:val="TableParagraph"/>
              <w:spacing w:line="133" w:lineRule="exact" w:before="3"/>
              <w:ind w:left="213"/>
              <w:rPr>
                <w:sz w:val="12"/>
              </w:rPr>
            </w:pPr>
            <w:r>
              <w:rPr>
                <w:w w:val="126"/>
                <w:sz w:val="12"/>
              </w:rPr>
              <w:t>1</w:t>
            </w:r>
          </w:p>
        </w:tc>
        <w:tc>
          <w:tcPr>
            <w:tcW w:w="548" w:type="dxa"/>
          </w:tcPr>
          <w:p>
            <w:pPr>
              <w:pStyle w:val="TableParagraph"/>
              <w:spacing w:line="133" w:lineRule="exact" w:before="3"/>
              <w:ind w:left="127"/>
              <w:rPr>
                <w:sz w:val="12"/>
              </w:rPr>
            </w:pPr>
            <w:r>
              <w:rPr>
                <w:w w:val="126"/>
                <w:sz w:val="12"/>
              </w:rPr>
              <w:t>8</w:t>
            </w:r>
          </w:p>
        </w:tc>
      </w:tr>
      <w:tr>
        <w:trPr>
          <w:trHeight w:val="171" w:hRule="atLeast"/>
        </w:trPr>
        <w:tc>
          <w:tcPr>
            <w:tcW w:w="1142" w:type="dxa"/>
          </w:tcPr>
          <w:p>
            <w:pPr>
              <w:pStyle w:val="TableParagraph"/>
              <w:spacing w:line="133" w:lineRule="exact" w:before="18"/>
              <w:ind w:left="278"/>
              <w:rPr>
                <w:sz w:val="12"/>
              </w:rPr>
            </w:pPr>
            <w:r>
              <w:rPr>
                <w:w w:val="120"/>
                <w:sz w:val="12"/>
              </w:rPr>
              <w:t>[</w:t>
            </w:r>
            <w:hyperlink w:history="true" w:anchor="_bookmark53">
              <w:r>
                <w:rPr>
                  <w:color w:val="007FAC"/>
                  <w:w w:val="120"/>
                  <w:sz w:val="12"/>
                </w:rPr>
                <w:t>42</w:t>
              </w:r>
            </w:hyperlink>
            <w:r>
              <w:rPr>
                <w:w w:val="120"/>
                <w:sz w:val="12"/>
              </w:rPr>
              <w:t>]</w:t>
            </w:r>
          </w:p>
        </w:tc>
        <w:tc>
          <w:tcPr>
            <w:tcW w:w="750" w:type="dxa"/>
          </w:tcPr>
          <w:p>
            <w:pPr>
              <w:pStyle w:val="TableParagraph"/>
              <w:rPr>
                <w:rFonts w:ascii="Times New Roman"/>
                <w:sz w:val="10"/>
              </w:rPr>
            </w:pP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821" w:type="dxa"/>
          </w:tcPr>
          <w:p>
            <w:pPr>
              <w:pStyle w:val="TableParagraph"/>
              <w:rPr>
                <w:rFonts w:ascii="Times New Roman"/>
                <w:sz w:val="10"/>
              </w:rPr>
            </w:pPr>
          </w:p>
        </w:tc>
        <w:tc>
          <w:tcPr>
            <w:tcW w:w="548" w:type="dxa"/>
          </w:tcPr>
          <w:p>
            <w:pPr>
              <w:pStyle w:val="TableParagraph"/>
              <w:rPr>
                <w:rFonts w:ascii="Times New Roman"/>
                <w:sz w:val="10"/>
              </w:rPr>
            </w:pPr>
          </w:p>
        </w:tc>
      </w:tr>
      <w:tr>
        <w:trPr>
          <w:trHeight w:val="178" w:hRule="atLeast"/>
        </w:trPr>
        <w:tc>
          <w:tcPr>
            <w:tcW w:w="1142" w:type="dxa"/>
          </w:tcPr>
          <w:p>
            <w:pPr>
              <w:pStyle w:val="TableParagraph"/>
              <w:spacing w:line="141" w:lineRule="exact" w:before="3"/>
              <w:ind w:left="119"/>
              <w:rPr>
                <w:sz w:val="12"/>
              </w:rPr>
            </w:pPr>
            <w:r>
              <w:rPr>
                <w:w w:val="120"/>
                <w:sz w:val="12"/>
              </w:rPr>
              <w:t>Ko, 2017 [</w:t>
            </w:r>
            <w:hyperlink w:history="true" w:anchor="_bookmark57">
              <w:r>
                <w:rPr>
                  <w:color w:val="007FAC"/>
                  <w:w w:val="120"/>
                  <w:sz w:val="12"/>
                </w:rPr>
                <w:t>46</w:t>
              </w:r>
            </w:hyperlink>
            <w:r>
              <w:rPr>
                <w:w w:val="120"/>
                <w:sz w:val="12"/>
              </w:rPr>
              <w:t>]</w:t>
            </w:r>
          </w:p>
        </w:tc>
        <w:tc>
          <w:tcPr>
            <w:tcW w:w="750" w:type="dxa"/>
          </w:tcPr>
          <w:p>
            <w:pPr>
              <w:pStyle w:val="TableParagraph"/>
              <w:spacing w:line="141" w:lineRule="exact" w:before="3"/>
              <w:ind w:left="51"/>
              <w:rPr>
                <w:sz w:val="12"/>
              </w:rPr>
            </w:pPr>
            <w:r>
              <w:rPr>
                <w:w w:val="126"/>
                <w:sz w:val="12"/>
              </w:rPr>
              <w:t>1</w:t>
            </w:r>
          </w:p>
        </w:tc>
        <w:tc>
          <w:tcPr>
            <w:tcW w:w="1925" w:type="dxa"/>
          </w:tcPr>
          <w:p>
            <w:pPr>
              <w:pStyle w:val="TableParagraph"/>
              <w:spacing w:line="141" w:lineRule="exact" w:before="3"/>
              <w:ind w:left="566"/>
              <w:rPr>
                <w:sz w:val="12"/>
              </w:rPr>
            </w:pPr>
            <w:r>
              <w:rPr>
                <w:w w:val="126"/>
                <w:sz w:val="12"/>
              </w:rPr>
              <w:t>1</w:t>
            </w:r>
          </w:p>
        </w:tc>
        <w:tc>
          <w:tcPr>
            <w:tcW w:w="2080" w:type="dxa"/>
          </w:tcPr>
          <w:p>
            <w:pPr>
              <w:pStyle w:val="TableParagraph"/>
              <w:spacing w:line="141" w:lineRule="exact" w:before="3"/>
              <w:ind w:left="453"/>
              <w:rPr>
                <w:sz w:val="12"/>
              </w:rPr>
            </w:pPr>
            <w:r>
              <w:rPr>
                <w:w w:val="126"/>
                <w:sz w:val="12"/>
              </w:rPr>
              <w:t>1</w:t>
            </w:r>
          </w:p>
        </w:tc>
        <w:tc>
          <w:tcPr>
            <w:tcW w:w="1341" w:type="dxa"/>
          </w:tcPr>
          <w:p>
            <w:pPr>
              <w:pStyle w:val="TableParagraph"/>
              <w:spacing w:line="141" w:lineRule="exact" w:before="3"/>
              <w:ind w:left="63"/>
              <w:rPr>
                <w:sz w:val="12"/>
              </w:rPr>
            </w:pPr>
            <w:r>
              <w:rPr>
                <w:w w:val="126"/>
                <w:sz w:val="12"/>
              </w:rPr>
              <w:t>1</w:t>
            </w:r>
          </w:p>
        </w:tc>
        <w:tc>
          <w:tcPr>
            <w:tcW w:w="1793" w:type="dxa"/>
          </w:tcPr>
          <w:p>
            <w:pPr>
              <w:pStyle w:val="TableParagraph"/>
              <w:tabs>
                <w:tab w:pos="832" w:val="left" w:leader="none"/>
              </w:tabs>
              <w:spacing w:line="141" w:lineRule="exact" w:before="3"/>
              <w:ind w:left="30"/>
              <w:rPr>
                <w:sz w:val="12"/>
              </w:rPr>
            </w:pPr>
            <w:r>
              <w:rPr>
                <w:w w:val="125"/>
                <w:sz w:val="12"/>
              </w:rPr>
              <w:t>1</w:t>
              <w:tab/>
              <w:t>1</w:t>
            </w:r>
          </w:p>
        </w:tc>
        <w:tc>
          <w:tcPr>
            <w:tcW w:w="821" w:type="dxa"/>
          </w:tcPr>
          <w:p>
            <w:pPr>
              <w:pStyle w:val="TableParagraph"/>
              <w:spacing w:line="141" w:lineRule="exact" w:before="3"/>
              <w:ind w:left="213"/>
              <w:rPr>
                <w:sz w:val="12"/>
              </w:rPr>
            </w:pPr>
            <w:r>
              <w:rPr>
                <w:w w:val="126"/>
                <w:sz w:val="12"/>
              </w:rPr>
              <w:t>1</w:t>
            </w:r>
          </w:p>
        </w:tc>
        <w:tc>
          <w:tcPr>
            <w:tcW w:w="548" w:type="dxa"/>
          </w:tcPr>
          <w:p>
            <w:pPr>
              <w:pStyle w:val="TableParagraph"/>
              <w:spacing w:line="141" w:lineRule="exact" w:before="3"/>
              <w:ind w:left="127"/>
              <w:rPr>
                <w:sz w:val="12"/>
              </w:rPr>
            </w:pPr>
            <w:r>
              <w:rPr>
                <w:w w:val="126"/>
                <w:sz w:val="12"/>
              </w:rPr>
              <w:t>7</w:t>
            </w:r>
          </w:p>
        </w:tc>
      </w:tr>
      <w:tr>
        <w:trPr>
          <w:trHeight w:val="171" w:hRule="atLeast"/>
        </w:trPr>
        <w:tc>
          <w:tcPr>
            <w:tcW w:w="1142" w:type="dxa"/>
          </w:tcPr>
          <w:p>
            <w:pPr>
              <w:pStyle w:val="TableParagraph"/>
              <w:spacing w:line="141" w:lineRule="exact" w:before="10"/>
              <w:ind w:left="119"/>
              <w:rPr>
                <w:sz w:val="12"/>
              </w:rPr>
            </w:pPr>
            <w:r>
              <w:rPr>
                <w:w w:val="115"/>
                <w:sz w:val="12"/>
              </w:rPr>
              <w:t>Liu, 2018 [</w:t>
            </w:r>
            <w:hyperlink w:history="true" w:anchor="_bookmark55">
              <w:r>
                <w:rPr>
                  <w:color w:val="007FAC"/>
                  <w:w w:val="115"/>
                  <w:sz w:val="12"/>
                </w:rPr>
                <w:t>43</w:t>
              </w:r>
            </w:hyperlink>
            <w:r>
              <w:rPr>
                <w:w w:val="115"/>
                <w:sz w:val="12"/>
              </w:rPr>
              <w:t>]</w:t>
            </w:r>
          </w:p>
        </w:tc>
        <w:tc>
          <w:tcPr>
            <w:tcW w:w="750" w:type="dxa"/>
          </w:tcPr>
          <w:p>
            <w:pPr>
              <w:pStyle w:val="TableParagraph"/>
              <w:spacing w:line="141" w:lineRule="exact" w:before="10"/>
              <w:ind w:left="51"/>
              <w:rPr>
                <w:sz w:val="12"/>
              </w:rPr>
            </w:pPr>
            <w:r>
              <w:rPr>
                <w:w w:val="126"/>
                <w:sz w:val="12"/>
              </w:rPr>
              <w:t>1</w:t>
            </w:r>
          </w:p>
        </w:tc>
        <w:tc>
          <w:tcPr>
            <w:tcW w:w="1925" w:type="dxa"/>
          </w:tcPr>
          <w:p>
            <w:pPr>
              <w:pStyle w:val="TableParagraph"/>
              <w:tabs>
                <w:tab w:pos="1398" w:val="left" w:leader="none"/>
              </w:tabs>
              <w:spacing w:line="141" w:lineRule="exact" w:before="10"/>
              <w:ind w:left="566"/>
              <w:rPr>
                <w:sz w:val="12"/>
              </w:rPr>
            </w:pPr>
            <w:r>
              <w:rPr>
                <w:w w:val="125"/>
                <w:sz w:val="12"/>
              </w:rPr>
              <w:t>1</w:t>
              <w:tab/>
              <w:t>1</w:t>
            </w:r>
          </w:p>
        </w:tc>
        <w:tc>
          <w:tcPr>
            <w:tcW w:w="2080" w:type="dxa"/>
          </w:tcPr>
          <w:p>
            <w:pPr>
              <w:pStyle w:val="TableParagraph"/>
              <w:spacing w:line="141" w:lineRule="exact" w:before="10"/>
              <w:ind w:left="453"/>
              <w:rPr>
                <w:sz w:val="12"/>
              </w:rPr>
            </w:pPr>
            <w:r>
              <w:rPr>
                <w:w w:val="126"/>
                <w:sz w:val="12"/>
              </w:rPr>
              <w:t>1</w:t>
            </w:r>
          </w:p>
        </w:tc>
        <w:tc>
          <w:tcPr>
            <w:tcW w:w="1341" w:type="dxa"/>
          </w:tcPr>
          <w:p>
            <w:pPr>
              <w:pStyle w:val="TableParagraph"/>
              <w:spacing w:line="141" w:lineRule="exact" w:before="10"/>
              <w:ind w:left="63"/>
              <w:rPr>
                <w:sz w:val="12"/>
              </w:rPr>
            </w:pPr>
            <w:r>
              <w:rPr>
                <w:w w:val="126"/>
                <w:sz w:val="12"/>
              </w:rPr>
              <w:t>1</w:t>
            </w:r>
          </w:p>
        </w:tc>
        <w:tc>
          <w:tcPr>
            <w:tcW w:w="1793" w:type="dxa"/>
          </w:tcPr>
          <w:p>
            <w:pPr>
              <w:pStyle w:val="TableParagraph"/>
              <w:tabs>
                <w:tab w:pos="832" w:val="left" w:leader="none"/>
              </w:tabs>
              <w:spacing w:line="141" w:lineRule="exact" w:before="10"/>
              <w:ind w:left="30"/>
              <w:rPr>
                <w:sz w:val="12"/>
              </w:rPr>
            </w:pPr>
            <w:r>
              <w:rPr>
                <w:w w:val="125"/>
                <w:sz w:val="12"/>
              </w:rPr>
              <w:t>1</w:t>
              <w:tab/>
              <w:t>1</w:t>
            </w:r>
          </w:p>
        </w:tc>
        <w:tc>
          <w:tcPr>
            <w:tcW w:w="821" w:type="dxa"/>
          </w:tcPr>
          <w:p>
            <w:pPr>
              <w:pStyle w:val="TableParagraph"/>
              <w:spacing w:line="141" w:lineRule="exact" w:before="10"/>
              <w:ind w:left="213"/>
              <w:rPr>
                <w:sz w:val="12"/>
              </w:rPr>
            </w:pPr>
            <w:r>
              <w:rPr>
                <w:w w:val="126"/>
                <w:sz w:val="12"/>
              </w:rPr>
              <w:t>1</w:t>
            </w:r>
          </w:p>
        </w:tc>
        <w:tc>
          <w:tcPr>
            <w:tcW w:w="548" w:type="dxa"/>
          </w:tcPr>
          <w:p>
            <w:pPr>
              <w:pStyle w:val="TableParagraph"/>
              <w:spacing w:line="141" w:lineRule="exact" w:before="10"/>
              <w:ind w:left="127"/>
              <w:rPr>
                <w:sz w:val="12"/>
              </w:rPr>
            </w:pPr>
            <w:r>
              <w:rPr>
                <w:w w:val="126"/>
                <w:sz w:val="12"/>
              </w:rPr>
              <w:t>8</w:t>
            </w:r>
          </w:p>
        </w:tc>
      </w:tr>
      <w:tr>
        <w:trPr>
          <w:trHeight w:val="171" w:hRule="atLeast"/>
        </w:trPr>
        <w:tc>
          <w:tcPr>
            <w:tcW w:w="1142" w:type="dxa"/>
          </w:tcPr>
          <w:p>
            <w:pPr>
              <w:pStyle w:val="TableParagraph"/>
              <w:spacing w:line="141" w:lineRule="exact" w:before="10"/>
              <w:ind w:left="119"/>
              <w:rPr>
                <w:sz w:val="12"/>
              </w:rPr>
            </w:pPr>
            <w:r>
              <w:rPr>
                <w:w w:val="115"/>
                <w:sz w:val="12"/>
              </w:rPr>
              <w:t>Maheshwari,</w:t>
            </w:r>
          </w:p>
        </w:tc>
        <w:tc>
          <w:tcPr>
            <w:tcW w:w="750" w:type="dxa"/>
          </w:tcPr>
          <w:p>
            <w:pPr>
              <w:pStyle w:val="TableParagraph"/>
              <w:spacing w:line="141" w:lineRule="exact" w:before="10"/>
              <w:ind w:left="51"/>
              <w:rPr>
                <w:sz w:val="12"/>
              </w:rPr>
            </w:pPr>
            <w:r>
              <w:rPr>
                <w:w w:val="126"/>
                <w:sz w:val="12"/>
              </w:rPr>
              <w:t>1</w:t>
            </w:r>
          </w:p>
        </w:tc>
        <w:tc>
          <w:tcPr>
            <w:tcW w:w="1925" w:type="dxa"/>
          </w:tcPr>
          <w:p>
            <w:pPr>
              <w:pStyle w:val="TableParagraph"/>
              <w:tabs>
                <w:tab w:pos="1398" w:val="left" w:leader="none"/>
              </w:tabs>
              <w:spacing w:line="141" w:lineRule="exact" w:before="10"/>
              <w:ind w:left="566"/>
              <w:rPr>
                <w:sz w:val="12"/>
              </w:rPr>
            </w:pPr>
            <w:r>
              <w:rPr>
                <w:w w:val="125"/>
                <w:sz w:val="12"/>
              </w:rPr>
              <w:t>1</w:t>
              <w:tab/>
              <w:t>1</w:t>
            </w:r>
          </w:p>
        </w:tc>
        <w:tc>
          <w:tcPr>
            <w:tcW w:w="2080" w:type="dxa"/>
          </w:tcPr>
          <w:p>
            <w:pPr>
              <w:pStyle w:val="TableParagraph"/>
              <w:spacing w:line="141" w:lineRule="exact" w:before="10"/>
              <w:ind w:left="453"/>
              <w:rPr>
                <w:sz w:val="12"/>
              </w:rPr>
            </w:pPr>
            <w:r>
              <w:rPr>
                <w:w w:val="126"/>
                <w:sz w:val="12"/>
              </w:rPr>
              <w:t>1</w:t>
            </w:r>
          </w:p>
        </w:tc>
        <w:tc>
          <w:tcPr>
            <w:tcW w:w="1341" w:type="dxa"/>
          </w:tcPr>
          <w:p>
            <w:pPr>
              <w:pStyle w:val="TableParagraph"/>
              <w:spacing w:line="141" w:lineRule="exact" w:before="10"/>
              <w:ind w:left="63"/>
              <w:rPr>
                <w:sz w:val="12"/>
              </w:rPr>
            </w:pPr>
            <w:r>
              <w:rPr>
                <w:w w:val="126"/>
                <w:sz w:val="12"/>
              </w:rPr>
              <w:t>1</w:t>
            </w:r>
          </w:p>
        </w:tc>
        <w:tc>
          <w:tcPr>
            <w:tcW w:w="1793" w:type="dxa"/>
          </w:tcPr>
          <w:p>
            <w:pPr>
              <w:pStyle w:val="TableParagraph"/>
              <w:tabs>
                <w:tab w:pos="832" w:val="left" w:leader="none"/>
              </w:tabs>
              <w:spacing w:line="141" w:lineRule="exact" w:before="10"/>
              <w:ind w:left="30"/>
              <w:rPr>
                <w:sz w:val="12"/>
              </w:rPr>
            </w:pPr>
            <w:r>
              <w:rPr>
                <w:w w:val="125"/>
                <w:sz w:val="12"/>
              </w:rPr>
              <w:t>1</w:t>
              <w:tab/>
              <w:t>1</w:t>
            </w:r>
          </w:p>
        </w:tc>
        <w:tc>
          <w:tcPr>
            <w:tcW w:w="821" w:type="dxa"/>
          </w:tcPr>
          <w:p>
            <w:pPr>
              <w:pStyle w:val="TableParagraph"/>
              <w:spacing w:line="141" w:lineRule="exact" w:before="10"/>
              <w:ind w:left="213"/>
              <w:rPr>
                <w:sz w:val="12"/>
              </w:rPr>
            </w:pPr>
            <w:r>
              <w:rPr>
                <w:w w:val="126"/>
                <w:sz w:val="12"/>
              </w:rPr>
              <w:t>1</w:t>
            </w:r>
          </w:p>
        </w:tc>
        <w:tc>
          <w:tcPr>
            <w:tcW w:w="548" w:type="dxa"/>
          </w:tcPr>
          <w:p>
            <w:pPr>
              <w:pStyle w:val="TableParagraph"/>
              <w:spacing w:line="141" w:lineRule="exact" w:before="10"/>
              <w:ind w:left="127"/>
              <w:rPr>
                <w:sz w:val="12"/>
              </w:rPr>
            </w:pPr>
            <w:r>
              <w:rPr>
                <w:w w:val="126"/>
                <w:sz w:val="12"/>
              </w:rPr>
              <w:t>8</w:t>
            </w:r>
          </w:p>
        </w:tc>
      </w:tr>
      <w:tr>
        <w:trPr>
          <w:trHeight w:val="163" w:hRule="atLeast"/>
        </w:trPr>
        <w:tc>
          <w:tcPr>
            <w:tcW w:w="1142" w:type="dxa"/>
          </w:tcPr>
          <w:p>
            <w:pPr>
              <w:pStyle w:val="TableParagraph"/>
              <w:spacing w:line="133" w:lineRule="exact" w:before="10"/>
              <w:ind w:left="278"/>
              <w:rPr>
                <w:sz w:val="12"/>
              </w:rPr>
            </w:pPr>
            <w:r>
              <w:rPr>
                <w:w w:val="125"/>
                <w:sz w:val="12"/>
              </w:rPr>
              <w:t>2015 [</w:t>
            </w:r>
            <w:hyperlink w:history="true" w:anchor="_bookmark54">
              <w:r>
                <w:rPr>
                  <w:color w:val="007FAC"/>
                  <w:w w:val="125"/>
                  <w:sz w:val="12"/>
                </w:rPr>
                <w:t>44</w:t>
              </w:r>
            </w:hyperlink>
            <w:r>
              <w:rPr>
                <w:w w:val="125"/>
                <w:sz w:val="12"/>
              </w:rPr>
              <w:t>]</w:t>
            </w:r>
          </w:p>
        </w:tc>
        <w:tc>
          <w:tcPr>
            <w:tcW w:w="750" w:type="dxa"/>
          </w:tcPr>
          <w:p>
            <w:pPr>
              <w:pStyle w:val="TableParagraph"/>
              <w:rPr>
                <w:rFonts w:ascii="Times New Roman"/>
                <w:sz w:val="10"/>
              </w:rPr>
            </w:pP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821" w:type="dxa"/>
          </w:tcPr>
          <w:p>
            <w:pPr>
              <w:pStyle w:val="TableParagraph"/>
              <w:rPr>
                <w:rFonts w:ascii="Times New Roman"/>
                <w:sz w:val="10"/>
              </w:rPr>
            </w:pPr>
          </w:p>
        </w:tc>
        <w:tc>
          <w:tcPr>
            <w:tcW w:w="548" w:type="dxa"/>
          </w:tcPr>
          <w:p>
            <w:pPr>
              <w:pStyle w:val="TableParagraph"/>
              <w:rPr>
                <w:rFonts w:ascii="Times New Roman"/>
                <w:sz w:val="10"/>
              </w:rPr>
            </w:pPr>
          </w:p>
        </w:tc>
      </w:tr>
      <w:tr>
        <w:trPr>
          <w:trHeight w:val="178" w:hRule="atLeast"/>
        </w:trPr>
        <w:tc>
          <w:tcPr>
            <w:tcW w:w="1892" w:type="dxa"/>
            <w:gridSpan w:val="2"/>
          </w:tcPr>
          <w:p>
            <w:pPr>
              <w:pStyle w:val="TableParagraph"/>
              <w:spacing w:line="141" w:lineRule="exact" w:before="3"/>
              <w:ind w:left="119"/>
              <w:rPr>
                <w:sz w:val="12"/>
              </w:rPr>
            </w:pPr>
            <w:r>
              <w:rPr>
                <w:w w:val="120"/>
                <w:sz w:val="12"/>
              </w:rPr>
              <w:t>Miller, 2010 [</w:t>
            </w:r>
            <w:hyperlink w:history="true" w:anchor="_bookmark58">
              <w:r>
                <w:rPr>
                  <w:color w:val="007FAC"/>
                  <w:w w:val="120"/>
                  <w:sz w:val="12"/>
                </w:rPr>
                <w:t>47</w:t>
              </w:r>
            </w:hyperlink>
            <w:r>
              <w:rPr>
                <w:w w:val="120"/>
                <w:sz w:val="12"/>
              </w:rPr>
              <w:t>] 1</w:t>
            </w:r>
            <w:r>
              <w:rPr>
                <w:sz w:val="12"/>
              </w:rPr>
              <w:t>  </w:t>
            </w:r>
          </w:p>
        </w:tc>
        <w:tc>
          <w:tcPr>
            <w:tcW w:w="1925" w:type="dxa"/>
          </w:tcPr>
          <w:p>
            <w:pPr>
              <w:pStyle w:val="TableParagraph"/>
              <w:tabs>
                <w:tab w:pos="1398" w:val="left" w:leader="none"/>
              </w:tabs>
              <w:spacing w:line="141" w:lineRule="exact" w:before="3"/>
              <w:ind w:left="566"/>
              <w:rPr>
                <w:sz w:val="12"/>
              </w:rPr>
            </w:pPr>
            <w:r>
              <w:rPr>
                <w:w w:val="125"/>
                <w:sz w:val="12"/>
              </w:rPr>
              <w:t>1</w:t>
              <w:tab/>
              <w:t>1</w:t>
            </w:r>
          </w:p>
        </w:tc>
        <w:tc>
          <w:tcPr>
            <w:tcW w:w="2080" w:type="dxa"/>
          </w:tcPr>
          <w:p>
            <w:pPr>
              <w:pStyle w:val="TableParagraph"/>
              <w:spacing w:line="141" w:lineRule="exact" w:before="3"/>
              <w:ind w:left="453"/>
              <w:rPr>
                <w:sz w:val="12"/>
              </w:rPr>
            </w:pPr>
            <w:r>
              <w:rPr>
                <w:w w:val="126"/>
                <w:sz w:val="12"/>
              </w:rPr>
              <w:t>1</w:t>
            </w:r>
          </w:p>
        </w:tc>
        <w:tc>
          <w:tcPr>
            <w:tcW w:w="1341" w:type="dxa"/>
          </w:tcPr>
          <w:p>
            <w:pPr>
              <w:pStyle w:val="TableParagraph"/>
              <w:spacing w:line="141" w:lineRule="exact" w:before="3"/>
              <w:ind w:left="63"/>
              <w:rPr>
                <w:sz w:val="12"/>
              </w:rPr>
            </w:pPr>
            <w:r>
              <w:rPr>
                <w:w w:val="126"/>
                <w:sz w:val="12"/>
              </w:rPr>
              <w:t>1</w:t>
            </w:r>
          </w:p>
        </w:tc>
        <w:tc>
          <w:tcPr>
            <w:tcW w:w="1793" w:type="dxa"/>
          </w:tcPr>
          <w:p>
            <w:pPr>
              <w:pStyle w:val="TableParagraph"/>
              <w:tabs>
                <w:tab w:pos="832" w:val="left" w:leader="none"/>
              </w:tabs>
              <w:spacing w:line="141" w:lineRule="exact" w:before="3"/>
              <w:ind w:left="30"/>
              <w:rPr>
                <w:sz w:val="12"/>
              </w:rPr>
            </w:pPr>
            <w:r>
              <w:rPr>
                <w:w w:val="125"/>
                <w:sz w:val="12"/>
              </w:rPr>
              <w:t>1</w:t>
              <w:tab/>
              <w:t>1</w:t>
            </w:r>
          </w:p>
        </w:tc>
        <w:tc>
          <w:tcPr>
            <w:tcW w:w="1369" w:type="dxa"/>
            <w:gridSpan w:val="2"/>
          </w:tcPr>
          <w:p>
            <w:pPr>
              <w:pStyle w:val="TableParagraph"/>
              <w:spacing w:line="141" w:lineRule="exact" w:before="3"/>
              <w:ind w:right="343"/>
              <w:jc w:val="right"/>
              <w:rPr>
                <w:sz w:val="12"/>
              </w:rPr>
            </w:pPr>
            <w:r>
              <w:rPr>
                <w:w w:val="126"/>
                <w:sz w:val="12"/>
              </w:rPr>
              <w:t>7</w:t>
            </w:r>
          </w:p>
        </w:tc>
      </w:tr>
      <w:tr>
        <w:trPr>
          <w:trHeight w:val="163" w:hRule="atLeast"/>
        </w:trPr>
        <w:tc>
          <w:tcPr>
            <w:tcW w:w="1892" w:type="dxa"/>
            <w:gridSpan w:val="2"/>
          </w:tcPr>
          <w:p>
            <w:pPr>
              <w:pStyle w:val="TableParagraph"/>
              <w:spacing w:line="133" w:lineRule="exact" w:before="10"/>
              <w:ind w:left="119"/>
              <w:rPr>
                <w:sz w:val="12"/>
              </w:rPr>
            </w:pPr>
            <w:r>
              <w:rPr>
                <w:w w:val="120"/>
                <w:sz w:val="12"/>
              </w:rPr>
              <w:t>Newman, 2011 1</w:t>
            </w:r>
          </w:p>
        </w:tc>
        <w:tc>
          <w:tcPr>
            <w:tcW w:w="1925" w:type="dxa"/>
          </w:tcPr>
          <w:p>
            <w:pPr>
              <w:pStyle w:val="TableParagraph"/>
              <w:tabs>
                <w:tab w:pos="1398" w:val="left" w:leader="none"/>
              </w:tabs>
              <w:spacing w:line="133" w:lineRule="exact" w:before="10"/>
              <w:ind w:left="566"/>
              <w:rPr>
                <w:sz w:val="12"/>
              </w:rPr>
            </w:pPr>
            <w:r>
              <w:rPr>
                <w:w w:val="125"/>
                <w:sz w:val="12"/>
              </w:rPr>
              <w:t>1</w:t>
              <w:tab/>
              <w:t>1</w:t>
            </w:r>
          </w:p>
        </w:tc>
        <w:tc>
          <w:tcPr>
            <w:tcW w:w="2080" w:type="dxa"/>
          </w:tcPr>
          <w:p>
            <w:pPr>
              <w:pStyle w:val="TableParagraph"/>
              <w:spacing w:line="133" w:lineRule="exact" w:before="10"/>
              <w:ind w:left="453"/>
              <w:rPr>
                <w:sz w:val="12"/>
              </w:rPr>
            </w:pPr>
            <w:r>
              <w:rPr>
                <w:w w:val="126"/>
                <w:sz w:val="12"/>
              </w:rPr>
              <w:t>1</w:t>
            </w:r>
          </w:p>
        </w:tc>
        <w:tc>
          <w:tcPr>
            <w:tcW w:w="1341" w:type="dxa"/>
          </w:tcPr>
          <w:p>
            <w:pPr>
              <w:pStyle w:val="TableParagraph"/>
              <w:rPr>
                <w:rFonts w:ascii="Times New Roman"/>
                <w:sz w:val="10"/>
              </w:rPr>
            </w:pPr>
          </w:p>
        </w:tc>
        <w:tc>
          <w:tcPr>
            <w:tcW w:w="1793" w:type="dxa"/>
          </w:tcPr>
          <w:p>
            <w:pPr>
              <w:pStyle w:val="TableParagraph"/>
              <w:spacing w:line="133" w:lineRule="exact" w:before="10"/>
              <w:ind w:left="30"/>
              <w:rPr>
                <w:sz w:val="12"/>
              </w:rPr>
            </w:pPr>
            <w:r>
              <w:rPr>
                <w:w w:val="126"/>
                <w:sz w:val="12"/>
              </w:rPr>
              <w:t>1</w:t>
            </w:r>
          </w:p>
        </w:tc>
        <w:tc>
          <w:tcPr>
            <w:tcW w:w="1369" w:type="dxa"/>
            <w:gridSpan w:val="2"/>
          </w:tcPr>
          <w:p>
            <w:pPr>
              <w:pStyle w:val="TableParagraph"/>
              <w:spacing w:line="133" w:lineRule="exact" w:before="10"/>
              <w:ind w:right="343"/>
              <w:jc w:val="right"/>
              <w:rPr>
                <w:sz w:val="12"/>
              </w:rPr>
            </w:pPr>
            <w:r>
              <w:rPr>
                <w:w w:val="126"/>
                <w:sz w:val="12"/>
              </w:rPr>
              <w:t>5</w:t>
            </w:r>
          </w:p>
        </w:tc>
      </w:tr>
      <w:tr>
        <w:trPr>
          <w:trHeight w:val="172" w:hRule="atLeast"/>
        </w:trPr>
        <w:tc>
          <w:tcPr>
            <w:tcW w:w="1142" w:type="dxa"/>
          </w:tcPr>
          <w:p>
            <w:pPr>
              <w:pStyle w:val="TableParagraph"/>
              <w:spacing w:line="133" w:lineRule="exact" w:before="19"/>
              <w:ind w:left="278"/>
              <w:rPr>
                <w:sz w:val="12"/>
              </w:rPr>
            </w:pPr>
            <w:r>
              <w:rPr>
                <w:w w:val="120"/>
                <w:sz w:val="12"/>
              </w:rPr>
              <w:t>[</w:t>
            </w:r>
            <w:hyperlink w:history="true" w:anchor="_bookmark63">
              <w:r>
                <w:rPr>
                  <w:color w:val="007FAC"/>
                  <w:w w:val="120"/>
                  <w:sz w:val="12"/>
                </w:rPr>
                <w:t>53</w:t>
              </w:r>
            </w:hyperlink>
            <w:r>
              <w:rPr>
                <w:w w:val="120"/>
                <w:sz w:val="12"/>
              </w:rPr>
              <w:t>]</w:t>
            </w:r>
          </w:p>
        </w:tc>
        <w:tc>
          <w:tcPr>
            <w:tcW w:w="750" w:type="dxa"/>
          </w:tcPr>
          <w:p>
            <w:pPr>
              <w:pStyle w:val="TableParagraph"/>
              <w:rPr>
                <w:rFonts w:ascii="Times New Roman"/>
                <w:sz w:val="10"/>
              </w:rPr>
            </w:pP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821" w:type="dxa"/>
          </w:tcPr>
          <w:p>
            <w:pPr>
              <w:pStyle w:val="TableParagraph"/>
              <w:rPr>
                <w:rFonts w:ascii="Times New Roman"/>
                <w:sz w:val="10"/>
              </w:rPr>
            </w:pPr>
          </w:p>
        </w:tc>
        <w:tc>
          <w:tcPr>
            <w:tcW w:w="548" w:type="dxa"/>
          </w:tcPr>
          <w:p>
            <w:pPr>
              <w:pStyle w:val="TableParagraph"/>
              <w:rPr>
                <w:rFonts w:ascii="Times New Roman"/>
                <w:sz w:val="10"/>
              </w:rPr>
            </w:pPr>
          </w:p>
        </w:tc>
      </w:tr>
      <w:tr>
        <w:trPr>
          <w:trHeight w:val="178" w:hRule="atLeast"/>
        </w:trPr>
        <w:tc>
          <w:tcPr>
            <w:tcW w:w="1892" w:type="dxa"/>
            <w:gridSpan w:val="2"/>
          </w:tcPr>
          <w:p>
            <w:pPr>
              <w:pStyle w:val="TableParagraph"/>
              <w:spacing w:line="141" w:lineRule="exact" w:before="3"/>
              <w:ind w:left="119"/>
              <w:rPr>
                <w:sz w:val="12"/>
              </w:rPr>
            </w:pPr>
            <w:r>
              <w:rPr>
                <w:w w:val="125"/>
                <w:sz w:val="12"/>
              </w:rPr>
              <w:t>Patel, 2012 [</w:t>
            </w:r>
            <w:hyperlink w:history="true" w:anchor="_bookmark59">
              <w:r>
                <w:rPr>
                  <w:color w:val="007FAC"/>
                  <w:w w:val="125"/>
                  <w:sz w:val="12"/>
                </w:rPr>
                <w:t>48</w:t>
              </w:r>
            </w:hyperlink>
            <w:r>
              <w:rPr>
                <w:w w:val="125"/>
                <w:sz w:val="12"/>
              </w:rPr>
              <w:t>] 1</w:t>
            </w:r>
          </w:p>
        </w:tc>
        <w:tc>
          <w:tcPr>
            <w:tcW w:w="1925" w:type="dxa"/>
          </w:tcPr>
          <w:p>
            <w:pPr>
              <w:pStyle w:val="TableParagraph"/>
              <w:tabs>
                <w:tab w:pos="1398" w:val="left" w:leader="none"/>
              </w:tabs>
              <w:spacing w:line="141" w:lineRule="exact" w:before="3"/>
              <w:ind w:left="566"/>
              <w:rPr>
                <w:sz w:val="12"/>
              </w:rPr>
            </w:pPr>
            <w:r>
              <w:rPr>
                <w:w w:val="125"/>
                <w:sz w:val="12"/>
              </w:rPr>
              <w:t>1</w:t>
              <w:tab/>
              <w:t>1</w:t>
            </w:r>
          </w:p>
        </w:tc>
        <w:tc>
          <w:tcPr>
            <w:tcW w:w="2080" w:type="dxa"/>
          </w:tcPr>
          <w:p>
            <w:pPr>
              <w:pStyle w:val="TableParagraph"/>
              <w:spacing w:line="141" w:lineRule="exact" w:before="3"/>
              <w:ind w:left="453"/>
              <w:rPr>
                <w:sz w:val="12"/>
              </w:rPr>
            </w:pPr>
            <w:r>
              <w:rPr>
                <w:w w:val="126"/>
                <w:sz w:val="12"/>
              </w:rPr>
              <w:t>1</w:t>
            </w:r>
          </w:p>
        </w:tc>
        <w:tc>
          <w:tcPr>
            <w:tcW w:w="1341" w:type="dxa"/>
          </w:tcPr>
          <w:p>
            <w:pPr>
              <w:pStyle w:val="TableParagraph"/>
              <w:rPr>
                <w:rFonts w:ascii="Times New Roman"/>
                <w:sz w:val="10"/>
              </w:rPr>
            </w:pPr>
          </w:p>
        </w:tc>
        <w:tc>
          <w:tcPr>
            <w:tcW w:w="1793" w:type="dxa"/>
          </w:tcPr>
          <w:p>
            <w:pPr>
              <w:pStyle w:val="TableParagraph"/>
              <w:tabs>
                <w:tab w:pos="832" w:val="left" w:leader="none"/>
              </w:tabs>
              <w:spacing w:line="141" w:lineRule="exact" w:before="3"/>
              <w:ind w:left="30"/>
              <w:rPr>
                <w:sz w:val="12"/>
              </w:rPr>
            </w:pPr>
            <w:r>
              <w:rPr>
                <w:w w:val="125"/>
                <w:sz w:val="12"/>
              </w:rPr>
              <w:t>1</w:t>
              <w:tab/>
              <w:t>1</w:t>
            </w:r>
          </w:p>
        </w:tc>
        <w:tc>
          <w:tcPr>
            <w:tcW w:w="1369" w:type="dxa"/>
            <w:gridSpan w:val="2"/>
          </w:tcPr>
          <w:p>
            <w:pPr>
              <w:pStyle w:val="TableParagraph"/>
              <w:spacing w:line="141" w:lineRule="exact" w:before="3"/>
              <w:ind w:right="343"/>
              <w:jc w:val="right"/>
              <w:rPr>
                <w:sz w:val="12"/>
              </w:rPr>
            </w:pPr>
            <w:r>
              <w:rPr>
                <w:w w:val="126"/>
                <w:sz w:val="12"/>
              </w:rPr>
              <w:t>6</w:t>
            </w:r>
          </w:p>
        </w:tc>
      </w:tr>
      <w:tr>
        <w:trPr>
          <w:trHeight w:val="171" w:hRule="atLeast"/>
        </w:trPr>
        <w:tc>
          <w:tcPr>
            <w:tcW w:w="1892" w:type="dxa"/>
            <w:gridSpan w:val="2"/>
          </w:tcPr>
          <w:p>
            <w:pPr>
              <w:pStyle w:val="TableParagraph"/>
              <w:spacing w:line="141" w:lineRule="exact" w:before="10"/>
              <w:ind w:left="119"/>
              <w:rPr>
                <w:sz w:val="12"/>
              </w:rPr>
            </w:pPr>
            <w:r>
              <w:rPr>
                <w:w w:val="120"/>
                <w:sz w:val="12"/>
              </w:rPr>
              <w:t>Takayama, 2017 1</w:t>
            </w:r>
          </w:p>
        </w:tc>
        <w:tc>
          <w:tcPr>
            <w:tcW w:w="1925" w:type="dxa"/>
          </w:tcPr>
          <w:p>
            <w:pPr>
              <w:pStyle w:val="TableParagraph"/>
              <w:tabs>
                <w:tab w:pos="1398" w:val="left" w:leader="none"/>
              </w:tabs>
              <w:spacing w:line="141" w:lineRule="exact" w:before="10"/>
              <w:ind w:left="566"/>
              <w:rPr>
                <w:sz w:val="12"/>
              </w:rPr>
            </w:pPr>
            <w:r>
              <w:rPr>
                <w:w w:val="125"/>
                <w:sz w:val="12"/>
              </w:rPr>
              <w:t>1</w:t>
              <w:tab/>
              <w:t>1</w:t>
            </w:r>
          </w:p>
        </w:tc>
        <w:tc>
          <w:tcPr>
            <w:tcW w:w="2080" w:type="dxa"/>
          </w:tcPr>
          <w:p>
            <w:pPr>
              <w:pStyle w:val="TableParagraph"/>
              <w:spacing w:line="141" w:lineRule="exact" w:before="10"/>
              <w:ind w:left="453"/>
              <w:rPr>
                <w:sz w:val="12"/>
              </w:rPr>
            </w:pPr>
            <w:r>
              <w:rPr>
                <w:w w:val="126"/>
                <w:sz w:val="12"/>
              </w:rPr>
              <w:t>1</w:t>
            </w:r>
          </w:p>
        </w:tc>
        <w:tc>
          <w:tcPr>
            <w:tcW w:w="1341" w:type="dxa"/>
          </w:tcPr>
          <w:p>
            <w:pPr>
              <w:pStyle w:val="TableParagraph"/>
              <w:spacing w:line="141" w:lineRule="exact" w:before="10"/>
              <w:ind w:left="63"/>
              <w:rPr>
                <w:sz w:val="12"/>
              </w:rPr>
            </w:pPr>
            <w:r>
              <w:rPr>
                <w:w w:val="126"/>
                <w:sz w:val="12"/>
              </w:rPr>
              <w:t>1</w:t>
            </w:r>
          </w:p>
        </w:tc>
        <w:tc>
          <w:tcPr>
            <w:tcW w:w="1793" w:type="dxa"/>
          </w:tcPr>
          <w:p>
            <w:pPr>
              <w:pStyle w:val="TableParagraph"/>
              <w:spacing w:line="141" w:lineRule="exact" w:before="10"/>
              <w:ind w:right="882"/>
              <w:jc w:val="right"/>
              <w:rPr>
                <w:sz w:val="12"/>
              </w:rPr>
            </w:pPr>
            <w:r>
              <w:rPr>
                <w:w w:val="126"/>
                <w:sz w:val="12"/>
              </w:rPr>
              <w:t>1</w:t>
            </w:r>
          </w:p>
        </w:tc>
        <w:tc>
          <w:tcPr>
            <w:tcW w:w="1369" w:type="dxa"/>
            <w:gridSpan w:val="2"/>
          </w:tcPr>
          <w:p>
            <w:pPr>
              <w:pStyle w:val="TableParagraph"/>
              <w:spacing w:line="141" w:lineRule="exact" w:before="10"/>
              <w:ind w:right="343"/>
              <w:jc w:val="right"/>
              <w:rPr>
                <w:sz w:val="12"/>
              </w:rPr>
            </w:pPr>
            <w:r>
              <w:rPr>
                <w:w w:val="126"/>
                <w:sz w:val="12"/>
              </w:rPr>
              <w:t>6</w:t>
            </w:r>
          </w:p>
        </w:tc>
      </w:tr>
      <w:tr>
        <w:trPr>
          <w:trHeight w:val="171" w:hRule="atLeast"/>
        </w:trPr>
        <w:tc>
          <w:tcPr>
            <w:tcW w:w="1892" w:type="dxa"/>
            <w:gridSpan w:val="2"/>
          </w:tcPr>
          <w:p>
            <w:pPr>
              <w:pStyle w:val="TableParagraph"/>
              <w:spacing w:line="141" w:lineRule="exact" w:before="10"/>
              <w:ind w:left="278"/>
              <w:rPr>
                <w:sz w:val="12"/>
              </w:rPr>
            </w:pPr>
            <w:r>
              <w:rPr>
                <w:w w:val="120"/>
                <w:sz w:val="12"/>
              </w:rPr>
              <w:t>[</w:t>
            </w:r>
            <w:hyperlink w:history="true" w:anchor="_bookmark60">
              <w:r>
                <w:rPr>
                  <w:color w:val="007FAC"/>
                  <w:w w:val="120"/>
                  <w:sz w:val="12"/>
                </w:rPr>
                <w:t>49</w:t>
              </w:r>
            </w:hyperlink>
            <w:r>
              <w:rPr>
                <w:w w:val="120"/>
                <w:sz w:val="12"/>
              </w:rPr>
              <w:t>]</w:t>
            </w: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1369" w:type="dxa"/>
            <w:gridSpan w:val="2"/>
          </w:tcPr>
          <w:p>
            <w:pPr>
              <w:pStyle w:val="TableParagraph"/>
              <w:rPr>
                <w:rFonts w:ascii="Times New Roman"/>
                <w:sz w:val="10"/>
              </w:rPr>
            </w:pPr>
          </w:p>
        </w:tc>
      </w:tr>
      <w:tr>
        <w:trPr>
          <w:trHeight w:val="171" w:hRule="atLeast"/>
        </w:trPr>
        <w:tc>
          <w:tcPr>
            <w:tcW w:w="1892" w:type="dxa"/>
            <w:gridSpan w:val="2"/>
          </w:tcPr>
          <w:p>
            <w:pPr>
              <w:pStyle w:val="TableParagraph"/>
              <w:spacing w:line="141" w:lineRule="exact" w:before="10"/>
              <w:ind w:left="119"/>
              <w:rPr>
                <w:sz w:val="12"/>
              </w:rPr>
            </w:pPr>
            <w:r>
              <w:rPr>
                <w:w w:val="115"/>
                <w:sz w:val="12"/>
              </w:rPr>
              <w:t>Akdogan, 2020 1</w:t>
            </w:r>
          </w:p>
        </w:tc>
        <w:tc>
          <w:tcPr>
            <w:tcW w:w="1925" w:type="dxa"/>
          </w:tcPr>
          <w:p>
            <w:pPr>
              <w:pStyle w:val="TableParagraph"/>
              <w:tabs>
                <w:tab w:pos="1398" w:val="left" w:leader="none"/>
              </w:tabs>
              <w:spacing w:line="141" w:lineRule="exact" w:before="10"/>
              <w:ind w:left="566"/>
              <w:rPr>
                <w:sz w:val="12"/>
              </w:rPr>
            </w:pPr>
            <w:r>
              <w:rPr>
                <w:w w:val="125"/>
                <w:sz w:val="12"/>
              </w:rPr>
              <w:t>1</w:t>
              <w:tab/>
              <w:t>1</w:t>
            </w:r>
          </w:p>
        </w:tc>
        <w:tc>
          <w:tcPr>
            <w:tcW w:w="2080" w:type="dxa"/>
          </w:tcPr>
          <w:p>
            <w:pPr>
              <w:pStyle w:val="TableParagraph"/>
              <w:spacing w:line="141" w:lineRule="exact" w:before="10"/>
              <w:ind w:left="453"/>
              <w:rPr>
                <w:sz w:val="12"/>
              </w:rPr>
            </w:pPr>
            <w:r>
              <w:rPr>
                <w:w w:val="126"/>
                <w:sz w:val="12"/>
              </w:rPr>
              <w:t>1</w:t>
            </w:r>
          </w:p>
        </w:tc>
        <w:tc>
          <w:tcPr>
            <w:tcW w:w="1341" w:type="dxa"/>
          </w:tcPr>
          <w:p>
            <w:pPr>
              <w:pStyle w:val="TableParagraph"/>
              <w:spacing w:line="141" w:lineRule="exact" w:before="10"/>
              <w:ind w:left="63"/>
              <w:rPr>
                <w:sz w:val="12"/>
              </w:rPr>
            </w:pPr>
            <w:r>
              <w:rPr>
                <w:w w:val="126"/>
                <w:sz w:val="12"/>
              </w:rPr>
              <w:t>1</w:t>
            </w:r>
          </w:p>
        </w:tc>
        <w:tc>
          <w:tcPr>
            <w:tcW w:w="1793" w:type="dxa"/>
          </w:tcPr>
          <w:p>
            <w:pPr>
              <w:pStyle w:val="TableParagraph"/>
              <w:rPr>
                <w:rFonts w:ascii="Times New Roman"/>
                <w:sz w:val="10"/>
              </w:rPr>
            </w:pPr>
          </w:p>
        </w:tc>
        <w:tc>
          <w:tcPr>
            <w:tcW w:w="1369" w:type="dxa"/>
            <w:gridSpan w:val="2"/>
          </w:tcPr>
          <w:p>
            <w:pPr>
              <w:pStyle w:val="TableParagraph"/>
              <w:spacing w:line="141" w:lineRule="exact" w:before="10"/>
              <w:ind w:right="343"/>
              <w:jc w:val="right"/>
              <w:rPr>
                <w:sz w:val="12"/>
              </w:rPr>
            </w:pPr>
            <w:r>
              <w:rPr>
                <w:w w:val="126"/>
                <w:sz w:val="12"/>
              </w:rPr>
              <w:t>5</w:t>
            </w:r>
          </w:p>
        </w:tc>
      </w:tr>
      <w:tr>
        <w:trPr>
          <w:trHeight w:val="171" w:hRule="atLeast"/>
        </w:trPr>
        <w:tc>
          <w:tcPr>
            <w:tcW w:w="1892" w:type="dxa"/>
            <w:gridSpan w:val="2"/>
          </w:tcPr>
          <w:p>
            <w:pPr>
              <w:pStyle w:val="TableParagraph"/>
              <w:spacing w:line="141" w:lineRule="exact" w:before="10"/>
              <w:ind w:left="278"/>
              <w:rPr>
                <w:sz w:val="12"/>
              </w:rPr>
            </w:pPr>
            <w:r>
              <w:rPr>
                <w:w w:val="120"/>
                <w:sz w:val="12"/>
              </w:rPr>
              <w:t>[</w:t>
            </w:r>
            <w:hyperlink w:history="true" w:anchor="_bookmark65">
              <w:r>
                <w:rPr>
                  <w:color w:val="007FAC"/>
                  <w:w w:val="120"/>
                  <w:sz w:val="12"/>
                </w:rPr>
                <w:t>54</w:t>
              </w:r>
            </w:hyperlink>
            <w:r>
              <w:rPr>
                <w:w w:val="120"/>
                <w:sz w:val="12"/>
              </w:rPr>
              <w:t>]</w:t>
            </w: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1369" w:type="dxa"/>
            <w:gridSpan w:val="2"/>
          </w:tcPr>
          <w:p>
            <w:pPr>
              <w:pStyle w:val="TableParagraph"/>
              <w:rPr>
                <w:rFonts w:ascii="Times New Roman"/>
                <w:sz w:val="10"/>
              </w:rPr>
            </w:pPr>
          </w:p>
        </w:tc>
      </w:tr>
      <w:tr>
        <w:trPr>
          <w:trHeight w:val="171" w:hRule="atLeast"/>
        </w:trPr>
        <w:tc>
          <w:tcPr>
            <w:tcW w:w="1892" w:type="dxa"/>
            <w:gridSpan w:val="2"/>
          </w:tcPr>
          <w:p>
            <w:pPr>
              <w:pStyle w:val="TableParagraph"/>
              <w:spacing w:line="141" w:lineRule="exact" w:before="10"/>
              <w:ind w:left="119"/>
              <w:rPr>
                <w:sz w:val="12"/>
              </w:rPr>
            </w:pPr>
            <w:r>
              <w:rPr>
                <w:w w:val="120"/>
                <w:sz w:val="12"/>
              </w:rPr>
              <w:t>Anderson, 2020 1</w:t>
            </w:r>
          </w:p>
        </w:tc>
        <w:tc>
          <w:tcPr>
            <w:tcW w:w="1925" w:type="dxa"/>
          </w:tcPr>
          <w:p>
            <w:pPr>
              <w:pStyle w:val="TableParagraph"/>
              <w:tabs>
                <w:tab w:pos="1398" w:val="left" w:leader="none"/>
              </w:tabs>
              <w:spacing w:line="141" w:lineRule="exact" w:before="10"/>
              <w:ind w:left="566"/>
              <w:rPr>
                <w:sz w:val="12"/>
              </w:rPr>
            </w:pPr>
            <w:r>
              <w:rPr>
                <w:w w:val="125"/>
                <w:sz w:val="12"/>
              </w:rPr>
              <w:t>1</w:t>
              <w:tab/>
              <w:t>1</w:t>
            </w:r>
          </w:p>
        </w:tc>
        <w:tc>
          <w:tcPr>
            <w:tcW w:w="2080" w:type="dxa"/>
          </w:tcPr>
          <w:p>
            <w:pPr>
              <w:pStyle w:val="TableParagraph"/>
              <w:spacing w:line="141" w:lineRule="exact" w:before="10"/>
              <w:ind w:left="453"/>
              <w:rPr>
                <w:sz w:val="12"/>
              </w:rPr>
            </w:pPr>
            <w:r>
              <w:rPr>
                <w:w w:val="126"/>
                <w:sz w:val="12"/>
              </w:rPr>
              <w:t>1</w:t>
            </w:r>
          </w:p>
        </w:tc>
        <w:tc>
          <w:tcPr>
            <w:tcW w:w="1341" w:type="dxa"/>
          </w:tcPr>
          <w:p>
            <w:pPr>
              <w:pStyle w:val="TableParagraph"/>
              <w:spacing w:line="141" w:lineRule="exact" w:before="10"/>
              <w:ind w:left="63"/>
              <w:rPr>
                <w:sz w:val="12"/>
              </w:rPr>
            </w:pPr>
            <w:r>
              <w:rPr>
                <w:w w:val="126"/>
                <w:sz w:val="12"/>
              </w:rPr>
              <w:t>1</w:t>
            </w:r>
          </w:p>
        </w:tc>
        <w:tc>
          <w:tcPr>
            <w:tcW w:w="1793" w:type="dxa"/>
          </w:tcPr>
          <w:p>
            <w:pPr>
              <w:pStyle w:val="TableParagraph"/>
              <w:tabs>
                <w:tab w:pos="832" w:val="left" w:leader="none"/>
              </w:tabs>
              <w:spacing w:line="141" w:lineRule="exact" w:before="10"/>
              <w:ind w:left="30"/>
              <w:rPr>
                <w:sz w:val="12"/>
              </w:rPr>
            </w:pPr>
            <w:r>
              <w:rPr>
                <w:w w:val="125"/>
                <w:sz w:val="12"/>
              </w:rPr>
              <w:t>1</w:t>
              <w:tab/>
              <w:t>1</w:t>
            </w:r>
          </w:p>
        </w:tc>
        <w:tc>
          <w:tcPr>
            <w:tcW w:w="1369" w:type="dxa"/>
            <w:gridSpan w:val="2"/>
          </w:tcPr>
          <w:p>
            <w:pPr>
              <w:pStyle w:val="TableParagraph"/>
              <w:spacing w:line="141" w:lineRule="exact" w:before="10"/>
              <w:ind w:right="343"/>
              <w:jc w:val="right"/>
              <w:rPr>
                <w:sz w:val="12"/>
              </w:rPr>
            </w:pPr>
            <w:r>
              <w:rPr>
                <w:w w:val="126"/>
                <w:sz w:val="12"/>
              </w:rPr>
              <w:t>7</w:t>
            </w:r>
          </w:p>
        </w:tc>
      </w:tr>
      <w:tr>
        <w:trPr>
          <w:trHeight w:val="171" w:hRule="atLeast"/>
        </w:trPr>
        <w:tc>
          <w:tcPr>
            <w:tcW w:w="1892" w:type="dxa"/>
            <w:gridSpan w:val="2"/>
          </w:tcPr>
          <w:p>
            <w:pPr>
              <w:pStyle w:val="TableParagraph"/>
              <w:spacing w:line="141" w:lineRule="exact" w:before="10"/>
              <w:ind w:left="278"/>
              <w:rPr>
                <w:sz w:val="12"/>
              </w:rPr>
            </w:pPr>
            <w:r>
              <w:rPr>
                <w:w w:val="120"/>
                <w:sz w:val="12"/>
              </w:rPr>
              <w:t>[</w:t>
            </w:r>
            <w:hyperlink w:history="true" w:anchor="_bookmark64">
              <w:r>
                <w:rPr>
                  <w:color w:val="007FAC"/>
                  <w:w w:val="120"/>
                  <w:sz w:val="12"/>
                </w:rPr>
                <w:t>52</w:t>
              </w:r>
            </w:hyperlink>
            <w:r>
              <w:rPr>
                <w:w w:val="120"/>
                <w:sz w:val="12"/>
              </w:rPr>
              <w:t>]</w:t>
            </w: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1369" w:type="dxa"/>
            <w:gridSpan w:val="2"/>
          </w:tcPr>
          <w:p>
            <w:pPr>
              <w:pStyle w:val="TableParagraph"/>
              <w:rPr>
                <w:rFonts w:ascii="Times New Roman"/>
                <w:sz w:val="10"/>
              </w:rPr>
            </w:pPr>
          </w:p>
        </w:tc>
      </w:tr>
      <w:tr>
        <w:trPr>
          <w:trHeight w:val="171" w:hRule="atLeast"/>
        </w:trPr>
        <w:tc>
          <w:tcPr>
            <w:tcW w:w="1892" w:type="dxa"/>
            <w:gridSpan w:val="2"/>
          </w:tcPr>
          <w:p>
            <w:pPr>
              <w:pStyle w:val="TableParagraph"/>
              <w:spacing w:line="141" w:lineRule="exact" w:before="11"/>
              <w:ind w:left="119"/>
              <w:rPr>
                <w:sz w:val="12"/>
              </w:rPr>
            </w:pPr>
            <w:r>
              <w:rPr>
                <w:w w:val="120"/>
                <w:sz w:val="12"/>
              </w:rPr>
              <w:t>Yuenyongviwat, 1</w:t>
            </w:r>
          </w:p>
        </w:tc>
        <w:tc>
          <w:tcPr>
            <w:tcW w:w="1925" w:type="dxa"/>
          </w:tcPr>
          <w:p>
            <w:pPr>
              <w:pStyle w:val="TableParagraph"/>
              <w:tabs>
                <w:tab w:pos="1398" w:val="left" w:leader="none"/>
              </w:tabs>
              <w:spacing w:line="141" w:lineRule="exact" w:before="11"/>
              <w:ind w:left="566"/>
              <w:rPr>
                <w:sz w:val="12"/>
              </w:rPr>
            </w:pPr>
            <w:r>
              <w:rPr>
                <w:w w:val="125"/>
                <w:sz w:val="12"/>
              </w:rPr>
              <w:t>1</w:t>
              <w:tab/>
              <w:t>1</w:t>
            </w:r>
          </w:p>
        </w:tc>
        <w:tc>
          <w:tcPr>
            <w:tcW w:w="2080" w:type="dxa"/>
          </w:tcPr>
          <w:p>
            <w:pPr>
              <w:pStyle w:val="TableParagraph"/>
              <w:spacing w:line="141" w:lineRule="exact" w:before="11"/>
              <w:ind w:left="453"/>
              <w:rPr>
                <w:sz w:val="12"/>
              </w:rPr>
            </w:pPr>
            <w:r>
              <w:rPr>
                <w:w w:val="126"/>
                <w:sz w:val="12"/>
              </w:rPr>
              <w:t>1</w:t>
            </w:r>
          </w:p>
        </w:tc>
        <w:tc>
          <w:tcPr>
            <w:tcW w:w="1341" w:type="dxa"/>
          </w:tcPr>
          <w:p>
            <w:pPr>
              <w:pStyle w:val="TableParagraph"/>
              <w:spacing w:line="141" w:lineRule="exact" w:before="11"/>
              <w:ind w:left="63"/>
              <w:rPr>
                <w:sz w:val="12"/>
              </w:rPr>
            </w:pPr>
            <w:r>
              <w:rPr>
                <w:w w:val="126"/>
                <w:sz w:val="12"/>
              </w:rPr>
              <w:t>1</w:t>
            </w:r>
          </w:p>
        </w:tc>
        <w:tc>
          <w:tcPr>
            <w:tcW w:w="1793" w:type="dxa"/>
          </w:tcPr>
          <w:p>
            <w:pPr>
              <w:pStyle w:val="TableParagraph"/>
              <w:tabs>
                <w:tab w:pos="832" w:val="left" w:leader="none"/>
              </w:tabs>
              <w:spacing w:line="141" w:lineRule="exact" w:before="11"/>
              <w:ind w:left="30"/>
              <w:rPr>
                <w:sz w:val="12"/>
              </w:rPr>
            </w:pPr>
            <w:r>
              <w:rPr>
                <w:w w:val="125"/>
                <w:sz w:val="12"/>
              </w:rPr>
              <w:t>1</w:t>
              <w:tab/>
              <w:t>1</w:t>
            </w:r>
          </w:p>
        </w:tc>
        <w:tc>
          <w:tcPr>
            <w:tcW w:w="1369" w:type="dxa"/>
            <w:gridSpan w:val="2"/>
          </w:tcPr>
          <w:p>
            <w:pPr>
              <w:pStyle w:val="TableParagraph"/>
              <w:spacing w:line="141" w:lineRule="exact" w:before="11"/>
              <w:ind w:right="343"/>
              <w:jc w:val="right"/>
              <w:rPr>
                <w:sz w:val="12"/>
              </w:rPr>
            </w:pPr>
            <w:r>
              <w:rPr>
                <w:w w:val="126"/>
                <w:sz w:val="12"/>
              </w:rPr>
              <w:t>7</w:t>
            </w:r>
          </w:p>
        </w:tc>
      </w:tr>
      <w:tr>
        <w:trPr>
          <w:trHeight w:val="171" w:hRule="atLeast"/>
        </w:trPr>
        <w:tc>
          <w:tcPr>
            <w:tcW w:w="1892" w:type="dxa"/>
            <w:gridSpan w:val="2"/>
          </w:tcPr>
          <w:p>
            <w:pPr>
              <w:pStyle w:val="TableParagraph"/>
              <w:spacing w:line="141" w:lineRule="exact" w:before="10"/>
              <w:ind w:left="278"/>
              <w:rPr>
                <w:sz w:val="12"/>
              </w:rPr>
            </w:pPr>
            <w:r>
              <w:rPr>
                <w:w w:val="125"/>
                <w:sz w:val="12"/>
              </w:rPr>
              <w:t>2019 [</w:t>
            </w:r>
            <w:hyperlink w:history="true" w:anchor="_bookmark62">
              <w:r>
                <w:rPr>
                  <w:color w:val="007FAC"/>
                  <w:w w:val="125"/>
                  <w:sz w:val="12"/>
                </w:rPr>
                <w:t>51</w:t>
              </w:r>
            </w:hyperlink>
            <w:r>
              <w:rPr>
                <w:w w:val="125"/>
                <w:sz w:val="12"/>
              </w:rPr>
              <w:t>]</w:t>
            </w:r>
          </w:p>
        </w:tc>
        <w:tc>
          <w:tcPr>
            <w:tcW w:w="1925" w:type="dxa"/>
          </w:tcPr>
          <w:p>
            <w:pPr>
              <w:pStyle w:val="TableParagraph"/>
              <w:rPr>
                <w:rFonts w:ascii="Times New Roman"/>
                <w:sz w:val="10"/>
              </w:rPr>
            </w:pPr>
          </w:p>
        </w:tc>
        <w:tc>
          <w:tcPr>
            <w:tcW w:w="2080" w:type="dxa"/>
          </w:tcPr>
          <w:p>
            <w:pPr>
              <w:pStyle w:val="TableParagraph"/>
              <w:rPr>
                <w:rFonts w:ascii="Times New Roman"/>
                <w:sz w:val="10"/>
              </w:rPr>
            </w:pPr>
          </w:p>
        </w:tc>
        <w:tc>
          <w:tcPr>
            <w:tcW w:w="1341" w:type="dxa"/>
          </w:tcPr>
          <w:p>
            <w:pPr>
              <w:pStyle w:val="TableParagraph"/>
              <w:rPr>
                <w:rFonts w:ascii="Times New Roman"/>
                <w:sz w:val="10"/>
              </w:rPr>
            </w:pPr>
          </w:p>
        </w:tc>
        <w:tc>
          <w:tcPr>
            <w:tcW w:w="1793" w:type="dxa"/>
          </w:tcPr>
          <w:p>
            <w:pPr>
              <w:pStyle w:val="TableParagraph"/>
              <w:rPr>
                <w:rFonts w:ascii="Times New Roman"/>
                <w:sz w:val="10"/>
              </w:rPr>
            </w:pPr>
          </w:p>
        </w:tc>
        <w:tc>
          <w:tcPr>
            <w:tcW w:w="1369" w:type="dxa"/>
            <w:gridSpan w:val="2"/>
          </w:tcPr>
          <w:p>
            <w:pPr>
              <w:pStyle w:val="TableParagraph"/>
              <w:rPr>
                <w:rFonts w:ascii="Times New Roman"/>
                <w:sz w:val="10"/>
              </w:rPr>
            </w:pPr>
          </w:p>
        </w:tc>
      </w:tr>
      <w:tr>
        <w:trPr>
          <w:trHeight w:val="171" w:hRule="atLeast"/>
        </w:trPr>
        <w:tc>
          <w:tcPr>
            <w:tcW w:w="1892" w:type="dxa"/>
            <w:gridSpan w:val="2"/>
          </w:tcPr>
          <w:p>
            <w:pPr>
              <w:pStyle w:val="TableParagraph"/>
              <w:spacing w:line="141" w:lineRule="exact" w:before="10"/>
              <w:ind w:left="119"/>
              <w:rPr>
                <w:sz w:val="12"/>
              </w:rPr>
            </w:pPr>
            <w:r>
              <w:rPr>
                <w:w w:val="120"/>
                <w:sz w:val="12"/>
              </w:rPr>
              <w:t>Herndon, 2020 1</w:t>
            </w:r>
          </w:p>
        </w:tc>
        <w:tc>
          <w:tcPr>
            <w:tcW w:w="1925" w:type="dxa"/>
          </w:tcPr>
          <w:p>
            <w:pPr>
              <w:pStyle w:val="TableParagraph"/>
              <w:tabs>
                <w:tab w:pos="1398" w:val="left" w:leader="none"/>
              </w:tabs>
              <w:spacing w:line="141" w:lineRule="exact" w:before="10"/>
              <w:ind w:left="566"/>
              <w:rPr>
                <w:sz w:val="12"/>
              </w:rPr>
            </w:pPr>
            <w:r>
              <w:rPr>
                <w:w w:val="125"/>
                <w:sz w:val="12"/>
              </w:rPr>
              <w:t>1</w:t>
              <w:tab/>
              <w:t>1</w:t>
            </w:r>
          </w:p>
        </w:tc>
        <w:tc>
          <w:tcPr>
            <w:tcW w:w="2080" w:type="dxa"/>
          </w:tcPr>
          <w:p>
            <w:pPr>
              <w:pStyle w:val="TableParagraph"/>
              <w:spacing w:line="141" w:lineRule="exact" w:before="10"/>
              <w:ind w:left="453"/>
              <w:rPr>
                <w:sz w:val="12"/>
              </w:rPr>
            </w:pPr>
            <w:r>
              <w:rPr>
                <w:w w:val="126"/>
                <w:sz w:val="12"/>
              </w:rPr>
              <w:t>1</w:t>
            </w:r>
          </w:p>
        </w:tc>
        <w:tc>
          <w:tcPr>
            <w:tcW w:w="1341" w:type="dxa"/>
          </w:tcPr>
          <w:p>
            <w:pPr>
              <w:pStyle w:val="TableParagraph"/>
              <w:spacing w:line="141" w:lineRule="exact" w:before="10"/>
              <w:ind w:left="63"/>
              <w:rPr>
                <w:sz w:val="12"/>
              </w:rPr>
            </w:pPr>
            <w:r>
              <w:rPr>
                <w:w w:val="126"/>
                <w:sz w:val="12"/>
              </w:rPr>
              <w:t>1</w:t>
            </w:r>
          </w:p>
        </w:tc>
        <w:tc>
          <w:tcPr>
            <w:tcW w:w="1793" w:type="dxa"/>
          </w:tcPr>
          <w:p>
            <w:pPr>
              <w:pStyle w:val="TableParagraph"/>
              <w:spacing w:line="141" w:lineRule="exact" w:before="10"/>
              <w:ind w:right="882"/>
              <w:jc w:val="right"/>
              <w:rPr>
                <w:sz w:val="12"/>
              </w:rPr>
            </w:pPr>
            <w:r>
              <w:rPr>
                <w:w w:val="126"/>
                <w:sz w:val="12"/>
              </w:rPr>
              <w:t>1</w:t>
            </w:r>
          </w:p>
        </w:tc>
        <w:tc>
          <w:tcPr>
            <w:tcW w:w="1369" w:type="dxa"/>
            <w:gridSpan w:val="2"/>
          </w:tcPr>
          <w:p>
            <w:pPr>
              <w:pStyle w:val="TableParagraph"/>
              <w:spacing w:line="141" w:lineRule="exact" w:before="10"/>
              <w:ind w:right="343"/>
              <w:jc w:val="right"/>
              <w:rPr>
                <w:sz w:val="12"/>
              </w:rPr>
            </w:pPr>
            <w:r>
              <w:rPr>
                <w:w w:val="126"/>
                <w:sz w:val="12"/>
              </w:rPr>
              <w:t>6</w:t>
            </w:r>
          </w:p>
        </w:tc>
      </w:tr>
      <w:tr>
        <w:trPr>
          <w:trHeight w:val="209" w:hRule="atLeast"/>
        </w:trPr>
        <w:tc>
          <w:tcPr>
            <w:tcW w:w="1892" w:type="dxa"/>
            <w:gridSpan w:val="2"/>
            <w:tcBorders>
              <w:bottom w:val="single" w:sz="6" w:space="0" w:color="000000"/>
            </w:tcBorders>
          </w:tcPr>
          <w:p>
            <w:pPr>
              <w:pStyle w:val="TableParagraph"/>
              <w:spacing w:before="10"/>
              <w:ind w:left="278"/>
              <w:rPr>
                <w:sz w:val="12"/>
              </w:rPr>
            </w:pPr>
            <w:r>
              <w:rPr>
                <w:w w:val="120"/>
                <w:sz w:val="12"/>
              </w:rPr>
              <w:t>[</w:t>
            </w:r>
            <w:hyperlink w:history="true" w:anchor="_bookmark61">
              <w:r>
                <w:rPr>
                  <w:color w:val="007FAC"/>
                  <w:w w:val="120"/>
                  <w:sz w:val="12"/>
                </w:rPr>
                <w:t>50</w:t>
              </w:r>
            </w:hyperlink>
            <w:r>
              <w:rPr>
                <w:w w:val="120"/>
                <w:sz w:val="12"/>
              </w:rPr>
              <w:t>]</w:t>
            </w:r>
          </w:p>
        </w:tc>
        <w:tc>
          <w:tcPr>
            <w:tcW w:w="1925" w:type="dxa"/>
            <w:tcBorders>
              <w:bottom w:val="single" w:sz="6" w:space="0" w:color="000000"/>
            </w:tcBorders>
          </w:tcPr>
          <w:p>
            <w:pPr>
              <w:pStyle w:val="TableParagraph"/>
              <w:rPr>
                <w:rFonts w:ascii="Times New Roman"/>
                <w:sz w:val="12"/>
              </w:rPr>
            </w:pPr>
          </w:p>
        </w:tc>
        <w:tc>
          <w:tcPr>
            <w:tcW w:w="2080" w:type="dxa"/>
            <w:tcBorders>
              <w:bottom w:val="single" w:sz="6" w:space="0" w:color="000000"/>
            </w:tcBorders>
          </w:tcPr>
          <w:p>
            <w:pPr>
              <w:pStyle w:val="TableParagraph"/>
              <w:rPr>
                <w:rFonts w:ascii="Times New Roman"/>
                <w:sz w:val="12"/>
              </w:rPr>
            </w:pPr>
          </w:p>
        </w:tc>
        <w:tc>
          <w:tcPr>
            <w:tcW w:w="1341" w:type="dxa"/>
            <w:tcBorders>
              <w:bottom w:val="single" w:sz="6" w:space="0" w:color="000000"/>
            </w:tcBorders>
          </w:tcPr>
          <w:p>
            <w:pPr>
              <w:pStyle w:val="TableParagraph"/>
              <w:rPr>
                <w:rFonts w:ascii="Times New Roman"/>
                <w:sz w:val="12"/>
              </w:rPr>
            </w:pPr>
          </w:p>
        </w:tc>
        <w:tc>
          <w:tcPr>
            <w:tcW w:w="1793" w:type="dxa"/>
            <w:tcBorders>
              <w:bottom w:val="single" w:sz="6" w:space="0" w:color="000000"/>
            </w:tcBorders>
          </w:tcPr>
          <w:p>
            <w:pPr>
              <w:pStyle w:val="TableParagraph"/>
              <w:rPr>
                <w:rFonts w:ascii="Times New Roman"/>
                <w:sz w:val="12"/>
              </w:rPr>
            </w:pPr>
          </w:p>
        </w:tc>
        <w:tc>
          <w:tcPr>
            <w:tcW w:w="1369" w:type="dxa"/>
            <w:gridSpan w:val="2"/>
            <w:tcBorders>
              <w:bottom w:val="single" w:sz="6" w:space="0" w:color="000000"/>
            </w:tcBorders>
          </w:tcPr>
          <w:p>
            <w:pPr>
              <w:pStyle w:val="TableParagraph"/>
              <w:rPr>
                <w:rFonts w:ascii="Times New Roman"/>
                <w:sz w:val="12"/>
              </w:rPr>
            </w:pPr>
          </w:p>
        </w:tc>
      </w:tr>
    </w:tbl>
    <w:p>
      <w:pPr>
        <w:spacing w:line="276" w:lineRule="auto" w:before="15"/>
        <w:ind w:left="116" w:right="249" w:firstLine="116"/>
        <w:jc w:val="left"/>
        <w:rPr>
          <w:sz w:val="12"/>
        </w:rPr>
      </w:pPr>
      <w:bookmarkStart w:name="_bookmark77" w:id="116"/>
      <w:bookmarkEnd w:id="116"/>
      <w:r>
        <w:rPr/>
      </w:r>
      <w:r>
        <w:rPr>
          <w:w w:val="115"/>
          <w:position w:val="6"/>
          <w:sz w:val="9"/>
        </w:rPr>
        <w:t>a </w:t>
      </w:r>
      <w:r>
        <w:rPr>
          <w:w w:val="115"/>
          <w:sz w:val="12"/>
        </w:rPr>
        <w:t>All studies received a star for representativeness of the exposed cohort, selection of the non-exposed cohort, and demonstration that the outcome of interest was not</w:t>
      </w:r>
      <w:bookmarkStart w:name="_bookmark78" w:id="117"/>
      <w:bookmarkEnd w:id="117"/>
      <w:r>
        <w:rPr>
          <w:w w:val="115"/>
          <w:sz w:val="12"/>
        </w:rPr>
      </w:r>
      <w:r>
        <w:rPr>
          <w:w w:val="115"/>
          <w:sz w:val="12"/>
        </w:rPr>
        <w:t> present at the start of the study.</w:t>
      </w:r>
    </w:p>
    <w:p>
      <w:pPr>
        <w:spacing w:line="149" w:lineRule="exact" w:before="0"/>
        <w:ind w:left="227" w:right="0" w:firstLine="0"/>
        <w:jc w:val="left"/>
        <w:rPr>
          <w:sz w:val="12"/>
        </w:rPr>
      </w:pPr>
      <w:r>
        <w:rPr>
          <w:w w:val="115"/>
          <w:position w:val="6"/>
          <w:sz w:val="9"/>
        </w:rPr>
        <w:t>b </w:t>
      </w:r>
      <w:r>
        <w:rPr>
          <w:w w:val="115"/>
          <w:sz w:val="12"/>
        </w:rPr>
        <w:t>All but one study received a star for ascertainment of exposure using surgical records and the study that did not included no description of the ascertainment of exposure</w:t>
      </w:r>
    </w:p>
    <w:p>
      <w:pPr>
        <w:spacing w:line="145" w:lineRule="exact" w:before="23"/>
        <w:ind w:left="116" w:right="0" w:firstLine="0"/>
        <w:jc w:val="left"/>
        <w:rPr>
          <w:sz w:val="12"/>
        </w:rPr>
      </w:pPr>
      <w:bookmarkStart w:name="_bookmark79" w:id="118"/>
      <w:bookmarkEnd w:id="118"/>
      <w:r>
        <w:rPr/>
      </w:r>
      <w:r>
        <w:rPr>
          <w:w w:val="120"/>
          <w:sz w:val="12"/>
        </w:rPr>
        <w:t>[</w:t>
      </w:r>
      <w:hyperlink w:history="true" w:anchor="_bookmark57">
        <w:r>
          <w:rPr>
            <w:color w:val="007FAC"/>
            <w:w w:val="120"/>
            <w:sz w:val="12"/>
          </w:rPr>
          <w:t>10.1016/j.jss.2020.11.087</w:t>
        </w:r>
      </w:hyperlink>
      <w:r>
        <w:rPr>
          <w:w w:val="120"/>
          <w:sz w:val="12"/>
        </w:rPr>
        <w:t>].</w:t>
      </w:r>
    </w:p>
    <w:p>
      <w:pPr>
        <w:spacing w:line="276" w:lineRule="auto" w:before="0"/>
        <w:ind w:left="116" w:right="305" w:firstLine="121"/>
        <w:jc w:val="both"/>
        <w:rPr>
          <w:sz w:val="12"/>
        </w:rPr>
      </w:pPr>
      <w:r>
        <w:rPr>
          <w:w w:val="115"/>
          <w:position w:val="6"/>
          <w:sz w:val="9"/>
        </w:rPr>
        <w:t>c </w:t>
      </w:r>
      <w:r>
        <w:rPr>
          <w:w w:val="115"/>
          <w:sz w:val="12"/>
        </w:rPr>
        <w:t>Twelve of the studies received one star for comparability of the cohorts on the basis of design or analysis [</w:t>
      </w:r>
      <w:hyperlink w:history="true" w:anchor="_bookmark52">
        <w:r>
          <w:rPr>
            <w:color w:val="007FAC"/>
            <w:w w:val="115"/>
            <w:sz w:val="12"/>
          </w:rPr>
          <w:t>41-47,49-52,54</w:t>
        </w:r>
      </w:hyperlink>
      <w:r>
        <w:rPr>
          <w:w w:val="115"/>
          <w:sz w:val="12"/>
        </w:rPr>
        <w:t>] since they did not perform adjusted analyses, regression,</w:t>
      </w:r>
      <w:r>
        <w:rPr>
          <w:spacing w:val="-11"/>
          <w:w w:val="115"/>
          <w:sz w:val="12"/>
        </w:rPr>
        <w:t> </w:t>
      </w:r>
      <w:r>
        <w:rPr>
          <w:w w:val="115"/>
          <w:sz w:val="12"/>
        </w:rPr>
        <w:t>or</w:t>
      </w:r>
      <w:r>
        <w:rPr>
          <w:spacing w:val="-8"/>
          <w:w w:val="115"/>
          <w:sz w:val="12"/>
        </w:rPr>
        <w:t> </w:t>
      </w:r>
      <w:r>
        <w:rPr>
          <w:w w:val="115"/>
          <w:sz w:val="12"/>
        </w:rPr>
        <w:t>matching</w:t>
      </w:r>
      <w:r>
        <w:rPr>
          <w:spacing w:val="-9"/>
          <w:w w:val="115"/>
          <w:sz w:val="12"/>
        </w:rPr>
        <w:t> </w:t>
      </w:r>
      <w:r>
        <w:rPr>
          <w:w w:val="115"/>
          <w:sz w:val="12"/>
        </w:rPr>
        <w:t>for</w:t>
      </w:r>
      <w:r>
        <w:rPr>
          <w:spacing w:val="-10"/>
          <w:w w:val="115"/>
          <w:sz w:val="12"/>
        </w:rPr>
        <w:t> </w:t>
      </w:r>
      <w:r>
        <w:rPr>
          <w:w w:val="115"/>
          <w:sz w:val="12"/>
        </w:rPr>
        <w:t>the</w:t>
      </w:r>
      <w:r>
        <w:rPr>
          <w:spacing w:val="-8"/>
          <w:w w:val="115"/>
          <w:sz w:val="12"/>
        </w:rPr>
        <w:t> </w:t>
      </w:r>
      <w:r>
        <w:rPr>
          <w:w w:val="115"/>
          <w:sz w:val="12"/>
        </w:rPr>
        <w:t>outcomes</w:t>
      </w:r>
      <w:r>
        <w:rPr>
          <w:spacing w:val="-10"/>
          <w:w w:val="115"/>
          <w:sz w:val="12"/>
        </w:rPr>
        <w:t> </w:t>
      </w:r>
      <w:r>
        <w:rPr>
          <w:w w:val="115"/>
          <w:sz w:val="12"/>
        </w:rPr>
        <w:t>of</w:t>
      </w:r>
      <w:r>
        <w:rPr>
          <w:spacing w:val="-9"/>
          <w:w w:val="115"/>
          <w:sz w:val="12"/>
        </w:rPr>
        <w:t> </w:t>
      </w:r>
      <w:r>
        <w:rPr>
          <w:w w:val="115"/>
          <w:sz w:val="12"/>
        </w:rPr>
        <w:t>interest.</w:t>
      </w:r>
      <w:r>
        <w:rPr>
          <w:spacing w:val="-10"/>
          <w:w w:val="115"/>
          <w:sz w:val="12"/>
        </w:rPr>
        <w:t> </w:t>
      </w:r>
      <w:r>
        <w:rPr>
          <w:w w:val="115"/>
          <w:sz w:val="12"/>
        </w:rPr>
        <w:t>The</w:t>
      </w:r>
      <w:r>
        <w:rPr>
          <w:spacing w:val="-9"/>
          <w:w w:val="115"/>
          <w:sz w:val="12"/>
        </w:rPr>
        <w:t> </w:t>
      </w:r>
      <w:r>
        <w:rPr>
          <w:w w:val="115"/>
          <w:sz w:val="12"/>
        </w:rPr>
        <w:t>cohorts</w:t>
      </w:r>
      <w:r>
        <w:rPr>
          <w:spacing w:val="-9"/>
          <w:w w:val="115"/>
          <w:sz w:val="12"/>
        </w:rPr>
        <w:t> </w:t>
      </w:r>
      <w:r>
        <w:rPr>
          <w:w w:val="115"/>
          <w:sz w:val="12"/>
        </w:rPr>
        <w:t>from</w:t>
      </w:r>
      <w:r>
        <w:rPr>
          <w:spacing w:val="-9"/>
          <w:w w:val="115"/>
          <w:sz w:val="12"/>
        </w:rPr>
        <w:t> </w:t>
      </w:r>
      <w:r>
        <w:rPr>
          <w:w w:val="115"/>
          <w:sz w:val="12"/>
        </w:rPr>
        <w:t>most</w:t>
      </w:r>
      <w:r>
        <w:rPr>
          <w:spacing w:val="-9"/>
          <w:w w:val="115"/>
          <w:sz w:val="12"/>
        </w:rPr>
        <w:t> </w:t>
      </w:r>
      <w:r>
        <w:rPr>
          <w:w w:val="115"/>
          <w:sz w:val="12"/>
        </w:rPr>
        <w:t>studies</w:t>
      </w:r>
      <w:r>
        <w:rPr>
          <w:spacing w:val="-10"/>
          <w:w w:val="115"/>
          <w:sz w:val="12"/>
        </w:rPr>
        <w:t> </w:t>
      </w:r>
      <w:r>
        <w:rPr>
          <w:w w:val="115"/>
          <w:sz w:val="12"/>
        </w:rPr>
        <w:t>were</w:t>
      </w:r>
      <w:r>
        <w:rPr>
          <w:spacing w:val="-9"/>
          <w:w w:val="115"/>
          <w:sz w:val="12"/>
        </w:rPr>
        <w:t> </w:t>
      </w:r>
      <w:r>
        <w:rPr>
          <w:w w:val="115"/>
          <w:sz w:val="12"/>
        </w:rPr>
        <w:t>balanced</w:t>
      </w:r>
      <w:r>
        <w:rPr>
          <w:spacing w:val="-10"/>
          <w:w w:val="115"/>
          <w:sz w:val="12"/>
        </w:rPr>
        <w:t> </w:t>
      </w:r>
      <w:r>
        <w:rPr>
          <w:w w:val="115"/>
          <w:sz w:val="12"/>
        </w:rPr>
        <w:t>in</w:t>
      </w:r>
      <w:r>
        <w:rPr>
          <w:spacing w:val="-9"/>
          <w:w w:val="115"/>
          <w:sz w:val="12"/>
        </w:rPr>
        <w:t> </w:t>
      </w:r>
      <w:r>
        <w:rPr>
          <w:w w:val="115"/>
          <w:sz w:val="12"/>
        </w:rPr>
        <w:t>terms</w:t>
      </w:r>
      <w:r>
        <w:rPr>
          <w:spacing w:val="-9"/>
          <w:w w:val="115"/>
          <w:sz w:val="12"/>
        </w:rPr>
        <w:t> </w:t>
      </w:r>
      <w:r>
        <w:rPr>
          <w:w w:val="115"/>
          <w:sz w:val="12"/>
        </w:rPr>
        <w:t>of</w:t>
      </w:r>
      <w:r>
        <w:rPr>
          <w:spacing w:val="-9"/>
          <w:w w:val="115"/>
          <w:sz w:val="12"/>
        </w:rPr>
        <w:t> </w:t>
      </w:r>
      <w:r>
        <w:rPr>
          <w:w w:val="115"/>
          <w:sz w:val="12"/>
        </w:rPr>
        <w:t>patient</w:t>
      </w:r>
      <w:r>
        <w:rPr>
          <w:spacing w:val="-9"/>
          <w:w w:val="115"/>
          <w:sz w:val="12"/>
        </w:rPr>
        <w:t> </w:t>
      </w:r>
      <w:r>
        <w:rPr>
          <w:w w:val="115"/>
          <w:sz w:val="12"/>
        </w:rPr>
        <w:t>age</w:t>
      </w:r>
      <w:r>
        <w:rPr>
          <w:spacing w:val="-10"/>
          <w:w w:val="115"/>
          <w:sz w:val="12"/>
        </w:rPr>
        <w:t> </w:t>
      </w:r>
      <w:r>
        <w:rPr>
          <w:w w:val="115"/>
          <w:sz w:val="12"/>
        </w:rPr>
        <w:t>and</w:t>
      </w:r>
      <w:r>
        <w:rPr>
          <w:spacing w:val="-9"/>
          <w:w w:val="115"/>
          <w:sz w:val="12"/>
        </w:rPr>
        <w:t> </w:t>
      </w:r>
      <w:r>
        <w:rPr>
          <w:w w:val="115"/>
          <w:sz w:val="12"/>
        </w:rPr>
        <w:t>other</w:t>
      </w:r>
      <w:r>
        <w:rPr>
          <w:spacing w:val="-11"/>
          <w:w w:val="115"/>
          <w:sz w:val="12"/>
        </w:rPr>
        <w:t> </w:t>
      </w:r>
      <w:r>
        <w:rPr>
          <w:w w:val="115"/>
          <w:sz w:val="12"/>
        </w:rPr>
        <w:t>baseline</w:t>
      </w:r>
      <w:r>
        <w:rPr>
          <w:spacing w:val="-8"/>
          <w:w w:val="115"/>
          <w:sz w:val="12"/>
        </w:rPr>
        <w:t> </w:t>
      </w:r>
      <w:r>
        <w:rPr>
          <w:w w:val="115"/>
          <w:sz w:val="12"/>
        </w:rPr>
        <w:t>characteristics</w:t>
      </w:r>
      <w:r>
        <w:rPr>
          <w:spacing w:val="-9"/>
          <w:w w:val="115"/>
          <w:sz w:val="12"/>
        </w:rPr>
        <w:t> </w:t>
      </w:r>
      <w:r>
        <w:rPr>
          <w:w w:val="115"/>
          <w:sz w:val="12"/>
        </w:rPr>
        <w:t>apart</w:t>
      </w:r>
      <w:r>
        <w:rPr>
          <w:spacing w:val="-10"/>
          <w:w w:val="115"/>
          <w:sz w:val="12"/>
        </w:rPr>
        <w:t> </w:t>
      </w:r>
      <w:r>
        <w:rPr>
          <w:w w:val="115"/>
          <w:sz w:val="12"/>
        </w:rPr>
        <w:t>from</w:t>
      </w:r>
      <w:r>
        <w:rPr>
          <w:spacing w:val="-8"/>
          <w:w w:val="115"/>
          <w:sz w:val="12"/>
        </w:rPr>
        <w:t> </w:t>
      </w:r>
      <w:r>
        <w:rPr>
          <w:w w:val="115"/>
          <w:sz w:val="12"/>
        </w:rPr>
        <w:t>those</w:t>
      </w:r>
      <w:r>
        <w:rPr>
          <w:spacing w:val="-9"/>
          <w:w w:val="115"/>
          <w:sz w:val="12"/>
        </w:rPr>
        <w:t> </w:t>
      </w:r>
      <w:r>
        <w:rPr>
          <w:w w:val="115"/>
          <w:sz w:val="12"/>
        </w:rPr>
        <w:t>of</w:t>
      </w:r>
      <w:bookmarkStart w:name="_bookmark80" w:id="119"/>
      <w:bookmarkEnd w:id="119"/>
      <w:r>
        <w:rPr>
          <w:w w:val="115"/>
          <w:sz w:val="12"/>
        </w:rPr>
      </w:r>
      <w:r>
        <w:rPr>
          <w:w w:val="115"/>
          <w:sz w:val="12"/>
        </w:rPr>
        <w:t> two studies</w:t>
      </w:r>
      <w:r>
        <w:rPr>
          <w:spacing w:val="10"/>
          <w:w w:val="115"/>
          <w:sz w:val="12"/>
        </w:rPr>
        <w:t> </w:t>
      </w:r>
      <w:r>
        <w:rPr>
          <w:w w:val="115"/>
          <w:sz w:val="12"/>
        </w:rPr>
        <w:t>[</w:t>
      </w:r>
      <w:hyperlink w:history="true" w:anchor="_bookmark59">
        <w:r>
          <w:rPr>
            <w:color w:val="007FAC"/>
            <w:w w:val="115"/>
            <w:sz w:val="12"/>
          </w:rPr>
          <w:t>48</w:t>
        </w:r>
      </w:hyperlink>
      <w:r>
        <w:rPr>
          <w:w w:val="115"/>
          <w:sz w:val="12"/>
        </w:rPr>
        <w:t>,</w:t>
      </w:r>
      <w:hyperlink w:history="true" w:anchor="_bookmark63">
        <w:r>
          <w:rPr>
            <w:color w:val="007FAC"/>
            <w:w w:val="115"/>
            <w:sz w:val="12"/>
          </w:rPr>
          <w:t>53</w:t>
        </w:r>
      </w:hyperlink>
      <w:r>
        <w:rPr>
          <w:w w:val="115"/>
          <w:sz w:val="12"/>
        </w:rPr>
        <w:t>].</w:t>
      </w:r>
    </w:p>
    <w:p>
      <w:pPr>
        <w:spacing w:line="145" w:lineRule="exact" w:before="0"/>
        <w:ind w:left="225" w:right="0" w:firstLine="0"/>
        <w:jc w:val="both"/>
        <w:rPr>
          <w:sz w:val="12"/>
        </w:rPr>
      </w:pPr>
      <w:r>
        <w:rPr>
          <w:w w:val="115"/>
          <w:position w:val="6"/>
          <w:sz w:val="9"/>
        </w:rPr>
        <w:t>d</w:t>
      </w:r>
      <w:bookmarkStart w:name="_bookmark81" w:id="120"/>
      <w:bookmarkEnd w:id="120"/>
      <w:r>
        <w:rPr>
          <w:w w:val="115"/>
          <w:position w:val="6"/>
          <w:sz w:val="9"/>
        </w:rPr>
      </w:r>
      <w:r>
        <w:rPr>
          <w:w w:val="115"/>
          <w:position w:val="6"/>
          <w:sz w:val="9"/>
        </w:rPr>
        <w:t> </w:t>
      </w:r>
      <w:r>
        <w:rPr>
          <w:w w:val="115"/>
          <w:sz w:val="12"/>
        </w:rPr>
        <w:t>All but two of the studies received a star for the assessment of the outcome with record linkage [</w:t>
      </w:r>
      <w:hyperlink w:history="true" w:anchor="_bookmark60">
        <w:r>
          <w:rPr>
            <w:color w:val="007FAC"/>
            <w:w w:val="115"/>
            <w:sz w:val="12"/>
          </w:rPr>
          <w:t>49</w:t>
        </w:r>
      </w:hyperlink>
      <w:r>
        <w:rPr>
          <w:w w:val="115"/>
          <w:sz w:val="12"/>
        </w:rPr>
        <w:t>,</w:t>
      </w:r>
      <w:hyperlink w:history="true" w:anchor="_bookmark65">
        <w:r>
          <w:rPr>
            <w:color w:val="007FAC"/>
            <w:w w:val="115"/>
            <w:sz w:val="12"/>
          </w:rPr>
          <w:t>54</w:t>
        </w:r>
      </w:hyperlink>
      <w:r>
        <w:rPr>
          <w:w w:val="115"/>
          <w:sz w:val="12"/>
        </w:rPr>
        <w:t>].</w:t>
      </w:r>
    </w:p>
    <w:p>
      <w:pPr>
        <w:spacing w:line="276" w:lineRule="auto" w:before="0"/>
        <w:ind w:left="116" w:right="305" w:firstLine="115"/>
        <w:jc w:val="both"/>
        <w:rPr>
          <w:sz w:val="12"/>
        </w:rPr>
      </w:pPr>
      <w:r>
        <w:rPr>
          <w:w w:val="115"/>
          <w:position w:val="6"/>
          <w:sz w:val="9"/>
        </w:rPr>
        <w:t>e </w:t>
      </w:r>
      <w:r>
        <w:rPr>
          <w:w w:val="115"/>
          <w:sz w:val="12"/>
        </w:rPr>
        <w:t>Only two studies did not follow patients for at least one month following surgery [</w:t>
      </w:r>
      <w:hyperlink w:history="true" w:anchor="_bookmark63">
        <w:r>
          <w:rPr>
            <w:color w:val="007FAC"/>
            <w:w w:val="115"/>
            <w:sz w:val="12"/>
          </w:rPr>
          <w:t>53</w:t>
        </w:r>
      </w:hyperlink>
      <w:r>
        <w:rPr>
          <w:w w:val="115"/>
          <w:sz w:val="12"/>
        </w:rPr>
        <w:t>,</w:t>
      </w:r>
      <w:hyperlink w:history="true" w:anchor="_bookmark65">
        <w:r>
          <w:rPr>
            <w:color w:val="007FAC"/>
            <w:w w:val="115"/>
            <w:sz w:val="12"/>
          </w:rPr>
          <w:t>54</w:t>
        </w:r>
      </w:hyperlink>
      <w:r>
        <w:rPr>
          <w:w w:val="115"/>
          <w:sz w:val="12"/>
        </w:rPr>
        <w:t>] and did not receive a star for follow-up duration long enough for outcomes to</w:t>
      </w:r>
      <w:bookmarkStart w:name="_bookmark82" w:id="121"/>
      <w:bookmarkEnd w:id="121"/>
      <w:r>
        <w:rPr>
          <w:w w:val="115"/>
          <w:sz w:val="12"/>
        </w:rPr>
      </w:r>
      <w:r>
        <w:rPr>
          <w:w w:val="115"/>
          <w:sz w:val="12"/>
        </w:rPr>
        <w:t> occur.</w:t>
      </w:r>
    </w:p>
    <w:p>
      <w:pPr>
        <w:spacing w:line="149" w:lineRule="exact" w:before="0"/>
        <w:ind w:left="252" w:right="0" w:firstLine="0"/>
        <w:jc w:val="both"/>
        <w:rPr>
          <w:sz w:val="12"/>
        </w:rPr>
      </w:pPr>
      <w:r>
        <w:rPr>
          <w:w w:val="115"/>
          <w:position w:val="6"/>
          <w:sz w:val="9"/>
        </w:rPr>
        <w:t>f </w:t>
      </w:r>
      <w:r>
        <w:rPr>
          <w:w w:val="115"/>
          <w:sz w:val="12"/>
        </w:rPr>
        <w:t>Five studies reported either no loss to follow-up or follow-up of </w:t>
      </w:r>
      <w:r>
        <w:rPr>
          <w:rFonts w:ascii="Lucida Sans"/>
          <w:w w:val="115"/>
          <w:sz w:val="12"/>
        </w:rPr>
        <w:t>&gt;</w:t>
      </w:r>
      <w:r>
        <w:rPr>
          <w:w w:val="115"/>
          <w:sz w:val="12"/>
        </w:rPr>
        <w:t>80% of patients [</w:t>
      </w:r>
      <w:hyperlink w:history="true" w:anchor="_bookmark52">
        <w:r>
          <w:rPr>
            <w:color w:val="007FAC"/>
            <w:w w:val="115"/>
            <w:sz w:val="12"/>
          </w:rPr>
          <w:t>41-44</w:t>
        </w:r>
      </w:hyperlink>
      <w:r>
        <w:rPr>
          <w:w w:val="115"/>
          <w:sz w:val="12"/>
        </w:rPr>
        <w:t>,</w:t>
      </w:r>
      <w:hyperlink w:history="true" w:anchor="_bookmark57">
        <w:r>
          <w:rPr>
            <w:color w:val="007FAC"/>
            <w:w w:val="115"/>
            <w:sz w:val="12"/>
          </w:rPr>
          <w:t>46</w:t>
        </w:r>
      </w:hyperlink>
      <w:r>
        <w:rPr>
          <w:w w:val="115"/>
          <w:sz w:val="12"/>
        </w:rPr>
        <w:t>] and received a star, the other nine studies did not provide information of loss</w:t>
      </w:r>
    </w:p>
    <w:p>
      <w:pPr>
        <w:spacing w:before="13"/>
        <w:ind w:left="116" w:right="0" w:firstLine="0"/>
        <w:jc w:val="both"/>
        <w:rPr>
          <w:sz w:val="12"/>
        </w:rPr>
      </w:pPr>
      <w:r>
        <w:rPr>
          <w:w w:val="120"/>
          <w:sz w:val="12"/>
        </w:rPr>
        <w:t>to follow-up [</w:t>
      </w:r>
      <w:hyperlink w:history="true" w:anchor="_bookmark56">
        <w:r>
          <w:rPr>
            <w:color w:val="007FAC"/>
            <w:w w:val="120"/>
            <w:sz w:val="12"/>
          </w:rPr>
          <w:t>45</w:t>
        </w:r>
      </w:hyperlink>
      <w:r>
        <w:rPr>
          <w:w w:val="120"/>
          <w:sz w:val="12"/>
        </w:rPr>
        <w:t>,</w:t>
      </w:r>
      <w:hyperlink w:history="true" w:anchor="_bookmark58">
        <w:r>
          <w:rPr>
            <w:color w:val="007FAC"/>
            <w:w w:val="120"/>
            <w:sz w:val="12"/>
          </w:rPr>
          <w:t>47-54</w:t>
        </w:r>
      </w:hyperlink>
      <w:r>
        <w:rPr>
          <w:w w:val="120"/>
          <w:sz w:val="12"/>
        </w:rPr>
        <w:t>].</w:t>
      </w:r>
    </w:p>
    <w:p>
      <w:pPr>
        <w:spacing w:after="0"/>
        <w:jc w:val="both"/>
        <w:rPr>
          <w:sz w:val="12"/>
        </w:rPr>
        <w:sectPr>
          <w:type w:val="continuous"/>
          <w:pgSz w:w="11910" w:h="15880"/>
          <w:pgMar w:top="840" w:bottom="360" w:left="540" w:right="540"/>
        </w:sectPr>
      </w:pPr>
    </w:p>
    <w:p>
      <w:pPr>
        <w:pStyle w:val="BodyText"/>
        <w:rPr>
          <w:sz w:val="20"/>
        </w:rPr>
      </w:pPr>
    </w:p>
    <w:p>
      <w:pPr>
        <w:pStyle w:val="BodyText"/>
        <w:rPr>
          <w:sz w:val="20"/>
        </w:rPr>
      </w:pPr>
    </w:p>
    <w:p>
      <w:pPr>
        <w:pStyle w:val="BodyText"/>
        <w:spacing w:before="11"/>
      </w:pPr>
    </w:p>
    <w:p>
      <w:pPr>
        <w:spacing w:before="106"/>
        <w:ind w:left="511" w:right="0" w:firstLine="0"/>
        <w:jc w:val="left"/>
        <w:rPr>
          <w:i/>
          <w:sz w:val="16"/>
        </w:rPr>
      </w:pPr>
      <w:bookmarkStart w:name="Appendix C" w:id="122"/>
      <w:bookmarkEnd w:id="122"/>
      <w:r>
        <w:rPr/>
      </w:r>
      <w:bookmarkStart w:name="_bookmark83" w:id="123"/>
      <w:bookmarkEnd w:id="123"/>
      <w:r>
        <w:rPr/>
      </w:r>
      <w:r>
        <w:rPr>
          <w:i/>
          <w:w w:val="105"/>
          <w:sz w:val="16"/>
        </w:rPr>
        <w:t>Appendix C</w:t>
      </w:r>
    </w:p>
    <w:p>
      <w:pPr>
        <w:pStyle w:val="BodyText"/>
        <w:rPr>
          <w:i/>
          <w:sz w:val="20"/>
        </w:rPr>
      </w:pPr>
    </w:p>
    <w:p>
      <w:pPr>
        <w:pStyle w:val="BodyText"/>
        <w:spacing w:before="4"/>
        <w:rPr>
          <w:i/>
          <w:sz w:val="27"/>
        </w:rPr>
      </w:pPr>
    </w:p>
    <w:p>
      <w:pPr>
        <w:spacing w:before="111"/>
        <w:ind w:left="503" w:right="0" w:firstLine="0"/>
        <w:jc w:val="left"/>
        <w:rPr>
          <w:sz w:val="12"/>
        </w:rPr>
      </w:pPr>
      <w:r>
        <w:rPr>
          <w:w w:val="120"/>
          <w:sz w:val="12"/>
        </w:rPr>
        <w:t>Supplement Table 3</w:t>
      </w:r>
    </w:p>
    <w:p>
      <w:pPr>
        <w:spacing w:before="22"/>
        <w:ind w:left="503" w:right="0" w:firstLine="0"/>
        <w:jc w:val="left"/>
        <w:rPr>
          <w:sz w:val="12"/>
        </w:rPr>
      </w:pPr>
      <w:r>
        <w:rPr/>
        <w:pict>
          <v:line style="position:absolute;mso-position-horizontal-relative:page;mso-position-vertical-relative:paragraph;z-index:251705344" from="51.194pt,12.107069pt" to="732.983pt,12.107069pt" stroked="true" strokeweight=".51pt" strokecolor="#000000">
            <v:stroke dashstyle="solid"/>
            <w10:wrap type="none"/>
          </v:line>
        </w:pict>
      </w:r>
      <w:r>
        <w:rPr>
          <w:w w:val="115"/>
          <w:sz w:val="12"/>
        </w:rPr>
        <w:t>Summary study details for wound closure methods by tissue layer in </w:t>
      </w:r>
      <w:r>
        <w:rPr>
          <w:w w:val="115"/>
          <w:sz w:val="12"/>
          <w:u w:val="single"/>
        </w:rPr>
        <w:t>knee arthroplasty</w:t>
      </w:r>
      <w:r>
        <w:rPr>
          <w:w w:val="115"/>
          <w:sz w:val="12"/>
        </w:rPr>
        <w:t>.</w:t>
      </w:r>
    </w:p>
    <w:p>
      <w:pPr>
        <w:spacing w:after="0"/>
        <w:jc w:val="left"/>
        <w:rPr>
          <w:sz w:val="12"/>
        </w:rPr>
        <w:sectPr>
          <w:headerReference w:type="default" r:id="rId103"/>
          <w:footerReference w:type="default" r:id="rId104"/>
          <w:pgSz w:w="15880" w:h="11910" w:orient="landscape"/>
          <w:pgMar w:header="0" w:footer="0" w:top="0" w:bottom="0" w:left="520" w:right="1100"/>
        </w:sectPr>
      </w:pPr>
    </w:p>
    <w:p>
      <w:pPr>
        <w:tabs>
          <w:tab w:pos="2701" w:val="left" w:leader="none"/>
        </w:tabs>
        <w:spacing w:before="134"/>
        <w:ind w:left="622" w:right="0" w:firstLine="0"/>
        <w:jc w:val="left"/>
        <w:rPr>
          <w:sz w:val="12"/>
        </w:rPr>
      </w:pPr>
      <w:r>
        <w:rPr>
          <w:w w:val="110"/>
          <w:sz w:val="12"/>
        </w:rPr>
        <w:t>Study</w:t>
        <w:tab/>
      </w:r>
      <w:r>
        <w:rPr>
          <w:spacing w:val="-4"/>
          <w:w w:val="110"/>
          <w:sz w:val="12"/>
        </w:rPr>
        <w:t>Sample</w:t>
      </w:r>
    </w:p>
    <w:p>
      <w:pPr>
        <w:tabs>
          <w:tab w:pos="1084" w:val="left" w:leader="none"/>
          <w:tab w:pos="2354" w:val="left" w:leader="none"/>
          <w:tab w:pos="3535" w:val="left" w:leader="none"/>
          <w:tab w:pos="7724" w:val="left" w:leader="none"/>
          <w:tab w:pos="9268" w:val="left" w:leader="none"/>
        </w:tabs>
        <w:spacing w:before="134"/>
        <w:ind w:left="242" w:right="0" w:firstLine="0"/>
        <w:jc w:val="left"/>
        <w:rPr>
          <w:sz w:val="12"/>
        </w:rPr>
      </w:pPr>
      <w:r>
        <w:rPr/>
        <w:br w:type="column"/>
      </w:r>
      <w:r>
        <w:rPr>
          <w:w w:val="110"/>
          <w:sz w:val="12"/>
        </w:rPr>
        <w:t>Fascia</w:t>
        <w:tab/>
        <w:t>Subcutaneous</w:t>
        <w:tab/>
        <w:t>Subcuticular</w:t>
        <w:tab/>
        <w:t>Skin</w:t>
        <w:tab/>
        <w:t>SSI</w:t>
        <w:tab/>
      </w:r>
      <w:r>
        <w:rPr>
          <w:spacing w:val="-3"/>
          <w:w w:val="110"/>
          <w:sz w:val="12"/>
        </w:rPr>
        <w:t>Prolonged</w:t>
      </w:r>
    </w:p>
    <w:p>
      <w:pPr>
        <w:spacing w:before="134"/>
        <w:ind w:left="242" w:right="0" w:firstLine="0"/>
        <w:jc w:val="left"/>
        <w:rPr>
          <w:sz w:val="12"/>
        </w:rPr>
      </w:pPr>
      <w:r>
        <w:rPr/>
        <w:br w:type="column"/>
      </w:r>
      <w:r>
        <w:rPr>
          <w:w w:val="110"/>
          <w:sz w:val="12"/>
        </w:rPr>
        <w:t>Wound</w:t>
      </w:r>
    </w:p>
    <w:p>
      <w:pPr>
        <w:spacing w:after="0"/>
        <w:jc w:val="left"/>
        <w:rPr>
          <w:sz w:val="12"/>
        </w:rPr>
        <w:sectPr>
          <w:type w:val="continuous"/>
          <w:pgSz w:w="15880" w:h="11910" w:orient="landscape"/>
          <w:pgMar w:top="840" w:bottom="360" w:left="520" w:right="1100"/>
          <w:cols w:num="3" w:equalWidth="0">
            <w:col w:w="3146" w:space="40"/>
            <w:col w:w="9885" w:space="39"/>
            <w:col w:w="1150"/>
          </w:cols>
        </w:sectPr>
      </w:pPr>
    </w:p>
    <w:tbl>
      <w:tblPr>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24"/>
        <w:gridCol w:w="1000"/>
        <w:gridCol w:w="298"/>
        <w:gridCol w:w="300"/>
        <w:gridCol w:w="242"/>
        <w:gridCol w:w="405"/>
        <w:gridCol w:w="622"/>
        <w:gridCol w:w="243"/>
        <w:gridCol w:w="383"/>
        <w:gridCol w:w="554"/>
        <w:gridCol w:w="242"/>
        <w:gridCol w:w="297"/>
        <w:gridCol w:w="424"/>
        <w:gridCol w:w="672"/>
        <w:gridCol w:w="483"/>
        <w:gridCol w:w="712"/>
        <w:gridCol w:w="894"/>
        <w:gridCol w:w="466"/>
        <w:gridCol w:w="243"/>
        <w:gridCol w:w="505"/>
        <w:gridCol w:w="797"/>
        <w:gridCol w:w="943"/>
        <w:gridCol w:w="985"/>
      </w:tblGrid>
      <w:tr>
        <w:trPr>
          <w:trHeight w:val="419" w:hRule="atLeast"/>
        </w:trPr>
        <w:tc>
          <w:tcPr>
            <w:tcW w:w="1924" w:type="dxa"/>
            <w:tcBorders>
              <w:bottom w:val="single" w:sz="6" w:space="0" w:color="000000"/>
            </w:tcBorders>
          </w:tcPr>
          <w:p>
            <w:pPr>
              <w:pStyle w:val="TableParagraph"/>
              <w:rPr>
                <w:rFonts w:ascii="Times New Roman"/>
                <w:sz w:val="12"/>
              </w:rPr>
            </w:pPr>
          </w:p>
        </w:tc>
        <w:tc>
          <w:tcPr>
            <w:tcW w:w="1000" w:type="dxa"/>
            <w:tcBorders>
              <w:bottom w:val="single" w:sz="6" w:space="0" w:color="000000"/>
            </w:tcBorders>
          </w:tcPr>
          <w:p>
            <w:pPr>
              <w:pStyle w:val="TableParagraph"/>
              <w:spacing w:line="143" w:lineRule="exact"/>
              <w:ind w:left="273"/>
              <w:rPr>
                <w:sz w:val="12"/>
              </w:rPr>
            </w:pPr>
            <w:r>
              <w:rPr>
                <w:w w:val="115"/>
                <w:sz w:val="12"/>
              </w:rPr>
              <w:t>size</w:t>
            </w:r>
          </w:p>
        </w:tc>
        <w:tc>
          <w:tcPr>
            <w:tcW w:w="298" w:type="dxa"/>
            <w:tcBorders>
              <w:top w:val="single" w:sz="6" w:space="0" w:color="000000"/>
              <w:bottom w:val="single" w:sz="6" w:space="0" w:color="000000"/>
            </w:tcBorders>
          </w:tcPr>
          <w:p>
            <w:pPr>
              <w:pStyle w:val="TableParagraph"/>
              <w:spacing w:before="86"/>
              <w:rPr>
                <w:sz w:val="12"/>
              </w:rPr>
            </w:pPr>
            <w:r>
              <w:rPr>
                <w:w w:val="105"/>
                <w:sz w:val="12"/>
              </w:rPr>
              <w:t>TS</w:t>
            </w:r>
          </w:p>
        </w:tc>
        <w:tc>
          <w:tcPr>
            <w:tcW w:w="300" w:type="dxa"/>
            <w:tcBorders>
              <w:top w:val="single" w:sz="6" w:space="0" w:color="000000"/>
              <w:bottom w:val="single" w:sz="6" w:space="0" w:color="000000"/>
            </w:tcBorders>
          </w:tcPr>
          <w:p>
            <w:pPr>
              <w:pStyle w:val="TableParagraph"/>
              <w:spacing w:before="86"/>
              <w:ind w:left="154" w:right="-15"/>
              <w:rPr>
                <w:sz w:val="12"/>
              </w:rPr>
            </w:pPr>
            <w:r>
              <w:rPr>
                <w:w w:val="110"/>
                <w:sz w:val="12"/>
              </w:rPr>
              <w:t>BS</w:t>
            </w:r>
          </w:p>
        </w:tc>
        <w:tc>
          <w:tcPr>
            <w:tcW w:w="242" w:type="dxa"/>
            <w:tcBorders>
              <w:bottom w:val="single" w:sz="6" w:space="0" w:color="000000"/>
            </w:tcBorders>
          </w:tcPr>
          <w:p>
            <w:pPr>
              <w:pStyle w:val="TableParagraph"/>
              <w:rPr>
                <w:rFonts w:ascii="Times New Roman"/>
                <w:sz w:val="12"/>
              </w:rPr>
            </w:pPr>
          </w:p>
        </w:tc>
        <w:tc>
          <w:tcPr>
            <w:tcW w:w="405" w:type="dxa"/>
            <w:tcBorders>
              <w:top w:val="single" w:sz="6" w:space="0" w:color="000000"/>
              <w:bottom w:val="single" w:sz="6" w:space="0" w:color="000000"/>
            </w:tcBorders>
          </w:tcPr>
          <w:p>
            <w:pPr>
              <w:pStyle w:val="TableParagraph"/>
              <w:spacing w:before="86"/>
              <w:ind w:left="2"/>
              <w:rPr>
                <w:sz w:val="12"/>
              </w:rPr>
            </w:pPr>
            <w:r>
              <w:rPr>
                <w:w w:val="105"/>
                <w:sz w:val="12"/>
              </w:rPr>
              <w:t>TS</w:t>
            </w:r>
          </w:p>
        </w:tc>
        <w:tc>
          <w:tcPr>
            <w:tcW w:w="622" w:type="dxa"/>
            <w:tcBorders>
              <w:top w:val="single" w:sz="6" w:space="0" w:color="000000"/>
              <w:bottom w:val="single" w:sz="6" w:space="0" w:color="000000"/>
            </w:tcBorders>
          </w:tcPr>
          <w:p>
            <w:pPr>
              <w:pStyle w:val="TableParagraph"/>
              <w:spacing w:before="86"/>
              <w:ind w:left="242" w:right="190"/>
              <w:jc w:val="center"/>
              <w:rPr>
                <w:sz w:val="12"/>
              </w:rPr>
            </w:pPr>
            <w:r>
              <w:rPr>
                <w:w w:val="110"/>
                <w:sz w:val="12"/>
              </w:rPr>
              <w:t>BS</w:t>
            </w:r>
          </w:p>
        </w:tc>
        <w:tc>
          <w:tcPr>
            <w:tcW w:w="243" w:type="dxa"/>
            <w:tcBorders>
              <w:bottom w:val="single" w:sz="6" w:space="0" w:color="000000"/>
            </w:tcBorders>
          </w:tcPr>
          <w:p>
            <w:pPr>
              <w:pStyle w:val="TableParagraph"/>
              <w:rPr>
                <w:rFonts w:ascii="Times New Roman"/>
                <w:sz w:val="12"/>
              </w:rPr>
            </w:pPr>
          </w:p>
        </w:tc>
        <w:tc>
          <w:tcPr>
            <w:tcW w:w="383" w:type="dxa"/>
            <w:tcBorders>
              <w:top w:val="single" w:sz="6" w:space="0" w:color="000000"/>
              <w:bottom w:val="single" w:sz="6" w:space="0" w:color="000000"/>
            </w:tcBorders>
          </w:tcPr>
          <w:p>
            <w:pPr>
              <w:pStyle w:val="TableParagraph"/>
              <w:spacing w:before="86"/>
              <w:ind w:left="2"/>
              <w:rPr>
                <w:sz w:val="12"/>
              </w:rPr>
            </w:pPr>
            <w:r>
              <w:rPr>
                <w:w w:val="105"/>
                <w:sz w:val="12"/>
              </w:rPr>
              <w:t>TS</w:t>
            </w:r>
          </w:p>
        </w:tc>
        <w:tc>
          <w:tcPr>
            <w:tcW w:w="554" w:type="dxa"/>
            <w:tcBorders>
              <w:top w:val="single" w:sz="6" w:space="0" w:color="000000"/>
              <w:bottom w:val="single" w:sz="6" w:space="0" w:color="000000"/>
            </w:tcBorders>
          </w:tcPr>
          <w:p>
            <w:pPr>
              <w:pStyle w:val="TableParagraph"/>
              <w:spacing w:before="86"/>
              <w:ind w:left="240"/>
              <w:rPr>
                <w:sz w:val="12"/>
              </w:rPr>
            </w:pPr>
            <w:r>
              <w:rPr>
                <w:w w:val="110"/>
                <w:sz w:val="12"/>
              </w:rPr>
              <w:t>BS</w:t>
            </w:r>
          </w:p>
        </w:tc>
        <w:tc>
          <w:tcPr>
            <w:tcW w:w="242" w:type="dxa"/>
            <w:tcBorders>
              <w:bottom w:val="single" w:sz="6" w:space="0" w:color="000000"/>
            </w:tcBorders>
          </w:tcPr>
          <w:p>
            <w:pPr>
              <w:pStyle w:val="TableParagraph"/>
              <w:rPr>
                <w:rFonts w:ascii="Times New Roman"/>
                <w:sz w:val="12"/>
              </w:rPr>
            </w:pPr>
          </w:p>
        </w:tc>
        <w:tc>
          <w:tcPr>
            <w:tcW w:w="297" w:type="dxa"/>
            <w:tcBorders>
              <w:top w:val="single" w:sz="6" w:space="0" w:color="000000"/>
              <w:bottom w:val="single" w:sz="6" w:space="0" w:color="000000"/>
            </w:tcBorders>
          </w:tcPr>
          <w:p>
            <w:pPr>
              <w:pStyle w:val="TableParagraph"/>
              <w:spacing w:before="86"/>
              <w:ind w:left="3"/>
              <w:rPr>
                <w:sz w:val="12"/>
              </w:rPr>
            </w:pPr>
            <w:r>
              <w:rPr>
                <w:w w:val="105"/>
                <w:sz w:val="12"/>
              </w:rPr>
              <w:t>TS</w:t>
            </w:r>
          </w:p>
        </w:tc>
        <w:tc>
          <w:tcPr>
            <w:tcW w:w="424" w:type="dxa"/>
            <w:tcBorders>
              <w:top w:val="single" w:sz="6" w:space="0" w:color="000000"/>
              <w:bottom w:val="single" w:sz="6" w:space="0" w:color="000000"/>
            </w:tcBorders>
          </w:tcPr>
          <w:p>
            <w:pPr>
              <w:pStyle w:val="TableParagraph"/>
              <w:spacing w:before="86"/>
              <w:ind w:left="159"/>
              <w:rPr>
                <w:sz w:val="12"/>
              </w:rPr>
            </w:pPr>
            <w:r>
              <w:rPr>
                <w:w w:val="110"/>
                <w:sz w:val="12"/>
              </w:rPr>
              <w:t>BS</w:t>
            </w:r>
          </w:p>
        </w:tc>
        <w:tc>
          <w:tcPr>
            <w:tcW w:w="672" w:type="dxa"/>
            <w:tcBorders>
              <w:top w:val="single" w:sz="6" w:space="0" w:color="000000"/>
              <w:bottom w:val="single" w:sz="6" w:space="0" w:color="000000"/>
            </w:tcBorders>
          </w:tcPr>
          <w:p>
            <w:pPr>
              <w:pStyle w:val="TableParagraph"/>
              <w:spacing w:before="86"/>
              <w:ind w:left="125"/>
              <w:rPr>
                <w:sz w:val="12"/>
              </w:rPr>
            </w:pPr>
            <w:r>
              <w:rPr>
                <w:w w:val="115"/>
                <w:sz w:val="12"/>
              </w:rPr>
              <w:t>Staples</w:t>
            </w:r>
          </w:p>
        </w:tc>
        <w:tc>
          <w:tcPr>
            <w:tcW w:w="483" w:type="dxa"/>
            <w:tcBorders>
              <w:top w:val="single" w:sz="6" w:space="0" w:color="000000"/>
              <w:bottom w:val="single" w:sz="6" w:space="0" w:color="000000"/>
            </w:tcBorders>
          </w:tcPr>
          <w:p>
            <w:pPr>
              <w:pStyle w:val="TableParagraph"/>
              <w:spacing w:before="86"/>
              <w:ind w:left="125"/>
              <w:rPr>
                <w:sz w:val="12"/>
              </w:rPr>
            </w:pPr>
            <w:r>
              <w:rPr>
                <w:sz w:val="12"/>
              </w:rPr>
              <w:t>TSA</w:t>
            </w:r>
          </w:p>
        </w:tc>
        <w:tc>
          <w:tcPr>
            <w:tcW w:w="712" w:type="dxa"/>
            <w:tcBorders>
              <w:top w:val="single" w:sz="6" w:space="0" w:color="000000"/>
              <w:bottom w:val="single" w:sz="6" w:space="0" w:color="000000"/>
            </w:tcBorders>
          </w:tcPr>
          <w:p>
            <w:pPr>
              <w:pStyle w:val="TableParagraph"/>
              <w:spacing w:before="86"/>
              <w:ind w:left="135"/>
              <w:rPr>
                <w:sz w:val="12"/>
              </w:rPr>
            </w:pPr>
            <w:r>
              <w:rPr>
                <w:sz w:val="12"/>
              </w:rPr>
              <w:t>TSA/</w:t>
            </w:r>
          </w:p>
          <w:p>
            <w:pPr>
              <w:pStyle w:val="TableParagraph"/>
              <w:spacing w:line="142" w:lineRule="exact" w:before="22"/>
              <w:ind w:left="135"/>
              <w:rPr>
                <w:sz w:val="12"/>
              </w:rPr>
            </w:pPr>
            <w:r>
              <w:rPr>
                <w:w w:val="115"/>
                <w:sz w:val="12"/>
              </w:rPr>
              <w:t>Mesh</w:t>
            </w:r>
          </w:p>
        </w:tc>
        <w:tc>
          <w:tcPr>
            <w:tcW w:w="894" w:type="dxa"/>
            <w:tcBorders>
              <w:top w:val="single" w:sz="6" w:space="0" w:color="000000"/>
              <w:bottom w:val="single" w:sz="6" w:space="0" w:color="000000"/>
            </w:tcBorders>
          </w:tcPr>
          <w:p>
            <w:pPr>
              <w:pStyle w:val="TableParagraph"/>
              <w:spacing w:before="86"/>
              <w:ind w:left="252"/>
              <w:rPr>
                <w:sz w:val="12"/>
              </w:rPr>
            </w:pPr>
            <w:r>
              <w:rPr>
                <w:w w:val="110"/>
                <w:sz w:val="12"/>
              </w:rPr>
              <w:t>Dressing</w:t>
            </w:r>
          </w:p>
        </w:tc>
        <w:tc>
          <w:tcPr>
            <w:tcW w:w="466" w:type="dxa"/>
            <w:tcBorders>
              <w:top w:val="single" w:sz="6" w:space="0" w:color="000000"/>
              <w:bottom w:val="single" w:sz="6" w:space="0" w:color="000000"/>
            </w:tcBorders>
          </w:tcPr>
          <w:p>
            <w:pPr>
              <w:pStyle w:val="TableParagraph"/>
              <w:spacing w:before="86"/>
              <w:ind w:left="124" w:right="-15"/>
              <w:rPr>
                <w:sz w:val="12"/>
              </w:rPr>
            </w:pPr>
            <w:r>
              <w:rPr>
                <w:w w:val="110"/>
                <w:sz w:val="12"/>
              </w:rPr>
              <w:t>Other</w:t>
            </w:r>
          </w:p>
        </w:tc>
        <w:tc>
          <w:tcPr>
            <w:tcW w:w="243" w:type="dxa"/>
            <w:tcBorders>
              <w:bottom w:val="single" w:sz="6" w:space="0" w:color="000000"/>
            </w:tcBorders>
          </w:tcPr>
          <w:p>
            <w:pPr>
              <w:pStyle w:val="TableParagraph"/>
              <w:rPr>
                <w:rFonts w:ascii="Times New Roman"/>
                <w:sz w:val="12"/>
              </w:rPr>
            </w:pPr>
          </w:p>
        </w:tc>
        <w:tc>
          <w:tcPr>
            <w:tcW w:w="505" w:type="dxa"/>
            <w:tcBorders>
              <w:top w:val="single" w:sz="6" w:space="0" w:color="000000"/>
              <w:bottom w:val="single" w:sz="6" w:space="0" w:color="000000"/>
            </w:tcBorders>
          </w:tcPr>
          <w:p>
            <w:pPr>
              <w:pStyle w:val="TableParagraph"/>
              <w:spacing w:before="86"/>
              <w:ind w:right="190"/>
              <w:jc w:val="right"/>
              <w:rPr>
                <w:sz w:val="12"/>
              </w:rPr>
            </w:pPr>
            <w:r>
              <w:rPr>
                <w:w w:val="110"/>
                <w:sz w:val="12"/>
              </w:rPr>
              <w:t>Deep</w:t>
            </w:r>
          </w:p>
        </w:tc>
        <w:tc>
          <w:tcPr>
            <w:tcW w:w="797" w:type="dxa"/>
            <w:tcBorders>
              <w:top w:val="single" w:sz="6" w:space="0" w:color="000000"/>
              <w:bottom w:val="single" w:sz="6" w:space="0" w:color="000000"/>
            </w:tcBorders>
          </w:tcPr>
          <w:p>
            <w:pPr>
              <w:pStyle w:val="TableParagraph"/>
              <w:spacing w:before="86"/>
              <w:ind w:left="161" w:right="-15"/>
              <w:rPr>
                <w:sz w:val="12"/>
              </w:rPr>
            </w:pPr>
            <w:r>
              <w:rPr>
                <w:w w:val="110"/>
                <w:sz w:val="12"/>
              </w:rPr>
              <w:t>Super</w:t>
            </w:r>
            <w:r>
              <w:rPr>
                <w:rFonts w:ascii="Times New Roman" w:hAnsi="Times New Roman"/>
                <w:w w:val="110"/>
                <w:sz w:val="12"/>
              </w:rPr>
              <w:t>ﬁ</w:t>
            </w:r>
            <w:r>
              <w:rPr>
                <w:w w:val="110"/>
                <w:sz w:val="12"/>
              </w:rPr>
              <w:t>cial</w:t>
            </w:r>
          </w:p>
        </w:tc>
        <w:tc>
          <w:tcPr>
            <w:tcW w:w="943" w:type="dxa"/>
            <w:tcBorders>
              <w:bottom w:val="single" w:sz="6" w:space="0" w:color="000000"/>
            </w:tcBorders>
          </w:tcPr>
          <w:p>
            <w:pPr>
              <w:pStyle w:val="TableParagraph"/>
              <w:spacing w:line="143" w:lineRule="exact"/>
              <w:ind w:left="229" w:right="156"/>
              <w:jc w:val="center"/>
              <w:rPr>
                <w:sz w:val="12"/>
              </w:rPr>
            </w:pPr>
            <w:r>
              <w:rPr>
                <w:w w:val="110"/>
                <w:sz w:val="12"/>
              </w:rPr>
              <w:t>drainage</w:t>
            </w:r>
          </w:p>
        </w:tc>
        <w:tc>
          <w:tcPr>
            <w:tcW w:w="985" w:type="dxa"/>
            <w:tcBorders>
              <w:bottom w:val="single" w:sz="6" w:space="0" w:color="000000"/>
            </w:tcBorders>
          </w:tcPr>
          <w:p>
            <w:pPr>
              <w:pStyle w:val="TableParagraph"/>
              <w:spacing w:line="143" w:lineRule="exact"/>
              <w:ind w:left="199"/>
              <w:rPr>
                <w:sz w:val="12"/>
              </w:rPr>
            </w:pPr>
            <w:r>
              <w:rPr>
                <w:w w:val="115"/>
                <w:sz w:val="12"/>
              </w:rPr>
              <w:t>dehiscence</w:t>
            </w:r>
          </w:p>
        </w:tc>
      </w:tr>
      <w:tr>
        <w:trPr>
          <w:trHeight w:val="210" w:hRule="atLeast"/>
        </w:trPr>
        <w:tc>
          <w:tcPr>
            <w:tcW w:w="1924" w:type="dxa"/>
            <w:tcBorders>
              <w:top w:val="single" w:sz="6" w:space="0" w:color="000000"/>
            </w:tcBorders>
          </w:tcPr>
          <w:p>
            <w:pPr>
              <w:pStyle w:val="TableParagraph"/>
              <w:spacing w:line="104" w:lineRule="exact" w:before="86"/>
              <w:ind w:left="119"/>
              <w:rPr>
                <w:sz w:val="12"/>
              </w:rPr>
            </w:pPr>
            <w:r>
              <w:rPr>
                <w:w w:val="115"/>
                <w:sz w:val="12"/>
              </w:rPr>
              <w:t>Khan et al., 2006 [</w:t>
            </w:r>
            <w:hyperlink w:history="true" w:anchor="_bookmark31">
              <w:r>
                <w:rPr>
                  <w:color w:val="007FAC"/>
                  <w:w w:val="115"/>
                  <w:sz w:val="12"/>
                </w:rPr>
                <w:t>20</w:t>
              </w:r>
            </w:hyperlink>
            <w:r>
              <w:rPr>
                <w:w w:val="115"/>
                <w:sz w:val="12"/>
              </w:rPr>
              <w:t>]</w:t>
            </w:r>
            <w:r>
              <w:rPr>
                <w:w w:val="115"/>
                <w:sz w:val="12"/>
                <w:vertAlign w:val="superscript"/>
              </w:rPr>
              <w:t>,</w:t>
            </w:r>
            <w:hyperlink w:history="true" w:anchor="_bookmark98">
              <w:r>
                <w:rPr>
                  <w:color w:val="007FAC"/>
                  <w:w w:val="115"/>
                  <w:sz w:val="12"/>
                  <w:vertAlign w:val="superscript"/>
                </w:rPr>
                <w:t>a</w:t>
              </w:r>
            </w:hyperlink>
          </w:p>
        </w:tc>
        <w:tc>
          <w:tcPr>
            <w:tcW w:w="1000" w:type="dxa"/>
            <w:tcBorders>
              <w:top w:val="single" w:sz="6" w:space="0" w:color="000000"/>
            </w:tcBorders>
          </w:tcPr>
          <w:p>
            <w:pPr>
              <w:pStyle w:val="TableParagraph"/>
              <w:spacing w:line="104" w:lineRule="exact" w:before="86"/>
              <w:ind w:right="420"/>
              <w:jc w:val="right"/>
              <w:rPr>
                <w:sz w:val="12"/>
              </w:rPr>
            </w:pPr>
            <w:r>
              <w:rPr>
                <w:w w:val="125"/>
                <w:sz w:val="12"/>
              </w:rPr>
              <w:t>27</w:t>
            </w:r>
          </w:p>
        </w:tc>
        <w:tc>
          <w:tcPr>
            <w:tcW w:w="298" w:type="dxa"/>
            <w:tcBorders>
              <w:top w:val="single" w:sz="6" w:space="0" w:color="000000"/>
            </w:tcBorders>
          </w:tcPr>
          <w:p>
            <w:pPr>
              <w:pStyle w:val="TableParagraph"/>
              <w:spacing w:line="105" w:lineRule="exact" w:before="85"/>
              <w:rPr>
                <w:rFonts w:ascii="Lucida Sans"/>
                <w:sz w:val="12"/>
              </w:rPr>
            </w:pPr>
            <w:r>
              <w:rPr>
                <w:rFonts w:ascii="Lucida Sans"/>
                <w:w w:val="174"/>
                <w:sz w:val="12"/>
              </w:rPr>
              <w:t>C</w:t>
            </w:r>
          </w:p>
        </w:tc>
        <w:tc>
          <w:tcPr>
            <w:tcW w:w="300" w:type="dxa"/>
            <w:tcBorders>
              <w:top w:val="single" w:sz="6" w:space="0" w:color="000000"/>
            </w:tcBorders>
          </w:tcPr>
          <w:p>
            <w:pPr>
              <w:pStyle w:val="TableParagraph"/>
              <w:rPr>
                <w:rFonts w:ascii="Times New Roman"/>
                <w:sz w:val="12"/>
              </w:rPr>
            </w:pPr>
          </w:p>
        </w:tc>
        <w:tc>
          <w:tcPr>
            <w:tcW w:w="242" w:type="dxa"/>
            <w:tcBorders>
              <w:top w:val="single" w:sz="6" w:space="0" w:color="000000"/>
            </w:tcBorders>
          </w:tcPr>
          <w:p>
            <w:pPr>
              <w:pStyle w:val="TableParagraph"/>
              <w:rPr>
                <w:rFonts w:ascii="Times New Roman"/>
                <w:sz w:val="12"/>
              </w:rPr>
            </w:pPr>
          </w:p>
        </w:tc>
        <w:tc>
          <w:tcPr>
            <w:tcW w:w="405" w:type="dxa"/>
            <w:tcBorders>
              <w:top w:val="single" w:sz="6" w:space="0" w:color="000000"/>
            </w:tcBorders>
          </w:tcPr>
          <w:p>
            <w:pPr>
              <w:pStyle w:val="TableParagraph"/>
              <w:spacing w:line="105" w:lineRule="exact" w:before="85"/>
              <w:ind w:left="2"/>
              <w:rPr>
                <w:rFonts w:ascii="Lucida Sans"/>
                <w:sz w:val="12"/>
              </w:rPr>
            </w:pPr>
            <w:r>
              <w:rPr>
                <w:rFonts w:ascii="Lucida Sans"/>
                <w:w w:val="174"/>
                <w:sz w:val="12"/>
              </w:rPr>
              <w:t>C</w:t>
            </w:r>
          </w:p>
        </w:tc>
        <w:tc>
          <w:tcPr>
            <w:tcW w:w="622" w:type="dxa"/>
            <w:tcBorders>
              <w:top w:val="single" w:sz="6" w:space="0" w:color="000000"/>
            </w:tcBorders>
          </w:tcPr>
          <w:p>
            <w:pPr>
              <w:pStyle w:val="TableParagraph"/>
              <w:rPr>
                <w:rFonts w:ascii="Times New Roman"/>
                <w:sz w:val="12"/>
              </w:rPr>
            </w:pPr>
          </w:p>
        </w:tc>
        <w:tc>
          <w:tcPr>
            <w:tcW w:w="243" w:type="dxa"/>
            <w:tcBorders>
              <w:top w:val="single" w:sz="6" w:space="0" w:color="000000"/>
            </w:tcBorders>
          </w:tcPr>
          <w:p>
            <w:pPr>
              <w:pStyle w:val="TableParagraph"/>
              <w:rPr>
                <w:rFonts w:ascii="Times New Roman"/>
                <w:sz w:val="12"/>
              </w:rPr>
            </w:pPr>
          </w:p>
        </w:tc>
        <w:tc>
          <w:tcPr>
            <w:tcW w:w="383" w:type="dxa"/>
            <w:tcBorders>
              <w:top w:val="single" w:sz="6" w:space="0" w:color="000000"/>
            </w:tcBorders>
          </w:tcPr>
          <w:p>
            <w:pPr>
              <w:pStyle w:val="TableParagraph"/>
              <w:rPr>
                <w:rFonts w:ascii="Times New Roman"/>
                <w:sz w:val="12"/>
              </w:rPr>
            </w:pPr>
          </w:p>
        </w:tc>
        <w:tc>
          <w:tcPr>
            <w:tcW w:w="554" w:type="dxa"/>
            <w:tcBorders>
              <w:top w:val="single" w:sz="6" w:space="0" w:color="000000"/>
            </w:tcBorders>
          </w:tcPr>
          <w:p>
            <w:pPr>
              <w:pStyle w:val="TableParagraph"/>
              <w:rPr>
                <w:rFonts w:ascii="Times New Roman"/>
                <w:sz w:val="12"/>
              </w:rPr>
            </w:pPr>
          </w:p>
        </w:tc>
        <w:tc>
          <w:tcPr>
            <w:tcW w:w="242" w:type="dxa"/>
            <w:tcBorders>
              <w:top w:val="single" w:sz="6" w:space="0" w:color="000000"/>
            </w:tcBorders>
          </w:tcPr>
          <w:p>
            <w:pPr>
              <w:pStyle w:val="TableParagraph"/>
              <w:rPr>
                <w:rFonts w:ascii="Times New Roman"/>
                <w:sz w:val="12"/>
              </w:rPr>
            </w:pPr>
          </w:p>
        </w:tc>
        <w:tc>
          <w:tcPr>
            <w:tcW w:w="297" w:type="dxa"/>
            <w:tcBorders>
              <w:top w:val="single" w:sz="6" w:space="0" w:color="000000"/>
            </w:tcBorders>
          </w:tcPr>
          <w:p>
            <w:pPr>
              <w:pStyle w:val="TableParagraph"/>
              <w:rPr>
                <w:rFonts w:ascii="Times New Roman"/>
                <w:sz w:val="12"/>
              </w:rPr>
            </w:pPr>
          </w:p>
        </w:tc>
        <w:tc>
          <w:tcPr>
            <w:tcW w:w="424" w:type="dxa"/>
            <w:tcBorders>
              <w:top w:val="single" w:sz="6" w:space="0" w:color="000000"/>
            </w:tcBorders>
          </w:tcPr>
          <w:p>
            <w:pPr>
              <w:pStyle w:val="TableParagraph"/>
              <w:rPr>
                <w:rFonts w:ascii="Times New Roman"/>
                <w:sz w:val="12"/>
              </w:rPr>
            </w:pPr>
          </w:p>
        </w:tc>
        <w:tc>
          <w:tcPr>
            <w:tcW w:w="672" w:type="dxa"/>
            <w:tcBorders>
              <w:top w:val="single" w:sz="6" w:space="0" w:color="000000"/>
            </w:tcBorders>
          </w:tcPr>
          <w:p>
            <w:pPr>
              <w:pStyle w:val="TableParagraph"/>
              <w:spacing w:line="105" w:lineRule="exact" w:before="85"/>
              <w:ind w:left="125"/>
              <w:rPr>
                <w:rFonts w:ascii="Lucida Sans"/>
                <w:sz w:val="12"/>
              </w:rPr>
            </w:pPr>
            <w:r>
              <w:rPr>
                <w:rFonts w:ascii="Lucida Sans"/>
                <w:w w:val="174"/>
                <w:sz w:val="12"/>
              </w:rPr>
              <w:t>C</w:t>
            </w:r>
          </w:p>
        </w:tc>
        <w:tc>
          <w:tcPr>
            <w:tcW w:w="483" w:type="dxa"/>
            <w:tcBorders>
              <w:top w:val="single" w:sz="6" w:space="0" w:color="000000"/>
            </w:tcBorders>
          </w:tcPr>
          <w:p>
            <w:pPr>
              <w:pStyle w:val="TableParagraph"/>
              <w:rPr>
                <w:rFonts w:ascii="Times New Roman"/>
                <w:sz w:val="12"/>
              </w:rPr>
            </w:pPr>
          </w:p>
        </w:tc>
        <w:tc>
          <w:tcPr>
            <w:tcW w:w="712" w:type="dxa"/>
            <w:tcBorders>
              <w:top w:val="single" w:sz="6" w:space="0" w:color="000000"/>
            </w:tcBorders>
          </w:tcPr>
          <w:p>
            <w:pPr>
              <w:pStyle w:val="TableParagraph"/>
              <w:rPr>
                <w:rFonts w:ascii="Times New Roman"/>
                <w:sz w:val="12"/>
              </w:rPr>
            </w:pPr>
          </w:p>
        </w:tc>
        <w:tc>
          <w:tcPr>
            <w:tcW w:w="894" w:type="dxa"/>
            <w:tcBorders>
              <w:top w:val="single" w:sz="6" w:space="0" w:color="000000"/>
            </w:tcBorders>
          </w:tcPr>
          <w:p>
            <w:pPr>
              <w:pStyle w:val="TableParagraph"/>
              <w:spacing w:line="105" w:lineRule="exact" w:before="85"/>
              <w:ind w:left="252"/>
              <w:rPr>
                <w:rFonts w:ascii="Lucida Sans"/>
                <w:sz w:val="12"/>
              </w:rPr>
            </w:pPr>
            <w:r>
              <w:rPr>
                <w:rFonts w:ascii="Lucida Sans"/>
                <w:w w:val="174"/>
                <w:sz w:val="12"/>
              </w:rPr>
              <w:t>C</w:t>
            </w:r>
          </w:p>
        </w:tc>
        <w:tc>
          <w:tcPr>
            <w:tcW w:w="466" w:type="dxa"/>
            <w:tcBorders>
              <w:top w:val="single" w:sz="6" w:space="0" w:color="000000"/>
            </w:tcBorders>
          </w:tcPr>
          <w:p>
            <w:pPr>
              <w:pStyle w:val="TableParagraph"/>
              <w:rPr>
                <w:rFonts w:ascii="Times New Roman"/>
                <w:sz w:val="12"/>
              </w:rPr>
            </w:pPr>
          </w:p>
        </w:tc>
        <w:tc>
          <w:tcPr>
            <w:tcW w:w="243" w:type="dxa"/>
            <w:tcBorders>
              <w:top w:val="single" w:sz="6" w:space="0" w:color="000000"/>
            </w:tcBorders>
          </w:tcPr>
          <w:p>
            <w:pPr>
              <w:pStyle w:val="TableParagraph"/>
              <w:rPr>
                <w:rFonts w:ascii="Times New Roman"/>
                <w:sz w:val="12"/>
              </w:rPr>
            </w:pPr>
          </w:p>
        </w:tc>
        <w:tc>
          <w:tcPr>
            <w:tcW w:w="505" w:type="dxa"/>
            <w:tcBorders>
              <w:top w:val="single" w:sz="6" w:space="0" w:color="000000"/>
            </w:tcBorders>
          </w:tcPr>
          <w:p>
            <w:pPr>
              <w:pStyle w:val="TableParagraph"/>
              <w:spacing w:line="104" w:lineRule="exact" w:before="86"/>
              <w:ind w:right="155"/>
              <w:jc w:val="right"/>
              <w:rPr>
                <w:sz w:val="12"/>
              </w:rPr>
            </w:pPr>
            <w:r>
              <w:rPr>
                <w:w w:val="105"/>
                <w:sz w:val="12"/>
              </w:rPr>
              <w:t>0.0%</w:t>
            </w:r>
          </w:p>
        </w:tc>
        <w:tc>
          <w:tcPr>
            <w:tcW w:w="797" w:type="dxa"/>
            <w:tcBorders>
              <w:top w:val="single" w:sz="6" w:space="0" w:color="000000"/>
            </w:tcBorders>
          </w:tcPr>
          <w:p>
            <w:pPr>
              <w:pStyle w:val="TableParagraph"/>
              <w:spacing w:line="104" w:lineRule="exact" w:before="86"/>
              <w:ind w:left="167"/>
              <w:rPr>
                <w:sz w:val="12"/>
              </w:rPr>
            </w:pPr>
            <w:r>
              <w:rPr>
                <w:w w:val="115"/>
                <w:sz w:val="12"/>
              </w:rPr>
              <w:t>14.8%</w:t>
            </w:r>
          </w:p>
        </w:tc>
        <w:tc>
          <w:tcPr>
            <w:tcW w:w="943" w:type="dxa"/>
            <w:tcBorders>
              <w:top w:val="single" w:sz="6" w:space="0" w:color="000000"/>
            </w:tcBorders>
          </w:tcPr>
          <w:p>
            <w:pPr>
              <w:pStyle w:val="TableParagraph"/>
              <w:spacing w:line="104" w:lineRule="exact" w:before="86"/>
              <w:ind w:left="205" w:right="156"/>
              <w:jc w:val="center"/>
              <w:rPr>
                <w:sz w:val="12"/>
              </w:rPr>
            </w:pPr>
            <w:r>
              <w:rPr>
                <w:w w:val="110"/>
                <w:sz w:val="12"/>
              </w:rPr>
              <w:t>22.2%</w:t>
            </w:r>
          </w:p>
        </w:tc>
        <w:tc>
          <w:tcPr>
            <w:tcW w:w="985" w:type="dxa"/>
            <w:tcBorders>
              <w:top w:val="single" w:sz="6" w:space="0" w:color="000000"/>
            </w:tcBorders>
          </w:tcPr>
          <w:p>
            <w:pPr>
              <w:pStyle w:val="TableParagraph"/>
              <w:spacing w:line="104" w:lineRule="exact" w:before="86"/>
              <w:ind w:left="281"/>
              <w:rPr>
                <w:sz w:val="12"/>
              </w:rPr>
            </w:pPr>
            <w:r>
              <w:rPr>
                <w:w w:val="105"/>
                <w:sz w:val="12"/>
              </w:rPr>
              <w:t>0.0%</w:t>
            </w:r>
          </w:p>
        </w:tc>
      </w:tr>
      <w:tr>
        <w:trPr>
          <w:trHeight w:val="176" w:hRule="atLeast"/>
        </w:trPr>
        <w:tc>
          <w:tcPr>
            <w:tcW w:w="1924" w:type="dxa"/>
          </w:tcPr>
          <w:p>
            <w:pPr>
              <w:pStyle w:val="TableParagraph"/>
              <w:rPr>
                <w:rFonts w:ascii="Times New Roman"/>
                <w:sz w:val="10"/>
              </w:rPr>
            </w:pPr>
          </w:p>
        </w:tc>
        <w:tc>
          <w:tcPr>
            <w:tcW w:w="1000" w:type="dxa"/>
          </w:tcPr>
          <w:p>
            <w:pPr>
              <w:pStyle w:val="TableParagraph"/>
              <w:spacing w:line="110" w:lineRule="exact" w:before="47"/>
              <w:ind w:right="420"/>
              <w:jc w:val="right"/>
              <w:rPr>
                <w:sz w:val="12"/>
              </w:rPr>
            </w:pPr>
            <w:r>
              <w:rPr>
                <w:w w:val="125"/>
                <w:sz w:val="12"/>
              </w:rPr>
              <w:t>27</w:t>
            </w:r>
          </w:p>
        </w:tc>
        <w:tc>
          <w:tcPr>
            <w:tcW w:w="298" w:type="dxa"/>
          </w:tcPr>
          <w:p>
            <w:pPr>
              <w:pStyle w:val="TableParagraph"/>
              <w:spacing w:line="111" w:lineRule="exact" w:before="46"/>
              <w:rPr>
                <w:rFonts w:ascii="Lucida Sans"/>
                <w:sz w:val="12"/>
              </w:rPr>
            </w:pPr>
            <w:r>
              <w:rPr>
                <w:rFonts w:ascii="Lucida Sans"/>
                <w:w w:val="174"/>
                <w:sz w:val="12"/>
              </w:rPr>
              <w:t>C</w:t>
            </w:r>
          </w:p>
        </w:tc>
        <w:tc>
          <w:tcPr>
            <w:tcW w:w="300" w:type="dxa"/>
          </w:tcPr>
          <w:p>
            <w:pPr>
              <w:pStyle w:val="TableParagraph"/>
              <w:rPr>
                <w:rFonts w:ascii="Times New Roman"/>
                <w:sz w:val="10"/>
              </w:rPr>
            </w:pPr>
          </w:p>
        </w:tc>
        <w:tc>
          <w:tcPr>
            <w:tcW w:w="242" w:type="dxa"/>
          </w:tcPr>
          <w:p>
            <w:pPr>
              <w:pStyle w:val="TableParagraph"/>
              <w:rPr>
                <w:rFonts w:ascii="Times New Roman"/>
                <w:sz w:val="10"/>
              </w:rPr>
            </w:pPr>
          </w:p>
        </w:tc>
        <w:tc>
          <w:tcPr>
            <w:tcW w:w="405" w:type="dxa"/>
          </w:tcPr>
          <w:p>
            <w:pPr>
              <w:pStyle w:val="TableParagraph"/>
              <w:spacing w:line="111" w:lineRule="exact" w:before="46"/>
              <w:ind w:left="2"/>
              <w:rPr>
                <w:rFonts w:ascii="Lucida Sans"/>
                <w:sz w:val="12"/>
              </w:rPr>
            </w:pPr>
            <w:r>
              <w:rPr>
                <w:rFonts w:ascii="Lucida Sans"/>
                <w:w w:val="174"/>
                <w:sz w:val="12"/>
              </w:rPr>
              <w:t>C</w:t>
            </w:r>
          </w:p>
        </w:tc>
        <w:tc>
          <w:tcPr>
            <w:tcW w:w="622" w:type="dxa"/>
          </w:tcPr>
          <w:p>
            <w:pPr>
              <w:pStyle w:val="TableParagraph"/>
              <w:rPr>
                <w:rFonts w:ascii="Times New Roman"/>
                <w:sz w:val="10"/>
              </w:rPr>
            </w:pPr>
          </w:p>
        </w:tc>
        <w:tc>
          <w:tcPr>
            <w:tcW w:w="243" w:type="dxa"/>
          </w:tcPr>
          <w:p>
            <w:pPr>
              <w:pStyle w:val="TableParagraph"/>
              <w:rPr>
                <w:rFonts w:ascii="Times New Roman"/>
                <w:sz w:val="10"/>
              </w:rPr>
            </w:pPr>
          </w:p>
        </w:tc>
        <w:tc>
          <w:tcPr>
            <w:tcW w:w="383" w:type="dxa"/>
          </w:tcPr>
          <w:p>
            <w:pPr>
              <w:pStyle w:val="TableParagraph"/>
              <w:spacing w:line="126" w:lineRule="exact" w:before="31"/>
              <w:ind w:left="2"/>
              <w:rPr>
                <w:rFonts w:ascii="Arial"/>
                <w:sz w:val="14"/>
              </w:rPr>
            </w:pPr>
            <w:r>
              <w:rPr>
                <w:rFonts w:ascii="Arial"/>
                <w:w w:val="97"/>
                <w:sz w:val="14"/>
              </w:rPr>
              <w:t>a</w:t>
            </w:r>
          </w:p>
        </w:tc>
        <w:tc>
          <w:tcPr>
            <w:tcW w:w="554" w:type="dxa"/>
          </w:tcPr>
          <w:p>
            <w:pPr>
              <w:pStyle w:val="TableParagraph"/>
              <w:rPr>
                <w:rFonts w:ascii="Times New Roman"/>
                <w:sz w:val="10"/>
              </w:rPr>
            </w:pPr>
          </w:p>
        </w:tc>
        <w:tc>
          <w:tcPr>
            <w:tcW w:w="242" w:type="dxa"/>
          </w:tcPr>
          <w:p>
            <w:pPr>
              <w:pStyle w:val="TableParagraph"/>
              <w:rPr>
                <w:rFonts w:ascii="Times New Roman"/>
                <w:sz w:val="10"/>
              </w:rPr>
            </w:pPr>
          </w:p>
        </w:tc>
        <w:tc>
          <w:tcPr>
            <w:tcW w:w="297" w:type="dxa"/>
          </w:tcPr>
          <w:p>
            <w:pPr>
              <w:pStyle w:val="TableParagraph"/>
              <w:rPr>
                <w:rFonts w:ascii="Times New Roman"/>
                <w:sz w:val="10"/>
              </w:rPr>
            </w:pPr>
          </w:p>
        </w:tc>
        <w:tc>
          <w:tcPr>
            <w:tcW w:w="424" w:type="dxa"/>
          </w:tcPr>
          <w:p>
            <w:pPr>
              <w:pStyle w:val="TableParagraph"/>
              <w:rPr>
                <w:rFonts w:ascii="Times New Roman"/>
                <w:sz w:val="10"/>
              </w:rPr>
            </w:pPr>
          </w:p>
        </w:tc>
        <w:tc>
          <w:tcPr>
            <w:tcW w:w="672" w:type="dxa"/>
          </w:tcPr>
          <w:p>
            <w:pPr>
              <w:pStyle w:val="TableParagraph"/>
              <w:rPr>
                <w:rFonts w:ascii="Times New Roman"/>
                <w:sz w:val="10"/>
              </w:rPr>
            </w:pPr>
          </w:p>
        </w:tc>
        <w:tc>
          <w:tcPr>
            <w:tcW w:w="483" w:type="dxa"/>
          </w:tcPr>
          <w:p>
            <w:pPr>
              <w:pStyle w:val="TableParagraph"/>
              <w:spacing w:line="110" w:lineRule="exact" w:before="47"/>
              <w:ind w:left="125"/>
              <w:rPr>
                <w:sz w:val="12"/>
              </w:rPr>
            </w:pPr>
            <w:r>
              <w:rPr>
                <w:w w:val="101"/>
                <w:sz w:val="12"/>
              </w:rPr>
              <w:t>D</w:t>
            </w:r>
          </w:p>
        </w:tc>
        <w:tc>
          <w:tcPr>
            <w:tcW w:w="712" w:type="dxa"/>
          </w:tcPr>
          <w:p>
            <w:pPr>
              <w:pStyle w:val="TableParagraph"/>
              <w:rPr>
                <w:rFonts w:ascii="Times New Roman"/>
                <w:sz w:val="10"/>
              </w:rPr>
            </w:pPr>
          </w:p>
        </w:tc>
        <w:tc>
          <w:tcPr>
            <w:tcW w:w="894" w:type="dxa"/>
          </w:tcPr>
          <w:p>
            <w:pPr>
              <w:pStyle w:val="TableParagraph"/>
              <w:spacing w:line="111" w:lineRule="exact" w:before="46"/>
              <w:ind w:left="252"/>
              <w:rPr>
                <w:rFonts w:ascii="Lucida Sans"/>
                <w:sz w:val="12"/>
              </w:rPr>
            </w:pPr>
            <w:r>
              <w:rPr>
                <w:rFonts w:ascii="Lucida Sans"/>
                <w:w w:val="174"/>
                <w:sz w:val="12"/>
              </w:rPr>
              <w:t>C</w:t>
            </w:r>
          </w:p>
        </w:tc>
        <w:tc>
          <w:tcPr>
            <w:tcW w:w="466" w:type="dxa"/>
          </w:tcPr>
          <w:p>
            <w:pPr>
              <w:pStyle w:val="TableParagraph"/>
              <w:rPr>
                <w:rFonts w:ascii="Times New Roman"/>
                <w:sz w:val="10"/>
              </w:rPr>
            </w:pPr>
          </w:p>
        </w:tc>
        <w:tc>
          <w:tcPr>
            <w:tcW w:w="243" w:type="dxa"/>
          </w:tcPr>
          <w:p>
            <w:pPr>
              <w:pStyle w:val="TableParagraph"/>
              <w:rPr>
                <w:rFonts w:ascii="Times New Roman"/>
                <w:sz w:val="10"/>
              </w:rPr>
            </w:pPr>
          </w:p>
        </w:tc>
        <w:tc>
          <w:tcPr>
            <w:tcW w:w="505" w:type="dxa"/>
          </w:tcPr>
          <w:p>
            <w:pPr>
              <w:pStyle w:val="TableParagraph"/>
              <w:spacing w:line="110" w:lineRule="exact" w:before="47"/>
              <w:ind w:right="155"/>
              <w:jc w:val="right"/>
              <w:rPr>
                <w:sz w:val="12"/>
              </w:rPr>
            </w:pPr>
            <w:r>
              <w:rPr>
                <w:w w:val="105"/>
                <w:sz w:val="12"/>
              </w:rPr>
              <w:t>0.0%</w:t>
            </w:r>
          </w:p>
        </w:tc>
        <w:tc>
          <w:tcPr>
            <w:tcW w:w="797" w:type="dxa"/>
          </w:tcPr>
          <w:p>
            <w:pPr>
              <w:pStyle w:val="TableParagraph"/>
              <w:spacing w:line="110" w:lineRule="exact" w:before="47"/>
              <w:ind w:left="167"/>
              <w:rPr>
                <w:sz w:val="12"/>
              </w:rPr>
            </w:pPr>
            <w:r>
              <w:rPr>
                <w:w w:val="115"/>
                <w:sz w:val="12"/>
              </w:rPr>
              <w:t>11.1%</w:t>
            </w:r>
          </w:p>
        </w:tc>
        <w:tc>
          <w:tcPr>
            <w:tcW w:w="943" w:type="dxa"/>
          </w:tcPr>
          <w:p>
            <w:pPr>
              <w:pStyle w:val="TableParagraph"/>
              <w:spacing w:line="110" w:lineRule="exact" w:before="47"/>
              <w:ind w:left="205" w:right="156"/>
              <w:jc w:val="center"/>
              <w:rPr>
                <w:sz w:val="12"/>
              </w:rPr>
            </w:pPr>
            <w:r>
              <w:rPr>
                <w:w w:val="110"/>
                <w:sz w:val="12"/>
              </w:rPr>
              <w:t>37.0%</w:t>
            </w:r>
          </w:p>
        </w:tc>
        <w:tc>
          <w:tcPr>
            <w:tcW w:w="985" w:type="dxa"/>
          </w:tcPr>
          <w:p>
            <w:pPr>
              <w:pStyle w:val="TableParagraph"/>
              <w:spacing w:line="110" w:lineRule="exact" w:before="47"/>
              <w:ind w:left="281"/>
              <w:rPr>
                <w:sz w:val="12"/>
              </w:rPr>
            </w:pPr>
            <w:r>
              <w:rPr>
                <w:w w:val="105"/>
                <w:sz w:val="12"/>
              </w:rPr>
              <w:t>0.0%</w:t>
            </w:r>
          </w:p>
        </w:tc>
      </w:tr>
      <w:tr>
        <w:trPr>
          <w:trHeight w:val="203" w:hRule="atLeast"/>
        </w:trPr>
        <w:tc>
          <w:tcPr>
            <w:tcW w:w="1924" w:type="dxa"/>
          </w:tcPr>
          <w:p>
            <w:pPr>
              <w:pStyle w:val="TableParagraph"/>
              <w:rPr>
                <w:rFonts w:ascii="Times New Roman"/>
                <w:sz w:val="12"/>
              </w:rPr>
            </w:pPr>
          </w:p>
        </w:tc>
        <w:tc>
          <w:tcPr>
            <w:tcW w:w="1000" w:type="dxa"/>
          </w:tcPr>
          <w:p>
            <w:pPr>
              <w:pStyle w:val="TableParagraph"/>
              <w:spacing w:line="142" w:lineRule="exact" w:before="41"/>
              <w:ind w:right="420"/>
              <w:jc w:val="right"/>
              <w:rPr>
                <w:sz w:val="12"/>
              </w:rPr>
            </w:pPr>
            <w:r>
              <w:rPr>
                <w:w w:val="125"/>
                <w:sz w:val="12"/>
              </w:rPr>
              <w:t>31</w:t>
            </w:r>
          </w:p>
        </w:tc>
        <w:tc>
          <w:tcPr>
            <w:tcW w:w="298" w:type="dxa"/>
          </w:tcPr>
          <w:p>
            <w:pPr>
              <w:pStyle w:val="TableParagraph"/>
              <w:spacing w:before="40"/>
              <w:rPr>
                <w:rFonts w:ascii="Lucida Sans"/>
                <w:sz w:val="12"/>
              </w:rPr>
            </w:pPr>
            <w:r>
              <w:rPr>
                <w:rFonts w:ascii="Lucida Sans"/>
                <w:w w:val="174"/>
                <w:sz w:val="12"/>
              </w:rPr>
              <w:t>C</w:t>
            </w:r>
          </w:p>
        </w:tc>
        <w:tc>
          <w:tcPr>
            <w:tcW w:w="300" w:type="dxa"/>
          </w:tcPr>
          <w:p>
            <w:pPr>
              <w:pStyle w:val="TableParagraph"/>
              <w:rPr>
                <w:rFonts w:ascii="Times New Roman"/>
                <w:sz w:val="12"/>
              </w:rPr>
            </w:pPr>
          </w:p>
        </w:tc>
        <w:tc>
          <w:tcPr>
            <w:tcW w:w="242" w:type="dxa"/>
          </w:tcPr>
          <w:p>
            <w:pPr>
              <w:pStyle w:val="TableParagraph"/>
              <w:rPr>
                <w:rFonts w:ascii="Times New Roman"/>
                <w:sz w:val="12"/>
              </w:rPr>
            </w:pPr>
          </w:p>
        </w:tc>
        <w:tc>
          <w:tcPr>
            <w:tcW w:w="405" w:type="dxa"/>
          </w:tcPr>
          <w:p>
            <w:pPr>
              <w:pStyle w:val="TableParagraph"/>
              <w:spacing w:before="40"/>
              <w:ind w:left="2"/>
              <w:rPr>
                <w:rFonts w:ascii="Lucida Sans"/>
                <w:sz w:val="12"/>
              </w:rPr>
            </w:pPr>
            <w:r>
              <w:rPr>
                <w:rFonts w:ascii="Lucida Sans"/>
                <w:w w:val="174"/>
                <w:sz w:val="12"/>
              </w:rPr>
              <w:t>C</w:t>
            </w:r>
          </w:p>
        </w:tc>
        <w:tc>
          <w:tcPr>
            <w:tcW w:w="622" w:type="dxa"/>
          </w:tcPr>
          <w:p>
            <w:pPr>
              <w:pStyle w:val="TableParagraph"/>
              <w:rPr>
                <w:rFonts w:ascii="Times New Roman"/>
                <w:sz w:val="12"/>
              </w:rPr>
            </w:pPr>
          </w:p>
        </w:tc>
        <w:tc>
          <w:tcPr>
            <w:tcW w:w="243" w:type="dxa"/>
          </w:tcPr>
          <w:p>
            <w:pPr>
              <w:pStyle w:val="TableParagraph"/>
              <w:rPr>
                <w:rFonts w:ascii="Times New Roman"/>
                <w:sz w:val="12"/>
              </w:rPr>
            </w:pPr>
          </w:p>
        </w:tc>
        <w:tc>
          <w:tcPr>
            <w:tcW w:w="383" w:type="dxa"/>
          </w:tcPr>
          <w:p>
            <w:pPr>
              <w:pStyle w:val="TableParagraph"/>
              <w:spacing w:before="40"/>
              <w:ind w:left="2"/>
              <w:rPr>
                <w:rFonts w:ascii="Lucida Sans"/>
                <w:sz w:val="12"/>
              </w:rPr>
            </w:pPr>
            <w:r>
              <w:rPr>
                <w:rFonts w:ascii="Lucida Sans"/>
                <w:w w:val="174"/>
                <w:sz w:val="12"/>
              </w:rPr>
              <w:t>C</w:t>
            </w:r>
          </w:p>
        </w:tc>
        <w:tc>
          <w:tcPr>
            <w:tcW w:w="554" w:type="dxa"/>
          </w:tcPr>
          <w:p>
            <w:pPr>
              <w:pStyle w:val="TableParagraph"/>
              <w:rPr>
                <w:rFonts w:ascii="Times New Roman"/>
                <w:sz w:val="12"/>
              </w:rPr>
            </w:pPr>
          </w:p>
        </w:tc>
        <w:tc>
          <w:tcPr>
            <w:tcW w:w="242" w:type="dxa"/>
          </w:tcPr>
          <w:p>
            <w:pPr>
              <w:pStyle w:val="TableParagraph"/>
              <w:rPr>
                <w:rFonts w:ascii="Times New Roman"/>
                <w:sz w:val="12"/>
              </w:rPr>
            </w:pPr>
          </w:p>
        </w:tc>
        <w:tc>
          <w:tcPr>
            <w:tcW w:w="297" w:type="dxa"/>
          </w:tcPr>
          <w:p>
            <w:pPr>
              <w:pStyle w:val="TableParagraph"/>
              <w:spacing w:line="158" w:lineRule="exact" w:before="25"/>
              <w:ind w:left="3"/>
              <w:rPr>
                <w:rFonts w:ascii="Arial"/>
                <w:sz w:val="14"/>
              </w:rPr>
            </w:pPr>
            <w:r>
              <w:rPr>
                <w:rFonts w:ascii="Arial"/>
                <w:w w:val="97"/>
                <w:sz w:val="14"/>
              </w:rPr>
              <w:t>a</w:t>
            </w:r>
          </w:p>
        </w:tc>
        <w:tc>
          <w:tcPr>
            <w:tcW w:w="424" w:type="dxa"/>
          </w:tcPr>
          <w:p>
            <w:pPr>
              <w:pStyle w:val="TableParagraph"/>
              <w:rPr>
                <w:rFonts w:ascii="Times New Roman"/>
                <w:sz w:val="12"/>
              </w:rPr>
            </w:pPr>
          </w:p>
        </w:tc>
        <w:tc>
          <w:tcPr>
            <w:tcW w:w="672" w:type="dxa"/>
          </w:tcPr>
          <w:p>
            <w:pPr>
              <w:pStyle w:val="TableParagraph"/>
              <w:rPr>
                <w:rFonts w:ascii="Times New Roman"/>
                <w:sz w:val="12"/>
              </w:rPr>
            </w:pPr>
          </w:p>
        </w:tc>
        <w:tc>
          <w:tcPr>
            <w:tcW w:w="483" w:type="dxa"/>
          </w:tcPr>
          <w:p>
            <w:pPr>
              <w:pStyle w:val="TableParagraph"/>
              <w:rPr>
                <w:rFonts w:ascii="Times New Roman"/>
                <w:sz w:val="12"/>
              </w:rPr>
            </w:pPr>
          </w:p>
        </w:tc>
        <w:tc>
          <w:tcPr>
            <w:tcW w:w="712" w:type="dxa"/>
          </w:tcPr>
          <w:p>
            <w:pPr>
              <w:pStyle w:val="TableParagraph"/>
              <w:rPr>
                <w:rFonts w:ascii="Times New Roman"/>
                <w:sz w:val="12"/>
              </w:rPr>
            </w:pPr>
          </w:p>
        </w:tc>
        <w:tc>
          <w:tcPr>
            <w:tcW w:w="894" w:type="dxa"/>
          </w:tcPr>
          <w:p>
            <w:pPr>
              <w:pStyle w:val="TableParagraph"/>
              <w:spacing w:before="40"/>
              <w:ind w:left="252"/>
              <w:rPr>
                <w:rFonts w:ascii="Lucida Sans"/>
                <w:sz w:val="12"/>
              </w:rPr>
            </w:pPr>
            <w:r>
              <w:rPr>
                <w:rFonts w:ascii="Lucida Sans"/>
                <w:w w:val="174"/>
                <w:sz w:val="12"/>
              </w:rPr>
              <w:t>C</w:t>
            </w:r>
          </w:p>
        </w:tc>
        <w:tc>
          <w:tcPr>
            <w:tcW w:w="466" w:type="dxa"/>
          </w:tcPr>
          <w:p>
            <w:pPr>
              <w:pStyle w:val="TableParagraph"/>
              <w:rPr>
                <w:rFonts w:ascii="Times New Roman"/>
                <w:sz w:val="12"/>
              </w:rPr>
            </w:pPr>
          </w:p>
        </w:tc>
        <w:tc>
          <w:tcPr>
            <w:tcW w:w="243" w:type="dxa"/>
          </w:tcPr>
          <w:p>
            <w:pPr>
              <w:pStyle w:val="TableParagraph"/>
              <w:rPr>
                <w:rFonts w:ascii="Times New Roman"/>
                <w:sz w:val="12"/>
              </w:rPr>
            </w:pPr>
          </w:p>
        </w:tc>
        <w:tc>
          <w:tcPr>
            <w:tcW w:w="505" w:type="dxa"/>
          </w:tcPr>
          <w:p>
            <w:pPr>
              <w:pStyle w:val="TableParagraph"/>
              <w:spacing w:line="142" w:lineRule="exact" w:before="41"/>
              <w:ind w:right="155"/>
              <w:jc w:val="right"/>
              <w:rPr>
                <w:sz w:val="12"/>
              </w:rPr>
            </w:pPr>
            <w:r>
              <w:rPr>
                <w:w w:val="105"/>
                <w:sz w:val="12"/>
              </w:rPr>
              <w:t>0.0%</w:t>
            </w:r>
          </w:p>
        </w:tc>
        <w:tc>
          <w:tcPr>
            <w:tcW w:w="797" w:type="dxa"/>
          </w:tcPr>
          <w:p>
            <w:pPr>
              <w:pStyle w:val="TableParagraph"/>
              <w:spacing w:line="142" w:lineRule="exact" w:before="41"/>
              <w:ind w:left="242"/>
              <w:rPr>
                <w:sz w:val="12"/>
              </w:rPr>
            </w:pPr>
            <w:r>
              <w:rPr>
                <w:w w:val="105"/>
                <w:sz w:val="12"/>
              </w:rPr>
              <w:t>6.5%</w:t>
            </w:r>
          </w:p>
        </w:tc>
        <w:tc>
          <w:tcPr>
            <w:tcW w:w="943" w:type="dxa"/>
          </w:tcPr>
          <w:p>
            <w:pPr>
              <w:pStyle w:val="TableParagraph"/>
              <w:spacing w:line="142" w:lineRule="exact" w:before="41"/>
              <w:ind w:left="205" w:right="156"/>
              <w:jc w:val="center"/>
              <w:rPr>
                <w:sz w:val="12"/>
              </w:rPr>
            </w:pPr>
            <w:r>
              <w:rPr>
                <w:w w:val="110"/>
                <w:sz w:val="12"/>
              </w:rPr>
              <w:t>16.1%</w:t>
            </w:r>
          </w:p>
        </w:tc>
        <w:tc>
          <w:tcPr>
            <w:tcW w:w="985" w:type="dxa"/>
          </w:tcPr>
          <w:p>
            <w:pPr>
              <w:pStyle w:val="TableParagraph"/>
              <w:spacing w:line="142" w:lineRule="exact" w:before="41"/>
              <w:ind w:left="281"/>
              <w:rPr>
                <w:sz w:val="12"/>
              </w:rPr>
            </w:pPr>
            <w:r>
              <w:rPr>
                <w:w w:val="105"/>
                <w:sz w:val="12"/>
              </w:rPr>
              <w:t>0.0%</w:t>
            </w:r>
          </w:p>
        </w:tc>
      </w:tr>
    </w:tbl>
    <w:p>
      <w:pPr>
        <w:spacing w:line="276" w:lineRule="auto" w:before="30"/>
        <w:ind w:left="782" w:right="12023" w:hanging="160"/>
        <w:jc w:val="left"/>
        <w:rPr>
          <w:sz w:val="12"/>
        </w:rPr>
      </w:pPr>
      <w:r>
        <w:rPr/>
        <w:pict>
          <v:shape style="position:absolute;margin-left:738.346069pt;margin-top:52.12748pt;width:9.65pt;height:167.95pt;mso-position-horizontal-relative:page;mso-position-vertical-relative:paragraph;z-index:251707392"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pict>
          <v:shape style="position:absolute;margin-left:166.991730pt;margin-top:-.648901pt;width:545.6pt;height:19.75pt;mso-position-horizontal-relative:page;mso-position-vertical-relative:paragraph;z-index:25171046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7"/>
                    <w:gridCol w:w="511"/>
                    <w:gridCol w:w="396"/>
                    <w:gridCol w:w="554"/>
                    <w:gridCol w:w="610"/>
                    <w:gridCol w:w="918"/>
                    <w:gridCol w:w="1313"/>
                    <w:gridCol w:w="1427"/>
                    <w:gridCol w:w="1367"/>
                    <w:gridCol w:w="1143"/>
                    <w:gridCol w:w="730"/>
                    <w:gridCol w:w="845"/>
                    <w:gridCol w:w="696"/>
                  </w:tblGrid>
                  <w:tr>
                    <w:trPr>
                      <w:trHeight w:val="203" w:hRule="atLeast"/>
                    </w:trPr>
                    <w:tc>
                      <w:tcPr>
                        <w:tcW w:w="397" w:type="dxa"/>
                      </w:tcPr>
                      <w:p>
                        <w:pPr>
                          <w:pStyle w:val="TableParagraph"/>
                          <w:spacing w:line="140" w:lineRule="exact" w:before="43"/>
                          <w:ind w:left="33"/>
                          <w:rPr>
                            <w:sz w:val="12"/>
                          </w:rPr>
                        </w:pPr>
                        <w:r>
                          <w:rPr>
                            <w:w w:val="125"/>
                            <w:sz w:val="12"/>
                          </w:rPr>
                          <w:t>86</w:t>
                        </w:r>
                      </w:p>
                    </w:tc>
                    <w:tc>
                      <w:tcPr>
                        <w:tcW w:w="511" w:type="dxa"/>
                      </w:tcPr>
                      <w:p>
                        <w:pPr>
                          <w:pStyle w:val="TableParagraph"/>
                          <w:spacing w:line="141" w:lineRule="exact" w:before="42"/>
                          <w:ind w:left="211"/>
                          <w:rPr>
                            <w:rFonts w:ascii="Lucida Sans"/>
                            <w:sz w:val="12"/>
                          </w:rPr>
                        </w:pPr>
                        <w:r>
                          <w:rPr>
                            <w:rFonts w:ascii="Lucida Sans"/>
                            <w:w w:val="174"/>
                            <w:sz w:val="12"/>
                          </w:rPr>
                          <w:t>C</w:t>
                        </w:r>
                      </w:p>
                    </w:tc>
                    <w:tc>
                      <w:tcPr>
                        <w:tcW w:w="396" w:type="dxa"/>
                      </w:tcPr>
                      <w:p>
                        <w:pPr>
                          <w:pStyle w:val="TableParagraph"/>
                          <w:rPr>
                            <w:rFonts w:ascii="Times New Roman"/>
                            <w:sz w:val="12"/>
                          </w:rPr>
                        </w:pPr>
                      </w:p>
                    </w:tc>
                    <w:tc>
                      <w:tcPr>
                        <w:tcW w:w="554" w:type="dxa"/>
                      </w:tcPr>
                      <w:p>
                        <w:pPr>
                          <w:pStyle w:val="TableParagraph"/>
                          <w:spacing w:line="141" w:lineRule="exact" w:before="42"/>
                          <w:ind w:left="146"/>
                          <w:rPr>
                            <w:rFonts w:ascii="Lucida Sans"/>
                            <w:sz w:val="12"/>
                          </w:rPr>
                        </w:pPr>
                        <w:r>
                          <w:rPr>
                            <w:rFonts w:ascii="Lucida Sans"/>
                            <w:w w:val="174"/>
                            <w:sz w:val="12"/>
                          </w:rPr>
                          <w:t>C</w:t>
                        </w:r>
                      </w:p>
                    </w:tc>
                    <w:tc>
                      <w:tcPr>
                        <w:tcW w:w="610" w:type="dxa"/>
                      </w:tcPr>
                      <w:p>
                        <w:pPr>
                          <w:pStyle w:val="TableParagraph"/>
                          <w:rPr>
                            <w:rFonts w:ascii="Times New Roman"/>
                            <w:sz w:val="12"/>
                          </w:rPr>
                        </w:pPr>
                      </w:p>
                    </w:tc>
                    <w:tc>
                      <w:tcPr>
                        <w:tcW w:w="918" w:type="dxa"/>
                      </w:tcPr>
                      <w:p>
                        <w:pPr>
                          <w:pStyle w:val="TableParagraph"/>
                          <w:spacing w:line="141" w:lineRule="exact" w:before="42"/>
                          <w:ind w:left="252"/>
                          <w:rPr>
                            <w:rFonts w:ascii="Lucida Sans"/>
                            <w:sz w:val="12"/>
                          </w:rPr>
                        </w:pPr>
                        <w:r>
                          <w:rPr>
                            <w:rFonts w:ascii="Lucida Sans"/>
                            <w:w w:val="174"/>
                            <w:sz w:val="12"/>
                          </w:rPr>
                          <w:t>C</w:t>
                        </w:r>
                      </w:p>
                    </w:tc>
                    <w:tc>
                      <w:tcPr>
                        <w:tcW w:w="1313" w:type="dxa"/>
                      </w:tcPr>
                      <w:p>
                        <w:pPr>
                          <w:pStyle w:val="TableParagraph"/>
                          <w:spacing w:line="156" w:lineRule="exact" w:before="27"/>
                          <w:ind w:right="205"/>
                          <w:jc w:val="center"/>
                          <w:rPr>
                            <w:rFonts w:ascii="Arial"/>
                            <w:sz w:val="14"/>
                          </w:rPr>
                        </w:pPr>
                        <w:r>
                          <w:rPr>
                            <w:rFonts w:ascii="Arial"/>
                            <w:w w:val="97"/>
                            <w:sz w:val="14"/>
                          </w:rPr>
                          <w:t>a</w:t>
                        </w:r>
                      </w:p>
                    </w:tc>
                    <w:tc>
                      <w:tcPr>
                        <w:tcW w:w="1427" w:type="dxa"/>
                      </w:tcPr>
                      <w:p>
                        <w:pPr>
                          <w:pStyle w:val="TableParagraph"/>
                          <w:spacing w:line="140" w:lineRule="exact" w:before="43"/>
                          <w:ind w:right="614"/>
                          <w:jc w:val="right"/>
                          <w:rPr>
                            <w:sz w:val="12"/>
                          </w:rPr>
                        </w:pPr>
                        <w:r>
                          <w:rPr>
                            <w:w w:val="101"/>
                            <w:sz w:val="12"/>
                          </w:rPr>
                          <w:t>D</w:t>
                        </w:r>
                      </w:p>
                    </w:tc>
                    <w:tc>
                      <w:tcPr>
                        <w:tcW w:w="1367" w:type="dxa"/>
                      </w:tcPr>
                      <w:p>
                        <w:pPr>
                          <w:pStyle w:val="TableParagraph"/>
                          <w:spacing w:line="140" w:lineRule="exact" w:before="43"/>
                          <w:ind w:right="68"/>
                          <w:jc w:val="center"/>
                          <w:rPr>
                            <w:sz w:val="12"/>
                          </w:rPr>
                        </w:pPr>
                        <w:r>
                          <w:rPr>
                            <w:w w:val="99"/>
                            <w:sz w:val="12"/>
                          </w:rPr>
                          <w:t>T</w:t>
                        </w:r>
                      </w:p>
                    </w:tc>
                    <w:tc>
                      <w:tcPr>
                        <w:tcW w:w="1143" w:type="dxa"/>
                      </w:tcPr>
                      <w:p>
                        <w:pPr>
                          <w:pStyle w:val="TableParagraph"/>
                          <w:spacing w:line="140" w:lineRule="exact" w:before="43"/>
                          <w:ind w:right="198"/>
                          <w:jc w:val="right"/>
                          <w:rPr>
                            <w:sz w:val="12"/>
                          </w:rPr>
                        </w:pPr>
                        <w:r>
                          <w:rPr>
                            <w:w w:val="105"/>
                            <w:sz w:val="12"/>
                          </w:rPr>
                          <w:t>1.1%</w:t>
                        </w:r>
                      </w:p>
                    </w:tc>
                    <w:tc>
                      <w:tcPr>
                        <w:tcW w:w="730" w:type="dxa"/>
                      </w:tcPr>
                      <w:p>
                        <w:pPr>
                          <w:pStyle w:val="TableParagraph"/>
                          <w:spacing w:line="140" w:lineRule="exact" w:before="43"/>
                          <w:ind w:left="199"/>
                          <w:rPr>
                            <w:sz w:val="12"/>
                          </w:rPr>
                        </w:pPr>
                        <w:r>
                          <w:rPr>
                            <w:w w:val="105"/>
                            <w:sz w:val="12"/>
                          </w:rPr>
                          <w:t>1.1%</w:t>
                        </w:r>
                      </w:p>
                    </w:tc>
                    <w:tc>
                      <w:tcPr>
                        <w:tcW w:w="845" w:type="dxa"/>
                      </w:tcPr>
                      <w:p>
                        <w:pPr>
                          <w:pStyle w:val="TableParagraph"/>
                          <w:spacing w:line="140" w:lineRule="exact" w:before="43"/>
                          <w:ind w:left="268"/>
                          <w:rPr>
                            <w:sz w:val="12"/>
                          </w:rPr>
                        </w:pPr>
                        <w:r>
                          <w:rPr>
                            <w:sz w:val="12"/>
                          </w:rPr>
                          <w:t>NR</w:t>
                        </w:r>
                      </w:p>
                    </w:tc>
                    <w:tc>
                      <w:tcPr>
                        <w:tcW w:w="696" w:type="dxa"/>
                      </w:tcPr>
                      <w:p>
                        <w:pPr>
                          <w:pStyle w:val="TableParagraph"/>
                          <w:spacing w:line="140" w:lineRule="exact" w:before="43"/>
                          <w:ind w:right="26"/>
                          <w:jc w:val="right"/>
                          <w:rPr>
                            <w:sz w:val="12"/>
                          </w:rPr>
                        </w:pPr>
                        <w:r>
                          <w:rPr>
                            <w:w w:val="105"/>
                            <w:sz w:val="12"/>
                          </w:rPr>
                          <w:t>3.4%</w:t>
                        </w:r>
                      </w:p>
                    </w:tc>
                  </w:tr>
                  <w:tr>
                    <w:trPr>
                      <w:trHeight w:val="191" w:hRule="atLeast"/>
                    </w:trPr>
                    <w:tc>
                      <w:tcPr>
                        <w:tcW w:w="397" w:type="dxa"/>
                      </w:tcPr>
                      <w:p>
                        <w:pPr>
                          <w:pStyle w:val="TableParagraph"/>
                          <w:spacing w:line="147" w:lineRule="exact" w:before="11"/>
                          <w:ind w:left="33"/>
                          <w:rPr>
                            <w:sz w:val="12"/>
                          </w:rPr>
                        </w:pPr>
                        <w:r>
                          <w:rPr>
                            <w:w w:val="125"/>
                            <w:sz w:val="12"/>
                          </w:rPr>
                          <w:t>79</w:t>
                        </w:r>
                      </w:p>
                    </w:tc>
                    <w:tc>
                      <w:tcPr>
                        <w:tcW w:w="511" w:type="dxa"/>
                      </w:tcPr>
                      <w:p>
                        <w:pPr>
                          <w:pStyle w:val="TableParagraph"/>
                          <w:rPr>
                            <w:rFonts w:ascii="Times New Roman"/>
                            <w:sz w:val="12"/>
                          </w:rPr>
                        </w:pPr>
                      </w:p>
                    </w:tc>
                    <w:tc>
                      <w:tcPr>
                        <w:tcW w:w="396" w:type="dxa"/>
                      </w:tcPr>
                      <w:p>
                        <w:pPr>
                          <w:pStyle w:val="TableParagraph"/>
                          <w:spacing w:line="147" w:lineRule="exact" w:before="11"/>
                          <w:ind w:left="3"/>
                          <w:jc w:val="center"/>
                          <w:rPr>
                            <w:sz w:val="12"/>
                          </w:rPr>
                        </w:pPr>
                        <w:r>
                          <w:rPr>
                            <w:w w:val="99"/>
                            <w:sz w:val="12"/>
                          </w:rPr>
                          <w:t>Q</w:t>
                        </w:r>
                      </w:p>
                    </w:tc>
                    <w:tc>
                      <w:tcPr>
                        <w:tcW w:w="554" w:type="dxa"/>
                      </w:tcPr>
                      <w:p>
                        <w:pPr>
                          <w:pStyle w:val="TableParagraph"/>
                          <w:rPr>
                            <w:rFonts w:ascii="Times New Roman"/>
                            <w:sz w:val="12"/>
                          </w:rPr>
                        </w:pPr>
                      </w:p>
                    </w:tc>
                    <w:tc>
                      <w:tcPr>
                        <w:tcW w:w="610" w:type="dxa"/>
                      </w:tcPr>
                      <w:p>
                        <w:pPr>
                          <w:pStyle w:val="TableParagraph"/>
                          <w:spacing w:line="147" w:lineRule="exact" w:before="11"/>
                          <w:jc w:val="center"/>
                          <w:rPr>
                            <w:sz w:val="12"/>
                          </w:rPr>
                        </w:pPr>
                        <w:r>
                          <w:rPr>
                            <w:w w:val="99"/>
                            <w:sz w:val="12"/>
                          </w:rPr>
                          <w:t>Q</w:t>
                        </w:r>
                      </w:p>
                    </w:tc>
                    <w:tc>
                      <w:tcPr>
                        <w:tcW w:w="918" w:type="dxa"/>
                      </w:tcPr>
                      <w:p>
                        <w:pPr>
                          <w:pStyle w:val="TableParagraph"/>
                          <w:rPr>
                            <w:rFonts w:ascii="Times New Roman"/>
                            <w:sz w:val="12"/>
                          </w:rPr>
                        </w:pPr>
                      </w:p>
                    </w:tc>
                    <w:tc>
                      <w:tcPr>
                        <w:tcW w:w="1313" w:type="dxa"/>
                      </w:tcPr>
                      <w:p>
                        <w:pPr>
                          <w:pStyle w:val="TableParagraph"/>
                          <w:rPr>
                            <w:rFonts w:ascii="Times New Roman"/>
                            <w:sz w:val="12"/>
                          </w:rPr>
                        </w:pPr>
                      </w:p>
                    </w:tc>
                    <w:tc>
                      <w:tcPr>
                        <w:tcW w:w="1427" w:type="dxa"/>
                      </w:tcPr>
                      <w:p>
                        <w:pPr>
                          <w:pStyle w:val="TableParagraph"/>
                          <w:spacing w:line="147" w:lineRule="exact" w:before="11"/>
                          <w:ind w:right="614"/>
                          <w:jc w:val="right"/>
                          <w:rPr>
                            <w:sz w:val="12"/>
                          </w:rPr>
                        </w:pPr>
                        <w:r>
                          <w:rPr>
                            <w:w w:val="101"/>
                            <w:sz w:val="12"/>
                          </w:rPr>
                          <w:t>D</w:t>
                        </w:r>
                      </w:p>
                    </w:tc>
                    <w:tc>
                      <w:tcPr>
                        <w:tcW w:w="1367" w:type="dxa"/>
                      </w:tcPr>
                      <w:p>
                        <w:pPr>
                          <w:pStyle w:val="TableParagraph"/>
                          <w:spacing w:line="147" w:lineRule="exact" w:before="11"/>
                          <w:ind w:right="68"/>
                          <w:jc w:val="center"/>
                          <w:rPr>
                            <w:sz w:val="12"/>
                          </w:rPr>
                        </w:pPr>
                        <w:r>
                          <w:rPr>
                            <w:w w:val="99"/>
                            <w:sz w:val="12"/>
                          </w:rPr>
                          <w:t>T</w:t>
                        </w:r>
                      </w:p>
                    </w:tc>
                    <w:tc>
                      <w:tcPr>
                        <w:tcW w:w="1143" w:type="dxa"/>
                      </w:tcPr>
                      <w:p>
                        <w:pPr>
                          <w:pStyle w:val="TableParagraph"/>
                          <w:spacing w:line="147" w:lineRule="exact" w:before="11"/>
                          <w:ind w:right="198"/>
                          <w:jc w:val="right"/>
                          <w:rPr>
                            <w:sz w:val="12"/>
                          </w:rPr>
                        </w:pPr>
                        <w:r>
                          <w:rPr>
                            <w:w w:val="105"/>
                            <w:sz w:val="12"/>
                          </w:rPr>
                          <w:t>0.0%</w:t>
                        </w:r>
                      </w:p>
                    </w:tc>
                    <w:tc>
                      <w:tcPr>
                        <w:tcW w:w="730" w:type="dxa"/>
                      </w:tcPr>
                      <w:p>
                        <w:pPr>
                          <w:pStyle w:val="TableParagraph"/>
                          <w:spacing w:line="147" w:lineRule="exact" w:before="11"/>
                          <w:ind w:left="199"/>
                          <w:rPr>
                            <w:sz w:val="12"/>
                          </w:rPr>
                        </w:pPr>
                        <w:r>
                          <w:rPr>
                            <w:w w:val="105"/>
                            <w:sz w:val="12"/>
                          </w:rPr>
                          <w:t>1.1%</w:t>
                        </w:r>
                      </w:p>
                    </w:tc>
                    <w:tc>
                      <w:tcPr>
                        <w:tcW w:w="845" w:type="dxa"/>
                      </w:tcPr>
                      <w:p>
                        <w:pPr>
                          <w:pStyle w:val="TableParagraph"/>
                          <w:spacing w:line="147" w:lineRule="exact" w:before="11"/>
                          <w:ind w:left="268"/>
                          <w:rPr>
                            <w:sz w:val="12"/>
                          </w:rPr>
                        </w:pPr>
                        <w:r>
                          <w:rPr>
                            <w:sz w:val="12"/>
                          </w:rPr>
                          <w:t>NR</w:t>
                        </w:r>
                      </w:p>
                    </w:tc>
                    <w:tc>
                      <w:tcPr>
                        <w:tcW w:w="696" w:type="dxa"/>
                      </w:tcPr>
                      <w:p>
                        <w:pPr>
                          <w:pStyle w:val="TableParagraph"/>
                          <w:spacing w:line="147" w:lineRule="exact" w:before="11"/>
                          <w:ind w:right="26"/>
                          <w:jc w:val="right"/>
                          <w:rPr>
                            <w:sz w:val="12"/>
                          </w:rPr>
                        </w:pPr>
                        <w:r>
                          <w:rPr>
                            <w:w w:val="105"/>
                            <w:sz w:val="12"/>
                          </w:rPr>
                          <w:t>2.2%</w:t>
                        </w:r>
                      </w:p>
                    </w:tc>
                  </w:tr>
                </w:tbl>
                <w:p>
                  <w:pPr>
                    <w:pStyle w:val="BodyText"/>
                  </w:pPr>
                </w:p>
              </w:txbxContent>
            </v:textbox>
            <w10:wrap type="none"/>
          </v:shape>
        </w:pict>
      </w:r>
      <w:r>
        <w:rPr/>
        <w:pict>
          <v:shape style="position:absolute;margin-left:55.476624pt;margin-top:15.513269pt;width:657.1pt;height:141.25pt;mso-position-horizontal-relative:page;mso-position-vertical-relative:paragraph;z-index:25171148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0"/>
                    <w:gridCol w:w="616"/>
                    <w:gridCol w:w="510"/>
                    <w:gridCol w:w="395"/>
                    <w:gridCol w:w="553"/>
                    <w:gridCol w:w="609"/>
                    <w:gridCol w:w="917"/>
                    <w:gridCol w:w="1011"/>
                    <w:gridCol w:w="757"/>
                    <w:gridCol w:w="973"/>
                    <w:gridCol w:w="1066"/>
                    <w:gridCol w:w="672"/>
                    <w:gridCol w:w="729"/>
                    <w:gridCol w:w="771"/>
                    <w:gridCol w:w="927"/>
                    <w:gridCol w:w="617"/>
                  </w:tblGrid>
                  <w:tr>
                    <w:trPr>
                      <w:trHeight w:val="216" w:hRule="atLeast"/>
                    </w:trPr>
                    <w:tc>
                      <w:tcPr>
                        <w:tcW w:w="2010" w:type="dxa"/>
                      </w:tcPr>
                      <w:p>
                        <w:pPr>
                          <w:pStyle w:val="TableParagraph"/>
                          <w:spacing w:line="134" w:lineRule="exact" w:before="62"/>
                          <w:ind w:left="33"/>
                          <w:rPr>
                            <w:sz w:val="12"/>
                          </w:rPr>
                        </w:pPr>
                        <w:r>
                          <w:rPr>
                            <w:w w:val="110"/>
                            <w:sz w:val="12"/>
                          </w:rPr>
                          <w:t>Miller and Swank, 2010 [</w:t>
                        </w:r>
                        <w:hyperlink w:history="true" w:anchor="_bookmark58">
                          <w:r>
                            <w:rPr>
                              <w:color w:val="007FAC"/>
                              <w:w w:val="110"/>
                              <w:sz w:val="12"/>
                            </w:rPr>
                            <w:t>47</w:t>
                          </w:r>
                        </w:hyperlink>
                        <w:r>
                          <w:rPr>
                            <w:w w:val="110"/>
                            <w:sz w:val="12"/>
                          </w:rPr>
                          <w:t>]</w:t>
                        </w:r>
                        <w:r>
                          <w:rPr>
                            <w:w w:val="110"/>
                            <w:sz w:val="12"/>
                            <w:vertAlign w:val="superscript"/>
                          </w:rPr>
                          <w:t>,</w:t>
                        </w:r>
                        <w:hyperlink w:history="true" w:anchor="_bookmark96">
                          <w:r>
                            <w:rPr>
                              <w:color w:val="007FAC"/>
                              <w:w w:val="110"/>
                              <w:sz w:val="12"/>
                              <w:vertAlign w:val="superscript"/>
                            </w:rPr>
                            <w:t>c</w:t>
                          </w:r>
                        </w:hyperlink>
                      </w:p>
                    </w:tc>
                    <w:tc>
                      <w:tcPr>
                        <w:tcW w:w="616" w:type="dxa"/>
                      </w:tcPr>
                      <w:p>
                        <w:pPr>
                          <w:pStyle w:val="TableParagraph"/>
                          <w:spacing w:line="134" w:lineRule="exact" w:before="62"/>
                          <w:ind w:right="208"/>
                          <w:jc w:val="right"/>
                          <w:rPr>
                            <w:sz w:val="12"/>
                          </w:rPr>
                        </w:pPr>
                        <w:r>
                          <w:rPr>
                            <w:w w:val="125"/>
                            <w:sz w:val="12"/>
                          </w:rPr>
                          <w:t>93</w:t>
                        </w:r>
                      </w:p>
                    </w:tc>
                    <w:tc>
                      <w:tcPr>
                        <w:tcW w:w="510" w:type="dxa"/>
                      </w:tcPr>
                      <w:p>
                        <w:pPr>
                          <w:pStyle w:val="TableParagraph"/>
                          <w:spacing w:line="135" w:lineRule="exact" w:before="61"/>
                          <w:ind w:left="60"/>
                          <w:jc w:val="center"/>
                          <w:rPr>
                            <w:rFonts w:ascii="Lucida Sans"/>
                            <w:sz w:val="12"/>
                          </w:rPr>
                        </w:pPr>
                        <w:r>
                          <w:rPr>
                            <w:rFonts w:ascii="Lucida Sans"/>
                            <w:w w:val="174"/>
                            <w:sz w:val="12"/>
                          </w:rPr>
                          <w:t>C</w:t>
                        </w:r>
                      </w:p>
                    </w:tc>
                    <w:tc>
                      <w:tcPr>
                        <w:tcW w:w="395" w:type="dxa"/>
                      </w:tcPr>
                      <w:p>
                        <w:pPr>
                          <w:pStyle w:val="TableParagraph"/>
                          <w:rPr>
                            <w:rFonts w:ascii="Times New Roman"/>
                            <w:sz w:val="12"/>
                          </w:rPr>
                        </w:pPr>
                      </w:p>
                    </w:tc>
                    <w:tc>
                      <w:tcPr>
                        <w:tcW w:w="553" w:type="dxa"/>
                      </w:tcPr>
                      <w:p>
                        <w:pPr>
                          <w:pStyle w:val="TableParagraph"/>
                          <w:spacing w:line="135" w:lineRule="exact" w:before="61"/>
                          <w:ind w:left="150"/>
                          <w:rPr>
                            <w:rFonts w:ascii="Lucida Sans"/>
                            <w:sz w:val="12"/>
                          </w:rPr>
                        </w:pPr>
                        <w:r>
                          <w:rPr>
                            <w:rFonts w:ascii="Lucida Sans"/>
                            <w:w w:val="174"/>
                            <w:sz w:val="12"/>
                          </w:rPr>
                          <w:t>C</w:t>
                        </w:r>
                      </w:p>
                    </w:tc>
                    <w:tc>
                      <w:tcPr>
                        <w:tcW w:w="609" w:type="dxa"/>
                      </w:tcPr>
                      <w:p>
                        <w:pPr>
                          <w:pStyle w:val="TableParagraph"/>
                          <w:rPr>
                            <w:rFonts w:ascii="Times New Roman"/>
                            <w:sz w:val="12"/>
                          </w:rPr>
                        </w:pPr>
                      </w:p>
                    </w:tc>
                    <w:tc>
                      <w:tcPr>
                        <w:tcW w:w="917" w:type="dxa"/>
                      </w:tcPr>
                      <w:p>
                        <w:pPr>
                          <w:pStyle w:val="TableParagraph"/>
                          <w:rPr>
                            <w:rFonts w:ascii="Times New Roman"/>
                            <w:sz w:val="12"/>
                          </w:rPr>
                        </w:pPr>
                      </w:p>
                    </w:tc>
                    <w:tc>
                      <w:tcPr>
                        <w:tcW w:w="1011" w:type="dxa"/>
                      </w:tcPr>
                      <w:p>
                        <w:pPr>
                          <w:pStyle w:val="TableParagraph"/>
                          <w:rPr>
                            <w:rFonts w:ascii="Times New Roman"/>
                            <w:sz w:val="12"/>
                          </w:rPr>
                        </w:pPr>
                      </w:p>
                    </w:tc>
                    <w:tc>
                      <w:tcPr>
                        <w:tcW w:w="757" w:type="dxa"/>
                      </w:tcPr>
                      <w:p>
                        <w:pPr>
                          <w:pStyle w:val="TableParagraph"/>
                          <w:spacing w:line="135" w:lineRule="exact" w:before="61"/>
                          <w:ind w:right="257"/>
                          <w:jc w:val="right"/>
                          <w:rPr>
                            <w:rFonts w:ascii="Lucida Sans"/>
                            <w:sz w:val="12"/>
                          </w:rPr>
                        </w:pPr>
                        <w:r>
                          <w:rPr>
                            <w:rFonts w:ascii="Lucida Sans"/>
                            <w:w w:val="174"/>
                            <w:sz w:val="12"/>
                          </w:rPr>
                          <w:t>C</w:t>
                        </w:r>
                      </w:p>
                    </w:tc>
                    <w:tc>
                      <w:tcPr>
                        <w:tcW w:w="973" w:type="dxa"/>
                      </w:tcPr>
                      <w:p>
                        <w:pPr>
                          <w:pStyle w:val="TableParagraph"/>
                          <w:rPr>
                            <w:rFonts w:ascii="Times New Roman"/>
                            <w:sz w:val="12"/>
                          </w:rPr>
                        </w:pPr>
                      </w:p>
                    </w:tc>
                    <w:tc>
                      <w:tcPr>
                        <w:tcW w:w="1066" w:type="dxa"/>
                      </w:tcPr>
                      <w:p>
                        <w:pPr>
                          <w:pStyle w:val="TableParagraph"/>
                          <w:rPr>
                            <w:rFonts w:ascii="Times New Roman"/>
                            <w:sz w:val="12"/>
                          </w:rPr>
                        </w:pPr>
                      </w:p>
                    </w:tc>
                    <w:tc>
                      <w:tcPr>
                        <w:tcW w:w="672" w:type="dxa"/>
                      </w:tcPr>
                      <w:p>
                        <w:pPr>
                          <w:pStyle w:val="TableParagraph"/>
                          <w:rPr>
                            <w:rFonts w:ascii="Times New Roman"/>
                            <w:sz w:val="12"/>
                          </w:rPr>
                        </w:pPr>
                      </w:p>
                    </w:tc>
                    <w:tc>
                      <w:tcPr>
                        <w:tcW w:w="729" w:type="dxa"/>
                      </w:tcPr>
                      <w:p>
                        <w:pPr>
                          <w:pStyle w:val="TableParagraph"/>
                          <w:spacing w:line="134" w:lineRule="exact" w:before="62"/>
                          <w:ind w:right="149"/>
                          <w:jc w:val="right"/>
                          <w:rPr>
                            <w:sz w:val="12"/>
                          </w:rPr>
                        </w:pPr>
                        <w:r>
                          <w:rPr>
                            <w:w w:val="105"/>
                            <w:sz w:val="12"/>
                          </w:rPr>
                          <w:t>0.0%</w:t>
                        </w:r>
                      </w:p>
                    </w:tc>
                    <w:tc>
                      <w:tcPr>
                        <w:tcW w:w="771" w:type="dxa"/>
                      </w:tcPr>
                      <w:p>
                        <w:pPr>
                          <w:pStyle w:val="TableParagraph"/>
                          <w:spacing w:line="134" w:lineRule="exact" w:before="62"/>
                          <w:ind w:right="257"/>
                          <w:jc w:val="right"/>
                          <w:rPr>
                            <w:sz w:val="12"/>
                          </w:rPr>
                        </w:pPr>
                        <w:r>
                          <w:rPr>
                            <w:w w:val="105"/>
                            <w:sz w:val="12"/>
                          </w:rPr>
                          <w:t>4.3%</w:t>
                        </w:r>
                      </w:p>
                    </w:tc>
                    <w:tc>
                      <w:tcPr>
                        <w:tcW w:w="927" w:type="dxa"/>
                      </w:tcPr>
                      <w:p>
                        <w:pPr>
                          <w:pStyle w:val="TableParagraph"/>
                          <w:spacing w:line="134" w:lineRule="exact" w:before="62"/>
                          <w:ind w:right="227"/>
                          <w:jc w:val="right"/>
                          <w:rPr>
                            <w:sz w:val="12"/>
                          </w:rPr>
                        </w:pPr>
                        <w:r>
                          <w:rPr>
                            <w:w w:val="105"/>
                            <w:sz w:val="12"/>
                          </w:rPr>
                          <w:t>0.0%</w:t>
                        </w:r>
                      </w:p>
                    </w:tc>
                    <w:tc>
                      <w:tcPr>
                        <w:tcW w:w="617" w:type="dxa"/>
                      </w:tcPr>
                      <w:p>
                        <w:pPr>
                          <w:pStyle w:val="TableParagraph"/>
                          <w:spacing w:line="134" w:lineRule="exact" w:before="62"/>
                          <w:ind w:right="22"/>
                          <w:jc w:val="right"/>
                          <w:rPr>
                            <w:sz w:val="12"/>
                          </w:rPr>
                        </w:pPr>
                        <w:r>
                          <w:rPr>
                            <w:w w:val="105"/>
                            <w:sz w:val="12"/>
                          </w:rPr>
                          <w:t>0.0%</w:t>
                        </w:r>
                      </w:p>
                    </w:tc>
                  </w:tr>
                  <w:tr>
                    <w:trPr>
                      <w:trHeight w:val="167" w:hRule="atLeast"/>
                    </w:trPr>
                    <w:tc>
                      <w:tcPr>
                        <w:tcW w:w="2010" w:type="dxa"/>
                      </w:tcPr>
                      <w:p>
                        <w:pPr>
                          <w:pStyle w:val="TableParagraph"/>
                          <w:rPr>
                            <w:rFonts w:ascii="Times New Roman"/>
                            <w:sz w:val="10"/>
                          </w:rPr>
                        </w:pPr>
                      </w:p>
                    </w:tc>
                    <w:tc>
                      <w:tcPr>
                        <w:tcW w:w="616" w:type="dxa"/>
                      </w:tcPr>
                      <w:p>
                        <w:pPr>
                          <w:pStyle w:val="TableParagraph"/>
                          <w:spacing w:line="131" w:lineRule="exact" w:before="17"/>
                          <w:ind w:right="208"/>
                          <w:jc w:val="right"/>
                          <w:rPr>
                            <w:sz w:val="12"/>
                          </w:rPr>
                        </w:pPr>
                        <w:r>
                          <w:rPr>
                            <w:w w:val="125"/>
                            <w:sz w:val="12"/>
                          </w:rPr>
                          <w:t>143</w:t>
                        </w:r>
                      </w:p>
                    </w:tc>
                    <w:tc>
                      <w:tcPr>
                        <w:tcW w:w="510" w:type="dxa"/>
                      </w:tcPr>
                      <w:p>
                        <w:pPr>
                          <w:pStyle w:val="TableParagraph"/>
                          <w:spacing w:line="132" w:lineRule="exact" w:before="16"/>
                          <w:ind w:left="60"/>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32" w:lineRule="exact" w:before="16"/>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spacing w:line="132" w:lineRule="exact" w:before="16"/>
                          <w:ind w:left="257"/>
                          <w:rPr>
                            <w:rFonts w:ascii="Lucida Sans"/>
                            <w:sz w:val="12"/>
                          </w:rPr>
                        </w:pPr>
                        <w:r>
                          <w:rPr>
                            <w:rFonts w:ascii="Lucida Sans"/>
                            <w:w w:val="174"/>
                            <w:sz w:val="12"/>
                          </w:rPr>
                          <w:t>C</w:t>
                        </w:r>
                      </w:p>
                    </w:tc>
                    <w:tc>
                      <w:tcPr>
                        <w:tcW w:w="1011" w:type="dxa"/>
                      </w:tcPr>
                      <w:p>
                        <w:pPr>
                          <w:pStyle w:val="TableParagraph"/>
                          <w:spacing w:line="147" w:lineRule="exact"/>
                          <w:ind w:left="521"/>
                          <w:rPr>
                            <w:rFonts w:ascii="Arial"/>
                            <w:sz w:val="14"/>
                          </w:rPr>
                        </w:pPr>
                        <w:r>
                          <w:rPr>
                            <w:rFonts w:ascii="Arial"/>
                            <w:w w:val="97"/>
                            <w:sz w:val="14"/>
                          </w:rPr>
                          <w:t>a</w:t>
                        </w:r>
                      </w:p>
                    </w:tc>
                    <w:tc>
                      <w:tcPr>
                        <w:tcW w:w="757" w:type="dxa"/>
                      </w:tcPr>
                      <w:p>
                        <w:pPr>
                          <w:pStyle w:val="TableParagraph"/>
                          <w:rPr>
                            <w:rFonts w:ascii="Times New Roman"/>
                            <w:sz w:val="10"/>
                          </w:rPr>
                        </w:pPr>
                      </w:p>
                    </w:tc>
                    <w:tc>
                      <w:tcPr>
                        <w:tcW w:w="973" w:type="dxa"/>
                      </w:tcPr>
                      <w:p>
                        <w:pPr>
                          <w:pStyle w:val="TableParagraph"/>
                          <w:spacing w:line="131" w:lineRule="exact" w:before="17"/>
                          <w:ind w:left="268"/>
                          <w:rPr>
                            <w:sz w:val="12"/>
                          </w:rPr>
                        </w:pPr>
                        <w:r>
                          <w:rPr>
                            <w:w w:val="101"/>
                            <w:sz w:val="12"/>
                          </w:rPr>
                          <w:t>D</w:t>
                        </w:r>
                      </w:p>
                    </w:tc>
                    <w:tc>
                      <w:tcPr>
                        <w:tcW w:w="1066" w:type="dxa"/>
                      </w:tcPr>
                      <w:p>
                        <w:pPr>
                          <w:pStyle w:val="TableParagraph"/>
                          <w:rPr>
                            <w:rFonts w:ascii="Times New Roman"/>
                            <w:sz w:val="10"/>
                          </w:rPr>
                        </w:pPr>
                      </w:p>
                    </w:tc>
                    <w:tc>
                      <w:tcPr>
                        <w:tcW w:w="672" w:type="dxa"/>
                      </w:tcPr>
                      <w:p>
                        <w:pPr>
                          <w:pStyle w:val="TableParagraph"/>
                          <w:rPr>
                            <w:rFonts w:ascii="Times New Roman"/>
                            <w:sz w:val="10"/>
                          </w:rPr>
                        </w:pPr>
                      </w:p>
                    </w:tc>
                    <w:tc>
                      <w:tcPr>
                        <w:tcW w:w="729" w:type="dxa"/>
                      </w:tcPr>
                      <w:p>
                        <w:pPr>
                          <w:pStyle w:val="TableParagraph"/>
                          <w:spacing w:line="131" w:lineRule="exact" w:before="17"/>
                          <w:ind w:right="149"/>
                          <w:jc w:val="right"/>
                          <w:rPr>
                            <w:sz w:val="12"/>
                          </w:rPr>
                        </w:pPr>
                        <w:r>
                          <w:rPr>
                            <w:w w:val="105"/>
                            <w:sz w:val="12"/>
                          </w:rPr>
                          <w:t>0.0%</w:t>
                        </w:r>
                      </w:p>
                    </w:tc>
                    <w:tc>
                      <w:tcPr>
                        <w:tcW w:w="771" w:type="dxa"/>
                      </w:tcPr>
                      <w:p>
                        <w:pPr>
                          <w:pStyle w:val="TableParagraph"/>
                          <w:spacing w:line="131" w:lineRule="exact" w:before="17"/>
                          <w:ind w:right="257"/>
                          <w:jc w:val="right"/>
                          <w:rPr>
                            <w:sz w:val="12"/>
                          </w:rPr>
                        </w:pPr>
                        <w:r>
                          <w:rPr>
                            <w:w w:val="105"/>
                            <w:sz w:val="12"/>
                          </w:rPr>
                          <w:t>2.8%</w:t>
                        </w:r>
                      </w:p>
                    </w:tc>
                    <w:tc>
                      <w:tcPr>
                        <w:tcW w:w="927" w:type="dxa"/>
                      </w:tcPr>
                      <w:p>
                        <w:pPr>
                          <w:pStyle w:val="TableParagraph"/>
                          <w:spacing w:line="131" w:lineRule="exact" w:before="17"/>
                          <w:ind w:right="227"/>
                          <w:jc w:val="right"/>
                          <w:rPr>
                            <w:sz w:val="12"/>
                          </w:rPr>
                        </w:pPr>
                        <w:r>
                          <w:rPr>
                            <w:w w:val="105"/>
                            <w:sz w:val="12"/>
                          </w:rPr>
                          <w:t>2.8%</w:t>
                        </w:r>
                      </w:p>
                    </w:tc>
                    <w:tc>
                      <w:tcPr>
                        <w:tcW w:w="617" w:type="dxa"/>
                      </w:tcPr>
                      <w:p>
                        <w:pPr>
                          <w:pStyle w:val="TableParagraph"/>
                          <w:spacing w:line="131" w:lineRule="exact" w:before="17"/>
                          <w:ind w:right="22"/>
                          <w:jc w:val="right"/>
                          <w:rPr>
                            <w:sz w:val="12"/>
                          </w:rPr>
                        </w:pPr>
                        <w:r>
                          <w:rPr>
                            <w:w w:val="105"/>
                            <w:sz w:val="12"/>
                          </w:rPr>
                          <w:t>0.7%</w:t>
                        </w:r>
                      </w:p>
                    </w:tc>
                  </w:tr>
                  <w:tr>
                    <w:trPr>
                      <w:trHeight w:val="175" w:hRule="atLeast"/>
                    </w:trPr>
                    <w:tc>
                      <w:tcPr>
                        <w:tcW w:w="2010" w:type="dxa"/>
                      </w:tcPr>
                      <w:p>
                        <w:pPr>
                          <w:pStyle w:val="TableParagraph"/>
                          <w:spacing w:line="134" w:lineRule="exact" w:before="21"/>
                          <w:ind w:left="33"/>
                          <w:rPr>
                            <w:sz w:val="12"/>
                          </w:rPr>
                        </w:pPr>
                        <w:r>
                          <w:rPr>
                            <w:w w:val="115"/>
                            <w:sz w:val="12"/>
                          </w:rPr>
                          <w:t>Eggers et al., 2011 [</w:t>
                        </w:r>
                        <w:hyperlink w:history="true" w:anchor="_bookmark33">
                          <w:r>
                            <w:rPr>
                              <w:color w:val="007FAC"/>
                              <w:w w:val="115"/>
                              <w:sz w:val="12"/>
                            </w:rPr>
                            <w:t>22</w:t>
                          </w:r>
                        </w:hyperlink>
                        <w:r>
                          <w:rPr>
                            <w:w w:val="115"/>
                            <w:sz w:val="12"/>
                          </w:rPr>
                          <w:t>]</w:t>
                        </w:r>
                        <w:r>
                          <w:rPr>
                            <w:w w:val="115"/>
                            <w:sz w:val="12"/>
                            <w:vertAlign w:val="superscript"/>
                          </w:rPr>
                          <w:t>,</w:t>
                        </w:r>
                        <w:hyperlink w:history="true" w:anchor="_bookmark95">
                          <w:r>
                            <w:rPr>
                              <w:color w:val="007FAC"/>
                              <w:w w:val="115"/>
                              <w:sz w:val="12"/>
                              <w:vertAlign w:val="superscript"/>
                            </w:rPr>
                            <w:t>d</w:t>
                          </w:r>
                        </w:hyperlink>
                      </w:p>
                    </w:tc>
                    <w:tc>
                      <w:tcPr>
                        <w:tcW w:w="616" w:type="dxa"/>
                      </w:tcPr>
                      <w:p>
                        <w:pPr>
                          <w:pStyle w:val="TableParagraph"/>
                          <w:spacing w:line="134" w:lineRule="exact" w:before="21"/>
                          <w:ind w:right="208"/>
                          <w:jc w:val="right"/>
                          <w:rPr>
                            <w:sz w:val="12"/>
                          </w:rPr>
                        </w:pPr>
                        <w:r>
                          <w:rPr>
                            <w:w w:val="125"/>
                            <w:sz w:val="12"/>
                          </w:rPr>
                          <w:t>19</w:t>
                        </w:r>
                      </w:p>
                    </w:tc>
                    <w:tc>
                      <w:tcPr>
                        <w:tcW w:w="510" w:type="dxa"/>
                      </w:tcPr>
                      <w:p>
                        <w:pPr>
                          <w:pStyle w:val="TableParagraph"/>
                          <w:rPr>
                            <w:rFonts w:ascii="Times New Roman"/>
                            <w:sz w:val="10"/>
                          </w:rPr>
                        </w:pPr>
                      </w:p>
                    </w:tc>
                    <w:tc>
                      <w:tcPr>
                        <w:tcW w:w="395" w:type="dxa"/>
                      </w:tcPr>
                      <w:p>
                        <w:pPr>
                          <w:pStyle w:val="TableParagraph"/>
                          <w:spacing w:line="134" w:lineRule="exact" w:before="21"/>
                          <w:ind w:left="8"/>
                          <w:jc w:val="center"/>
                          <w:rPr>
                            <w:sz w:val="12"/>
                          </w:rPr>
                        </w:pPr>
                        <w:r>
                          <w:rPr>
                            <w:w w:val="99"/>
                            <w:sz w:val="12"/>
                          </w:rPr>
                          <w:t>Q</w:t>
                        </w:r>
                      </w:p>
                    </w:tc>
                    <w:tc>
                      <w:tcPr>
                        <w:tcW w:w="553" w:type="dxa"/>
                      </w:tcPr>
                      <w:p>
                        <w:pPr>
                          <w:pStyle w:val="TableParagraph"/>
                          <w:spacing w:line="135" w:lineRule="exact" w:before="20"/>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rPr>
                            <w:rFonts w:ascii="Times New Roman"/>
                            <w:sz w:val="10"/>
                          </w:rPr>
                        </w:pPr>
                      </w:p>
                    </w:tc>
                    <w:tc>
                      <w:tcPr>
                        <w:tcW w:w="1011" w:type="dxa"/>
                      </w:tcPr>
                      <w:p>
                        <w:pPr>
                          <w:pStyle w:val="TableParagraph"/>
                          <w:rPr>
                            <w:rFonts w:ascii="Times New Roman"/>
                            <w:sz w:val="10"/>
                          </w:rPr>
                        </w:pPr>
                      </w:p>
                    </w:tc>
                    <w:tc>
                      <w:tcPr>
                        <w:tcW w:w="757" w:type="dxa"/>
                      </w:tcPr>
                      <w:p>
                        <w:pPr>
                          <w:pStyle w:val="TableParagraph"/>
                          <w:spacing w:line="135" w:lineRule="exact" w:before="20"/>
                          <w:ind w:right="257"/>
                          <w:jc w:val="right"/>
                          <w:rPr>
                            <w:rFonts w:ascii="Lucida Sans"/>
                            <w:sz w:val="12"/>
                          </w:rPr>
                        </w:pPr>
                        <w:r>
                          <w:rPr>
                            <w:rFonts w:ascii="Lucida Sans"/>
                            <w:w w:val="174"/>
                            <w:sz w:val="12"/>
                          </w:rPr>
                          <w:t>C</w:t>
                        </w:r>
                      </w:p>
                    </w:tc>
                    <w:tc>
                      <w:tcPr>
                        <w:tcW w:w="973" w:type="dxa"/>
                      </w:tcPr>
                      <w:p>
                        <w:pPr>
                          <w:pStyle w:val="TableParagraph"/>
                          <w:rPr>
                            <w:rFonts w:ascii="Times New Roman"/>
                            <w:sz w:val="10"/>
                          </w:rPr>
                        </w:pPr>
                      </w:p>
                    </w:tc>
                    <w:tc>
                      <w:tcPr>
                        <w:tcW w:w="1066" w:type="dxa"/>
                      </w:tcPr>
                      <w:p>
                        <w:pPr>
                          <w:pStyle w:val="TableParagraph"/>
                          <w:rPr>
                            <w:rFonts w:ascii="Times New Roman"/>
                            <w:sz w:val="10"/>
                          </w:rPr>
                        </w:pPr>
                      </w:p>
                    </w:tc>
                    <w:tc>
                      <w:tcPr>
                        <w:tcW w:w="672" w:type="dxa"/>
                      </w:tcPr>
                      <w:p>
                        <w:pPr>
                          <w:pStyle w:val="TableParagraph"/>
                          <w:rPr>
                            <w:rFonts w:ascii="Times New Roman"/>
                            <w:sz w:val="10"/>
                          </w:rPr>
                        </w:pPr>
                      </w:p>
                    </w:tc>
                    <w:tc>
                      <w:tcPr>
                        <w:tcW w:w="729" w:type="dxa"/>
                      </w:tcPr>
                      <w:p>
                        <w:pPr>
                          <w:pStyle w:val="TableParagraph"/>
                          <w:spacing w:line="134" w:lineRule="exact" w:before="21"/>
                          <w:ind w:right="149"/>
                          <w:jc w:val="right"/>
                          <w:rPr>
                            <w:sz w:val="12"/>
                          </w:rPr>
                        </w:pPr>
                        <w:r>
                          <w:rPr>
                            <w:w w:val="105"/>
                            <w:sz w:val="12"/>
                          </w:rPr>
                          <w:t>0.0%</w:t>
                        </w:r>
                      </w:p>
                    </w:tc>
                    <w:tc>
                      <w:tcPr>
                        <w:tcW w:w="771" w:type="dxa"/>
                      </w:tcPr>
                      <w:p>
                        <w:pPr>
                          <w:pStyle w:val="TableParagraph"/>
                          <w:spacing w:line="134" w:lineRule="exact" w:before="21"/>
                          <w:ind w:right="257"/>
                          <w:jc w:val="right"/>
                          <w:rPr>
                            <w:sz w:val="12"/>
                          </w:rPr>
                        </w:pPr>
                        <w:r>
                          <w:rPr>
                            <w:w w:val="105"/>
                            <w:sz w:val="12"/>
                          </w:rPr>
                          <w:t>5.0%</w:t>
                        </w:r>
                      </w:p>
                    </w:tc>
                    <w:tc>
                      <w:tcPr>
                        <w:tcW w:w="927" w:type="dxa"/>
                      </w:tcPr>
                      <w:p>
                        <w:pPr>
                          <w:pStyle w:val="TableParagraph"/>
                          <w:spacing w:line="134" w:lineRule="exact" w:before="21"/>
                          <w:ind w:left="276"/>
                          <w:rPr>
                            <w:sz w:val="12"/>
                          </w:rPr>
                        </w:pPr>
                        <w:r>
                          <w:rPr>
                            <w:sz w:val="12"/>
                          </w:rPr>
                          <w:t>NR</w:t>
                        </w:r>
                      </w:p>
                    </w:tc>
                    <w:tc>
                      <w:tcPr>
                        <w:tcW w:w="617" w:type="dxa"/>
                      </w:tcPr>
                      <w:p>
                        <w:pPr>
                          <w:pStyle w:val="TableParagraph"/>
                          <w:spacing w:line="134" w:lineRule="exact" w:before="21"/>
                          <w:ind w:right="22"/>
                          <w:jc w:val="right"/>
                          <w:rPr>
                            <w:sz w:val="12"/>
                          </w:rPr>
                        </w:pPr>
                        <w:r>
                          <w:rPr>
                            <w:w w:val="105"/>
                            <w:sz w:val="12"/>
                          </w:rPr>
                          <w:t>11.0%</w:t>
                        </w:r>
                      </w:p>
                    </w:tc>
                  </w:tr>
                  <w:tr>
                    <w:trPr>
                      <w:trHeight w:val="176" w:hRule="atLeast"/>
                    </w:trPr>
                    <w:tc>
                      <w:tcPr>
                        <w:tcW w:w="2010" w:type="dxa"/>
                      </w:tcPr>
                      <w:p>
                        <w:pPr>
                          <w:pStyle w:val="TableParagraph"/>
                          <w:rPr>
                            <w:rFonts w:ascii="Times New Roman"/>
                            <w:sz w:val="10"/>
                          </w:rPr>
                        </w:pPr>
                      </w:p>
                    </w:tc>
                    <w:tc>
                      <w:tcPr>
                        <w:tcW w:w="616" w:type="dxa"/>
                      </w:tcPr>
                      <w:p>
                        <w:pPr>
                          <w:pStyle w:val="TableParagraph"/>
                          <w:spacing w:line="140" w:lineRule="exact" w:before="17"/>
                          <w:ind w:right="208"/>
                          <w:jc w:val="right"/>
                          <w:rPr>
                            <w:sz w:val="12"/>
                          </w:rPr>
                        </w:pPr>
                        <w:r>
                          <w:rPr>
                            <w:w w:val="125"/>
                            <w:sz w:val="12"/>
                          </w:rPr>
                          <w:t>19</w:t>
                        </w:r>
                      </w:p>
                    </w:tc>
                    <w:tc>
                      <w:tcPr>
                        <w:tcW w:w="510" w:type="dxa"/>
                      </w:tcPr>
                      <w:p>
                        <w:pPr>
                          <w:pStyle w:val="TableParagraph"/>
                          <w:rPr>
                            <w:rFonts w:ascii="Times New Roman"/>
                            <w:sz w:val="10"/>
                          </w:rPr>
                        </w:pPr>
                      </w:p>
                    </w:tc>
                    <w:tc>
                      <w:tcPr>
                        <w:tcW w:w="395" w:type="dxa"/>
                      </w:tcPr>
                      <w:p>
                        <w:pPr>
                          <w:pStyle w:val="TableParagraph"/>
                          <w:spacing w:line="140" w:lineRule="exact" w:before="17"/>
                          <w:ind w:left="8"/>
                          <w:jc w:val="center"/>
                          <w:rPr>
                            <w:sz w:val="12"/>
                          </w:rPr>
                        </w:pPr>
                        <w:r>
                          <w:rPr>
                            <w:w w:val="99"/>
                            <w:sz w:val="12"/>
                          </w:rPr>
                          <w:t>Q</w:t>
                        </w:r>
                      </w:p>
                    </w:tc>
                    <w:tc>
                      <w:tcPr>
                        <w:tcW w:w="553" w:type="dxa"/>
                      </w:tcPr>
                      <w:p>
                        <w:pPr>
                          <w:pStyle w:val="TableParagraph"/>
                          <w:spacing w:line="141" w:lineRule="exact" w:before="16"/>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spacing w:line="156" w:lineRule="exact"/>
                          <w:ind w:left="257"/>
                          <w:rPr>
                            <w:rFonts w:ascii="Arial"/>
                            <w:sz w:val="14"/>
                          </w:rPr>
                        </w:pPr>
                        <w:r>
                          <w:rPr>
                            <w:rFonts w:ascii="Arial"/>
                            <w:w w:val="97"/>
                            <w:sz w:val="14"/>
                          </w:rPr>
                          <w:t>a</w:t>
                        </w:r>
                      </w:p>
                    </w:tc>
                    <w:tc>
                      <w:tcPr>
                        <w:tcW w:w="1011" w:type="dxa"/>
                      </w:tcPr>
                      <w:p>
                        <w:pPr>
                          <w:pStyle w:val="TableParagraph"/>
                          <w:spacing w:line="156" w:lineRule="exact"/>
                          <w:ind w:left="521"/>
                          <w:rPr>
                            <w:rFonts w:ascii="Arial"/>
                            <w:sz w:val="14"/>
                          </w:rPr>
                        </w:pPr>
                        <w:r>
                          <w:rPr>
                            <w:rFonts w:ascii="Arial"/>
                            <w:w w:val="97"/>
                            <w:sz w:val="14"/>
                          </w:rPr>
                          <w:t>a</w:t>
                        </w:r>
                      </w:p>
                    </w:tc>
                    <w:tc>
                      <w:tcPr>
                        <w:tcW w:w="757" w:type="dxa"/>
                      </w:tcPr>
                      <w:p>
                        <w:pPr>
                          <w:pStyle w:val="TableParagraph"/>
                          <w:rPr>
                            <w:rFonts w:ascii="Times New Roman"/>
                            <w:sz w:val="10"/>
                          </w:rPr>
                        </w:pPr>
                      </w:p>
                    </w:tc>
                    <w:tc>
                      <w:tcPr>
                        <w:tcW w:w="973" w:type="dxa"/>
                      </w:tcPr>
                      <w:p>
                        <w:pPr>
                          <w:pStyle w:val="TableParagraph"/>
                          <w:spacing w:line="140" w:lineRule="exact" w:before="17"/>
                          <w:ind w:left="268"/>
                          <w:rPr>
                            <w:sz w:val="12"/>
                          </w:rPr>
                        </w:pPr>
                        <w:r>
                          <w:rPr>
                            <w:w w:val="101"/>
                            <w:sz w:val="12"/>
                          </w:rPr>
                          <w:t>D</w:t>
                        </w:r>
                      </w:p>
                    </w:tc>
                    <w:tc>
                      <w:tcPr>
                        <w:tcW w:w="1066" w:type="dxa"/>
                      </w:tcPr>
                      <w:p>
                        <w:pPr>
                          <w:pStyle w:val="TableParagraph"/>
                          <w:rPr>
                            <w:rFonts w:ascii="Times New Roman"/>
                            <w:sz w:val="10"/>
                          </w:rPr>
                        </w:pPr>
                      </w:p>
                    </w:tc>
                    <w:tc>
                      <w:tcPr>
                        <w:tcW w:w="672" w:type="dxa"/>
                      </w:tcPr>
                      <w:p>
                        <w:pPr>
                          <w:pStyle w:val="TableParagraph"/>
                          <w:rPr>
                            <w:rFonts w:ascii="Times New Roman"/>
                            <w:sz w:val="10"/>
                          </w:rPr>
                        </w:pPr>
                      </w:p>
                    </w:tc>
                    <w:tc>
                      <w:tcPr>
                        <w:tcW w:w="729" w:type="dxa"/>
                      </w:tcPr>
                      <w:p>
                        <w:pPr>
                          <w:pStyle w:val="TableParagraph"/>
                          <w:spacing w:line="140" w:lineRule="exact" w:before="17"/>
                          <w:ind w:right="149"/>
                          <w:jc w:val="right"/>
                          <w:rPr>
                            <w:sz w:val="12"/>
                          </w:rPr>
                        </w:pPr>
                        <w:r>
                          <w:rPr>
                            <w:w w:val="105"/>
                            <w:sz w:val="12"/>
                          </w:rPr>
                          <w:t>0.0%</w:t>
                        </w:r>
                      </w:p>
                    </w:tc>
                    <w:tc>
                      <w:tcPr>
                        <w:tcW w:w="771" w:type="dxa"/>
                      </w:tcPr>
                      <w:p>
                        <w:pPr>
                          <w:pStyle w:val="TableParagraph"/>
                          <w:spacing w:line="140" w:lineRule="exact" w:before="17"/>
                          <w:ind w:left="172"/>
                          <w:rPr>
                            <w:sz w:val="12"/>
                          </w:rPr>
                        </w:pPr>
                        <w:r>
                          <w:rPr>
                            <w:w w:val="115"/>
                            <w:sz w:val="12"/>
                          </w:rPr>
                          <w:t>21.0%</w:t>
                        </w:r>
                      </w:p>
                    </w:tc>
                    <w:tc>
                      <w:tcPr>
                        <w:tcW w:w="927" w:type="dxa"/>
                      </w:tcPr>
                      <w:p>
                        <w:pPr>
                          <w:pStyle w:val="TableParagraph"/>
                          <w:spacing w:line="140" w:lineRule="exact" w:before="17"/>
                          <w:ind w:left="276"/>
                          <w:rPr>
                            <w:sz w:val="12"/>
                          </w:rPr>
                        </w:pPr>
                        <w:r>
                          <w:rPr>
                            <w:sz w:val="12"/>
                          </w:rPr>
                          <w:t>NR</w:t>
                        </w:r>
                      </w:p>
                    </w:tc>
                    <w:tc>
                      <w:tcPr>
                        <w:tcW w:w="617" w:type="dxa"/>
                      </w:tcPr>
                      <w:p>
                        <w:pPr>
                          <w:pStyle w:val="TableParagraph"/>
                          <w:spacing w:line="140" w:lineRule="exact" w:before="17"/>
                          <w:ind w:right="22"/>
                          <w:jc w:val="right"/>
                          <w:rPr>
                            <w:sz w:val="12"/>
                          </w:rPr>
                        </w:pPr>
                        <w:r>
                          <w:rPr>
                            <w:w w:val="105"/>
                            <w:sz w:val="12"/>
                          </w:rPr>
                          <w:t>5.0%</w:t>
                        </w:r>
                      </w:p>
                    </w:tc>
                  </w:tr>
                  <w:tr>
                    <w:trPr>
                      <w:trHeight w:val="171" w:hRule="atLeast"/>
                    </w:trPr>
                    <w:tc>
                      <w:tcPr>
                        <w:tcW w:w="2010" w:type="dxa"/>
                      </w:tcPr>
                      <w:p>
                        <w:pPr>
                          <w:pStyle w:val="TableParagraph"/>
                          <w:rPr>
                            <w:rFonts w:ascii="Times New Roman"/>
                            <w:sz w:val="10"/>
                          </w:rPr>
                        </w:pPr>
                      </w:p>
                    </w:tc>
                    <w:tc>
                      <w:tcPr>
                        <w:tcW w:w="616" w:type="dxa"/>
                      </w:tcPr>
                      <w:p>
                        <w:pPr>
                          <w:pStyle w:val="TableParagraph"/>
                          <w:spacing w:line="140" w:lineRule="exact" w:before="11"/>
                          <w:ind w:right="208"/>
                          <w:jc w:val="right"/>
                          <w:rPr>
                            <w:sz w:val="12"/>
                          </w:rPr>
                        </w:pPr>
                        <w:r>
                          <w:rPr>
                            <w:w w:val="125"/>
                            <w:sz w:val="12"/>
                          </w:rPr>
                          <w:t>18</w:t>
                        </w:r>
                      </w:p>
                    </w:tc>
                    <w:tc>
                      <w:tcPr>
                        <w:tcW w:w="510" w:type="dxa"/>
                      </w:tcPr>
                      <w:p>
                        <w:pPr>
                          <w:pStyle w:val="TableParagraph"/>
                          <w:rPr>
                            <w:rFonts w:ascii="Times New Roman"/>
                            <w:sz w:val="10"/>
                          </w:rPr>
                        </w:pPr>
                      </w:p>
                    </w:tc>
                    <w:tc>
                      <w:tcPr>
                        <w:tcW w:w="395" w:type="dxa"/>
                      </w:tcPr>
                      <w:p>
                        <w:pPr>
                          <w:pStyle w:val="TableParagraph"/>
                          <w:spacing w:line="140" w:lineRule="exact" w:before="11"/>
                          <w:ind w:left="8"/>
                          <w:jc w:val="center"/>
                          <w:rPr>
                            <w:sz w:val="12"/>
                          </w:rPr>
                        </w:pPr>
                        <w:r>
                          <w:rPr>
                            <w:w w:val="99"/>
                            <w:sz w:val="12"/>
                          </w:rPr>
                          <w:t>Q</w:t>
                        </w:r>
                      </w:p>
                    </w:tc>
                    <w:tc>
                      <w:tcPr>
                        <w:tcW w:w="553" w:type="dxa"/>
                      </w:tcPr>
                      <w:p>
                        <w:pPr>
                          <w:pStyle w:val="TableParagraph"/>
                          <w:spacing w:line="141" w:lineRule="exact" w:before="10"/>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spacing w:line="151" w:lineRule="exact"/>
                          <w:ind w:left="257"/>
                          <w:rPr>
                            <w:rFonts w:ascii="Arial"/>
                            <w:sz w:val="14"/>
                          </w:rPr>
                        </w:pPr>
                        <w:r>
                          <w:rPr>
                            <w:rFonts w:ascii="Arial"/>
                            <w:w w:val="97"/>
                            <w:sz w:val="14"/>
                          </w:rPr>
                          <w:t>a</w:t>
                        </w:r>
                      </w:p>
                    </w:tc>
                    <w:tc>
                      <w:tcPr>
                        <w:tcW w:w="1011" w:type="dxa"/>
                      </w:tcPr>
                      <w:p>
                        <w:pPr>
                          <w:pStyle w:val="TableParagraph"/>
                          <w:spacing w:line="151" w:lineRule="exact"/>
                          <w:ind w:left="521"/>
                          <w:rPr>
                            <w:rFonts w:ascii="Arial"/>
                            <w:sz w:val="14"/>
                          </w:rPr>
                        </w:pPr>
                        <w:r>
                          <w:rPr>
                            <w:rFonts w:ascii="Arial"/>
                            <w:w w:val="97"/>
                            <w:sz w:val="14"/>
                          </w:rPr>
                          <w:t>a</w:t>
                        </w:r>
                      </w:p>
                    </w:tc>
                    <w:tc>
                      <w:tcPr>
                        <w:tcW w:w="757" w:type="dxa"/>
                      </w:tcPr>
                      <w:p>
                        <w:pPr>
                          <w:pStyle w:val="TableParagraph"/>
                          <w:rPr>
                            <w:rFonts w:ascii="Times New Roman"/>
                            <w:sz w:val="10"/>
                          </w:rPr>
                        </w:pPr>
                      </w:p>
                    </w:tc>
                    <w:tc>
                      <w:tcPr>
                        <w:tcW w:w="973" w:type="dxa"/>
                      </w:tcPr>
                      <w:p>
                        <w:pPr>
                          <w:pStyle w:val="TableParagraph"/>
                          <w:spacing w:line="140" w:lineRule="exact" w:before="11"/>
                          <w:ind w:left="268"/>
                          <w:rPr>
                            <w:sz w:val="12"/>
                          </w:rPr>
                        </w:pPr>
                        <w:r>
                          <w:rPr>
                            <w:w w:val="98"/>
                            <w:sz w:val="12"/>
                          </w:rPr>
                          <w:t>H</w:t>
                        </w:r>
                      </w:p>
                    </w:tc>
                    <w:tc>
                      <w:tcPr>
                        <w:tcW w:w="1066" w:type="dxa"/>
                      </w:tcPr>
                      <w:p>
                        <w:pPr>
                          <w:pStyle w:val="TableParagraph"/>
                          <w:rPr>
                            <w:rFonts w:ascii="Times New Roman"/>
                            <w:sz w:val="10"/>
                          </w:rPr>
                        </w:pPr>
                      </w:p>
                    </w:tc>
                    <w:tc>
                      <w:tcPr>
                        <w:tcW w:w="672" w:type="dxa"/>
                      </w:tcPr>
                      <w:p>
                        <w:pPr>
                          <w:pStyle w:val="TableParagraph"/>
                          <w:rPr>
                            <w:rFonts w:ascii="Times New Roman"/>
                            <w:sz w:val="10"/>
                          </w:rPr>
                        </w:pPr>
                      </w:p>
                    </w:tc>
                    <w:tc>
                      <w:tcPr>
                        <w:tcW w:w="729" w:type="dxa"/>
                      </w:tcPr>
                      <w:p>
                        <w:pPr>
                          <w:pStyle w:val="TableParagraph"/>
                          <w:spacing w:line="140" w:lineRule="exact" w:before="11"/>
                          <w:ind w:right="149"/>
                          <w:jc w:val="right"/>
                          <w:rPr>
                            <w:sz w:val="12"/>
                          </w:rPr>
                        </w:pPr>
                        <w:r>
                          <w:rPr>
                            <w:w w:val="105"/>
                            <w:sz w:val="12"/>
                          </w:rPr>
                          <w:t>0.0%</w:t>
                        </w:r>
                      </w:p>
                    </w:tc>
                    <w:tc>
                      <w:tcPr>
                        <w:tcW w:w="771" w:type="dxa"/>
                      </w:tcPr>
                      <w:p>
                        <w:pPr>
                          <w:pStyle w:val="TableParagraph"/>
                          <w:spacing w:line="140" w:lineRule="exact" w:before="11"/>
                          <w:ind w:left="172"/>
                          <w:rPr>
                            <w:sz w:val="12"/>
                          </w:rPr>
                        </w:pPr>
                        <w:r>
                          <w:rPr>
                            <w:w w:val="115"/>
                            <w:sz w:val="12"/>
                          </w:rPr>
                          <w:t>33.0%</w:t>
                        </w:r>
                      </w:p>
                    </w:tc>
                    <w:tc>
                      <w:tcPr>
                        <w:tcW w:w="927" w:type="dxa"/>
                      </w:tcPr>
                      <w:p>
                        <w:pPr>
                          <w:pStyle w:val="TableParagraph"/>
                          <w:spacing w:line="140" w:lineRule="exact" w:before="11"/>
                          <w:ind w:left="276"/>
                          <w:rPr>
                            <w:sz w:val="12"/>
                          </w:rPr>
                        </w:pPr>
                        <w:r>
                          <w:rPr>
                            <w:sz w:val="12"/>
                          </w:rPr>
                          <w:t>NR</w:t>
                        </w:r>
                      </w:p>
                    </w:tc>
                    <w:tc>
                      <w:tcPr>
                        <w:tcW w:w="617" w:type="dxa"/>
                      </w:tcPr>
                      <w:p>
                        <w:pPr>
                          <w:pStyle w:val="TableParagraph"/>
                          <w:spacing w:line="140" w:lineRule="exact" w:before="11"/>
                          <w:ind w:right="22"/>
                          <w:jc w:val="right"/>
                          <w:rPr>
                            <w:sz w:val="12"/>
                          </w:rPr>
                        </w:pPr>
                        <w:r>
                          <w:rPr>
                            <w:w w:val="105"/>
                            <w:sz w:val="12"/>
                          </w:rPr>
                          <w:t>6.0%</w:t>
                        </w:r>
                      </w:p>
                    </w:tc>
                  </w:tr>
                  <w:tr>
                    <w:trPr>
                      <w:trHeight w:val="161" w:hRule="atLeast"/>
                    </w:trPr>
                    <w:tc>
                      <w:tcPr>
                        <w:tcW w:w="2010" w:type="dxa"/>
                      </w:tcPr>
                      <w:p>
                        <w:pPr>
                          <w:pStyle w:val="TableParagraph"/>
                          <w:rPr>
                            <w:rFonts w:ascii="Times New Roman"/>
                            <w:sz w:val="10"/>
                          </w:rPr>
                        </w:pPr>
                      </w:p>
                    </w:tc>
                    <w:tc>
                      <w:tcPr>
                        <w:tcW w:w="616" w:type="dxa"/>
                      </w:tcPr>
                      <w:p>
                        <w:pPr>
                          <w:pStyle w:val="TableParagraph"/>
                          <w:spacing w:line="130" w:lineRule="exact" w:before="11"/>
                          <w:ind w:right="208"/>
                          <w:jc w:val="right"/>
                          <w:rPr>
                            <w:sz w:val="12"/>
                          </w:rPr>
                        </w:pPr>
                        <w:r>
                          <w:rPr>
                            <w:w w:val="125"/>
                            <w:sz w:val="12"/>
                          </w:rPr>
                          <w:t>19</w:t>
                        </w:r>
                      </w:p>
                    </w:tc>
                    <w:tc>
                      <w:tcPr>
                        <w:tcW w:w="510" w:type="dxa"/>
                      </w:tcPr>
                      <w:p>
                        <w:pPr>
                          <w:pStyle w:val="TableParagraph"/>
                          <w:rPr>
                            <w:rFonts w:ascii="Times New Roman"/>
                            <w:sz w:val="10"/>
                          </w:rPr>
                        </w:pPr>
                      </w:p>
                    </w:tc>
                    <w:tc>
                      <w:tcPr>
                        <w:tcW w:w="395" w:type="dxa"/>
                      </w:tcPr>
                      <w:p>
                        <w:pPr>
                          <w:pStyle w:val="TableParagraph"/>
                          <w:spacing w:line="130" w:lineRule="exact" w:before="11"/>
                          <w:ind w:left="8"/>
                          <w:jc w:val="center"/>
                          <w:rPr>
                            <w:sz w:val="12"/>
                          </w:rPr>
                        </w:pPr>
                        <w:r>
                          <w:rPr>
                            <w:w w:val="99"/>
                            <w:sz w:val="12"/>
                          </w:rPr>
                          <w:t>Q</w:t>
                        </w:r>
                      </w:p>
                    </w:tc>
                    <w:tc>
                      <w:tcPr>
                        <w:tcW w:w="553" w:type="dxa"/>
                      </w:tcPr>
                      <w:p>
                        <w:pPr>
                          <w:pStyle w:val="TableParagraph"/>
                          <w:spacing w:line="131" w:lineRule="exact" w:before="10"/>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spacing w:line="142" w:lineRule="exact"/>
                          <w:ind w:left="257"/>
                          <w:rPr>
                            <w:rFonts w:ascii="Arial"/>
                            <w:sz w:val="14"/>
                          </w:rPr>
                        </w:pPr>
                        <w:r>
                          <w:rPr>
                            <w:rFonts w:ascii="Arial"/>
                            <w:w w:val="97"/>
                            <w:sz w:val="14"/>
                          </w:rPr>
                          <w:t>a</w:t>
                        </w:r>
                      </w:p>
                    </w:tc>
                    <w:tc>
                      <w:tcPr>
                        <w:tcW w:w="1011" w:type="dxa"/>
                      </w:tcPr>
                      <w:p>
                        <w:pPr>
                          <w:pStyle w:val="TableParagraph"/>
                          <w:spacing w:line="131" w:lineRule="exact" w:before="10"/>
                          <w:ind w:left="521"/>
                          <w:rPr>
                            <w:rFonts w:ascii="Lucida Sans"/>
                            <w:sz w:val="12"/>
                          </w:rPr>
                        </w:pPr>
                        <w:r>
                          <w:rPr>
                            <w:rFonts w:ascii="Lucida Sans"/>
                            <w:w w:val="174"/>
                            <w:sz w:val="12"/>
                          </w:rPr>
                          <w:t>C</w:t>
                        </w:r>
                      </w:p>
                    </w:tc>
                    <w:tc>
                      <w:tcPr>
                        <w:tcW w:w="757" w:type="dxa"/>
                      </w:tcPr>
                      <w:p>
                        <w:pPr>
                          <w:pStyle w:val="TableParagraph"/>
                          <w:rPr>
                            <w:rFonts w:ascii="Times New Roman"/>
                            <w:sz w:val="10"/>
                          </w:rPr>
                        </w:pPr>
                      </w:p>
                    </w:tc>
                    <w:tc>
                      <w:tcPr>
                        <w:tcW w:w="973" w:type="dxa"/>
                      </w:tcPr>
                      <w:p>
                        <w:pPr>
                          <w:pStyle w:val="TableParagraph"/>
                          <w:rPr>
                            <w:rFonts w:ascii="Times New Roman"/>
                            <w:sz w:val="10"/>
                          </w:rPr>
                        </w:pPr>
                      </w:p>
                    </w:tc>
                    <w:tc>
                      <w:tcPr>
                        <w:tcW w:w="1066" w:type="dxa"/>
                      </w:tcPr>
                      <w:p>
                        <w:pPr>
                          <w:pStyle w:val="TableParagraph"/>
                          <w:rPr>
                            <w:rFonts w:ascii="Times New Roman"/>
                            <w:sz w:val="10"/>
                          </w:rPr>
                        </w:pPr>
                      </w:p>
                    </w:tc>
                    <w:tc>
                      <w:tcPr>
                        <w:tcW w:w="672" w:type="dxa"/>
                      </w:tcPr>
                      <w:p>
                        <w:pPr>
                          <w:pStyle w:val="TableParagraph"/>
                          <w:rPr>
                            <w:rFonts w:ascii="Times New Roman"/>
                            <w:sz w:val="10"/>
                          </w:rPr>
                        </w:pPr>
                      </w:p>
                    </w:tc>
                    <w:tc>
                      <w:tcPr>
                        <w:tcW w:w="729" w:type="dxa"/>
                      </w:tcPr>
                      <w:p>
                        <w:pPr>
                          <w:pStyle w:val="TableParagraph"/>
                          <w:spacing w:line="130" w:lineRule="exact" w:before="11"/>
                          <w:ind w:right="149"/>
                          <w:jc w:val="right"/>
                          <w:rPr>
                            <w:sz w:val="12"/>
                          </w:rPr>
                        </w:pPr>
                        <w:r>
                          <w:rPr>
                            <w:w w:val="105"/>
                            <w:sz w:val="12"/>
                          </w:rPr>
                          <w:t>0.0%</w:t>
                        </w:r>
                      </w:p>
                    </w:tc>
                    <w:tc>
                      <w:tcPr>
                        <w:tcW w:w="771" w:type="dxa"/>
                      </w:tcPr>
                      <w:p>
                        <w:pPr>
                          <w:pStyle w:val="TableParagraph"/>
                          <w:spacing w:line="130" w:lineRule="exact" w:before="11"/>
                          <w:ind w:left="172"/>
                          <w:rPr>
                            <w:sz w:val="12"/>
                          </w:rPr>
                        </w:pPr>
                        <w:r>
                          <w:rPr>
                            <w:w w:val="115"/>
                            <w:sz w:val="12"/>
                          </w:rPr>
                          <w:t>26.0%</w:t>
                        </w:r>
                      </w:p>
                    </w:tc>
                    <w:tc>
                      <w:tcPr>
                        <w:tcW w:w="927" w:type="dxa"/>
                      </w:tcPr>
                      <w:p>
                        <w:pPr>
                          <w:pStyle w:val="TableParagraph"/>
                          <w:spacing w:line="130" w:lineRule="exact" w:before="11"/>
                          <w:ind w:left="276"/>
                          <w:rPr>
                            <w:sz w:val="12"/>
                          </w:rPr>
                        </w:pPr>
                        <w:r>
                          <w:rPr>
                            <w:sz w:val="12"/>
                          </w:rPr>
                          <w:t>NR</w:t>
                        </w:r>
                      </w:p>
                    </w:tc>
                    <w:tc>
                      <w:tcPr>
                        <w:tcW w:w="617" w:type="dxa"/>
                      </w:tcPr>
                      <w:p>
                        <w:pPr>
                          <w:pStyle w:val="TableParagraph"/>
                          <w:spacing w:line="130" w:lineRule="exact" w:before="11"/>
                          <w:ind w:right="22"/>
                          <w:jc w:val="right"/>
                          <w:rPr>
                            <w:sz w:val="12"/>
                          </w:rPr>
                        </w:pPr>
                        <w:r>
                          <w:rPr>
                            <w:w w:val="105"/>
                            <w:sz w:val="12"/>
                          </w:rPr>
                          <w:t>5.0%</w:t>
                        </w:r>
                      </w:p>
                    </w:tc>
                  </w:tr>
                  <w:tr>
                    <w:trPr>
                      <w:trHeight w:val="175" w:hRule="atLeast"/>
                    </w:trPr>
                    <w:tc>
                      <w:tcPr>
                        <w:tcW w:w="2010" w:type="dxa"/>
                      </w:tcPr>
                      <w:p>
                        <w:pPr>
                          <w:pStyle w:val="TableParagraph"/>
                          <w:spacing w:line="134" w:lineRule="exact" w:before="20"/>
                          <w:ind w:left="33"/>
                          <w:rPr>
                            <w:sz w:val="12"/>
                          </w:rPr>
                        </w:pPr>
                        <w:r>
                          <w:rPr>
                            <w:w w:val="115"/>
                            <w:sz w:val="12"/>
                          </w:rPr>
                          <w:t>Newman et al., 2011 [</w:t>
                        </w:r>
                        <w:hyperlink w:history="true" w:anchor="_bookmark63">
                          <w:r>
                            <w:rPr>
                              <w:color w:val="007FAC"/>
                              <w:w w:val="115"/>
                              <w:sz w:val="12"/>
                            </w:rPr>
                            <w:t>53</w:t>
                          </w:r>
                        </w:hyperlink>
                        <w:r>
                          <w:rPr>
                            <w:w w:val="115"/>
                            <w:sz w:val="12"/>
                          </w:rPr>
                          <w:t>]</w:t>
                        </w:r>
                        <w:r>
                          <w:rPr>
                            <w:w w:val="115"/>
                            <w:sz w:val="12"/>
                            <w:vertAlign w:val="superscript"/>
                          </w:rPr>
                          <w:t>,</w:t>
                        </w:r>
                        <w:hyperlink w:history="true" w:anchor="_bookmark94">
                          <w:r>
                            <w:rPr>
                              <w:color w:val="007FAC"/>
                              <w:w w:val="115"/>
                              <w:sz w:val="12"/>
                              <w:vertAlign w:val="superscript"/>
                            </w:rPr>
                            <w:t>e</w:t>
                          </w:r>
                        </w:hyperlink>
                      </w:p>
                    </w:tc>
                    <w:tc>
                      <w:tcPr>
                        <w:tcW w:w="616" w:type="dxa"/>
                      </w:tcPr>
                      <w:p>
                        <w:pPr>
                          <w:pStyle w:val="TableParagraph"/>
                          <w:spacing w:line="134" w:lineRule="exact" w:before="20"/>
                          <w:ind w:right="208"/>
                          <w:jc w:val="right"/>
                          <w:rPr>
                            <w:sz w:val="12"/>
                          </w:rPr>
                        </w:pPr>
                        <w:r>
                          <w:rPr>
                            <w:w w:val="125"/>
                            <w:sz w:val="12"/>
                          </w:rPr>
                          <w:t>82</w:t>
                        </w:r>
                      </w:p>
                    </w:tc>
                    <w:tc>
                      <w:tcPr>
                        <w:tcW w:w="510" w:type="dxa"/>
                      </w:tcPr>
                      <w:p>
                        <w:pPr>
                          <w:pStyle w:val="TableParagraph"/>
                          <w:spacing w:line="135" w:lineRule="exact" w:before="20"/>
                          <w:ind w:left="60"/>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35" w:lineRule="exact" w:before="20"/>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rPr>
                            <w:rFonts w:ascii="Times New Roman"/>
                            <w:sz w:val="10"/>
                          </w:rPr>
                        </w:pPr>
                      </w:p>
                    </w:tc>
                    <w:tc>
                      <w:tcPr>
                        <w:tcW w:w="1011" w:type="dxa"/>
                      </w:tcPr>
                      <w:p>
                        <w:pPr>
                          <w:pStyle w:val="TableParagraph"/>
                          <w:rPr>
                            <w:rFonts w:ascii="Times New Roman"/>
                            <w:sz w:val="10"/>
                          </w:rPr>
                        </w:pPr>
                      </w:p>
                    </w:tc>
                    <w:tc>
                      <w:tcPr>
                        <w:tcW w:w="757" w:type="dxa"/>
                      </w:tcPr>
                      <w:p>
                        <w:pPr>
                          <w:pStyle w:val="TableParagraph"/>
                          <w:spacing w:line="135" w:lineRule="exact" w:before="20"/>
                          <w:ind w:right="257"/>
                          <w:jc w:val="right"/>
                          <w:rPr>
                            <w:rFonts w:ascii="Lucida Sans"/>
                            <w:sz w:val="12"/>
                          </w:rPr>
                        </w:pPr>
                        <w:r>
                          <w:rPr>
                            <w:rFonts w:ascii="Lucida Sans"/>
                            <w:w w:val="174"/>
                            <w:sz w:val="12"/>
                          </w:rPr>
                          <w:t>C</w:t>
                        </w:r>
                      </w:p>
                    </w:tc>
                    <w:tc>
                      <w:tcPr>
                        <w:tcW w:w="973" w:type="dxa"/>
                      </w:tcPr>
                      <w:p>
                        <w:pPr>
                          <w:pStyle w:val="TableParagraph"/>
                          <w:rPr>
                            <w:rFonts w:ascii="Times New Roman"/>
                            <w:sz w:val="10"/>
                          </w:rPr>
                        </w:pPr>
                      </w:p>
                    </w:tc>
                    <w:tc>
                      <w:tcPr>
                        <w:tcW w:w="1066" w:type="dxa"/>
                      </w:tcPr>
                      <w:p>
                        <w:pPr>
                          <w:pStyle w:val="TableParagraph"/>
                          <w:spacing w:line="135" w:lineRule="exact" w:before="20"/>
                          <w:ind w:right="301"/>
                          <w:jc w:val="right"/>
                          <w:rPr>
                            <w:rFonts w:ascii="Lucida Sans"/>
                            <w:sz w:val="12"/>
                          </w:rPr>
                        </w:pPr>
                        <w:r>
                          <w:rPr>
                            <w:rFonts w:ascii="Lucida Sans"/>
                            <w:w w:val="174"/>
                            <w:sz w:val="12"/>
                          </w:rPr>
                          <w:t>C</w:t>
                        </w:r>
                      </w:p>
                    </w:tc>
                    <w:tc>
                      <w:tcPr>
                        <w:tcW w:w="672" w:type="dxa"/>
                      </w:tcPr>
                      <w:p>
                        <w:pPr>
                          <w:pStyle w:val="TableParagraph"/>
                          <w:rPr>
                            <w:rFonts w:ascii="Times New Roman"/>
                            <w:sz w:val="10"/>
                          </w:rPr>
                        </w:pPr>
                      </w:p>
                    </w:tc>
                    <w:tc>
                      <w:tcPr>
                        <w:tcW w:w="729" w:type="dxa"/>
                      </w:tcPr>
                      <w:p>
                        <w:pPr>
                          <w:pStyle w:val="TableParagraph"/>
                          <w:spacing w:line="134" w:lineRule="exact" w:before="20"/>
                          <w:ind w:right="149"/>
                          <w:jc w:val="right"/>
                          <w:rPr>
                            <w:sz w:val="12"/>
                          </w:rPr>
                        </w:pPr>
                        <w:r>
                          <w:rPr>
                            <w:w w:val="105"/>
                            <w:sz w:val="12"/>
                          </w:rPr>
                          <w:t>0.0%</w:t>
                        </w:r>
                      </w:p>
                    </w:tc>
                    <w:tc>
                      <w:tcPr>
                        <w:tcW w:w="771" w:type="dxa"/>
                      </w:tcPr>
                      <w:p>
                        <w:pPr>
                          <w:pStyle w:val="TableParagraph"/>
                          <w:spacing w:line="134" w:lineRule="exact" w:before="20"/>
                          <w:ind w:right="257"/>
                          <w:jc w:val="right"/>
                          <w:rPr>
                            <w:sz w:val="12"/>
                          </w:rPr>
                        </w:pPr>
                        <w:r>
                          <w:rPr>
                            <w:w w:val="105"/>
                            <w:sz w:val="12"/>
                          </w:rPr>
                          <w:t>0.0%</w:t>
                        </w:r>
                      </w:p>
                    </w:tc>
                    <w:tc>
                      <w:tcPr>
                        <w:tcW w:w="927" w:type="dxa"/>
                      </w:tcPr>
                      <w:p>
                        <w:pPr>
                          <w:pStyle w:val="TableParagraph"/>
                          <w:spacing w:line="134" w:lineRule="exact" w:before="20"/>
                          <w:ind w:right="227"/>
                          <w:jc w:val="right"/>
                          <w:rPr>
                            <w:sz w:val="12"/>
                          </w:rPr>
                        </w:pPr>
                        <w:r>
                          <w:rPr>
                            <w:w w:val="105"/>
                            <w:sz w:val="12"/>
                          </w:rPr>
                          <w:t>0.0%</w:t>
                        </w:r>
                      </w:p>
                    </w:tc>
                    <w:tc>
                      <w:tcPr>
                        <w:tcW w:w="617" w:type="dxa"/>
                      </w:tcPr>
                      <w:p>
                        <w:pPr>
                          <w:pStyle w:val="TableParagraph"/>
                          <w:spacing w:line="134" w:lineRule="exact" w:before="20"/>
                          <w:ind w:right="22"/>
                          <w:jc w:val="right"/>
                          <w:rPr>
                            <w:sz w:val="12"/>
                          </w:rPr>
                        </w:pPr>
                        <w:r>
                          <w:rPr>
                            <w:w w:val="105"/>
                            <w:sz w:val="12"/>
                          </w:rPr>
                          <w:t>0.0%</w:t>
                        </w:r>
                      </w:p>
                    </w:tc>
                  </w:tr>
                  <w:tr>
                    <w:trPr>
                      <w:trHeight w:val="176" w:hRule="atLeast"/>
                    </w:trPr>
                    <w:tc>
                      <w:tcPr>
                        <w:tcW w:w="2010" w:type="dxa"/>
                      </w:tcPr>
                      <w:p>
                        <w:pPr>
                          <w:pStyle w:val="TableParagraph"/>
                          <w:rPr>
                            <w:rFonts w:ascii="Times New Roman"/>
                            <w:sz w:val="10"/>
                          </w:rPr>
                        </w:pPr>
                      </w:p>
                    </w:tc>
                    <w:tc>
                      <w:tcPr>
                        <w:tcW w:w="616" w:type="dxa"/>
                      </w:tcPr>
                      <w:p>
                        <w:pPr>
                          <w:pStyle w:val="TableParagraph"/>
                          <w:spacing w:line="140" w:lineRule="exact" w:before="17"/>
                          <w:ind w:right="208"/>
                          <w:jc w:val="right"/>
                          <w:rPr>
                            <w:sz w:val="12"/>
                          </w:rPr>
                        </w:pPr>
                        <w:r>
                          <w:rPr>
                            <w:w w:val="125"/>
                            <w:sz w:val="12"/>
                          </w:rPr>
                          <w:t>99</w:t>
                        </w:r>
                      </w:p>
                    </w:tc>
                    <w:tc>
                      <w:tcPr>
                        <w:tcW w:w="510" w:type="dxa"/>
                      </w:tcPr>
                      <w:p>
                        <w:pPr>
                          <w:pStyle w:val="TableParagraph"/>
                          <w:spacing w:line="141" w:lineRule="exact" w:before="16"/>
                          <w:ind w:left="60"/>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41" w:lineRule="exact" w:before="16"/>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spacing w:line="156" w:lineRule="exact"/>
                          <w:ind w:left="257"/>
                          <w:rPr>
                            <w:rFonts w:ascii="Arial"/>
                            <w:sz w:val="14"/>
                          </w:rPr>
                        </w:pPr>
                        <w:r>
                          <w:rPr>
                            <w:rFonts w:ascii="Arial"/>
                            <w:w w:val="97"/>
                            <w:sz w:val="14"/>
                          </w:rPr>
                          <w:t>a</w:t>
                        </w:r>
                      </w:p>
                    </w:tc>
                    <w:tc>
                      <w:tcPr>
                        <w:tcW w:w="1011" w:type="dxa"/>
                      </w:tcPr>
                      <w:p>
                        <w:pPr>
                          <w:pStyle w:val="TableParagraph"/>
                          <w:spacing w:line="156" w:lineRule="exact"/>
                          <w:ind w:left="521"/>
                          <w:rPr>
                            <w:rFonts w:ascii="Arial"/>
                            <w:sz w:val="14"/>
                          </w:rPr>
                        </w:pPr>
                        <w:r>
                          <w:rPr>
                            <w:rFonts w:ascii="Arial"/>
                            <w:w w:val="97"/>
                            <w:sz w:val="14"/>
                          </w:rPr>
                          <w:t>a</w:t>
                        </w:r>
                      </w:p>
                    </w:tc>
                    <w:tc>
                      <w:tcPr>
                        <w:tcW w:w="757" w:type="dxa"/>
                      </w:tcPr>
                      <w:p>
                        <w:pPr>
                          <w:pStyle w:val="TableParagraph"/>
                          <w:rPr>
                            <w:rFonts w:ascii="Times New Roman"/>
                            <w:sz w:val="10"/>
                          </w:rPr>
                        </w:pPr>
                      </w:p>
                    </w:tc>
                    <w:tc>
                      <w:tcPr>
                        <w:tcW w:w="973" w:type="dxa"/>
                      </w:tcPr>
                      <w:p>
                        <w:pPr>
                          <w:pStyle w:val="TableParagraph"/>
                          <w:rPr>
                            <w:rFonts w:ascii="Times New Roman"/>
                            <w:sz w:val="10"/>
                          </w:rPr>
                        </w:pPr>
                      </w:p>
                    </w:tc>
                    <w:tc>
                      <w:tcPr>
                        <w:tcW w:w="1066" w:type="dxa"/>
                      </w:tcPr>
                      <w:p>
                        <w:pPr>
                          <w:pStyle w:val="TableParagraph"/>
                          <w:spacing w:line="141" w:lineRule="exact" w:before="16"/>
                          <w:ind w:right="301"/>
                          <w:jc w:val="right"/>
                          <w:rPr>
                            <w:rFonts w:ascii="Lucida Sans"/>
                            <w:sz w:val="12"/>
                          </w:rPr>
                        </w:pPr>
                        <w:r>
                          <w:rPr>
                            <w:rFonts w:ascii="Lucida Sans"/>
                            <w:w w:val="174"/>
                            <w:sz w:val="12"/>
                          </w:rPr>
                          <w:t>C</w:t>
                        </w:r>
                      </w:p>
                    </w:tc>
                    <w:tc>
                      <w:tcPr>
                        <w:tcW w:w="672" w:type="dxa"/>
                      </w:tcPr>
                      <w:p>
                        <w:pPr>
                          <w:pStyle w:val="TableParagraph"/>
                          <w:spacing w:line="140" w:lineRule="exact" w:before="17"/>
                          <w:ind w:right="215"/>
                          <w:jc w:val="right"/>
                          <w:rPr>
                            <w:sz w:val="12"/>
                          </w:rPr>
                        </w:pPr>
                        <w:r>
                          <w:rPr>
                            <w:w w:val="105"/>
                            <w:sz w:val="12"/>
                          </w:rPr>
                          <w:t>SS</w:t>
                        </w:r>
                      </w:p>
                    </w:tc>
                    <w:tc>
                      <w:tcPr>
                        <w:tcW w:w="729" w:type="dxa"/>
                      </w:tcPr>
                      <w:p>
                        <w:pPr>
                          <w:pStyle w:val="TableParagraph"/>
                          <w:spacing w:line="140" w:lineRule="exact" w:before="17"/>
                          <w:ind w:right="149"/>
                          <w:jc w:val="right"/>
                          <w:rPr>
                            <w:sz w:val="12"/>
                          </w:rPr>
                        </w:pPr>
                        <w:r>
                          <w:rPr>
                            <w:w w:val="105"/>
                            <w:sz w:val="12"/>
                          </w:rPr>
                          <w:t>2.0%</w:t>
                        </w:r>
                      </w:p>
                    </w:tc>
                    <w:tc>
                      <w:tcPr>
                        <w:tcW w:w="771" w:type="dxa"/>
                      </w:tcPr>
                      <w:p>
                        <w:pPr>
                          <w:pStyle w:val="TableParagraph"/>
                          <w:spacing w:line="140" w:lineRule="exact" w:before="17"/>
                          <w:ind w:right="257"/>
                          <w:jc w:val="right"/>
                          <w:rPr>
                            <w:sz w:val="12"/>
                          </w:rPr>
                        </w:pPr>
                        <w:r>
                          <w:rPr>
                            <w:w w:val="105"/>
                            <w:sz w:val="12"/>
                          </w:rPr>
                          <w:t>2.0%</w:t>
                        </w:r>
                      </w:p>
                    </w:tc>
                    <w:tc>
                      <w:tcPr>
                        <w:tcW w:w="927" w:type="dxa"/>
                      </w:tcPr>
                      <w:p>
                        <w:pPr>
                          <w:pStyle w:val="TableParagraph"/>
                          <w:spacing w:line="140" w:lineRule="exact" w:before="17"/>
                          <w:ind w:right="227"/>
                          <w:jc w:val="right"/>
                          <w:rPr>
                            <w:sz w:val="12"/>
                          </w:rPr>
                        </w:pPr>
                        <w:r>
                          <w:rPr>
                            <w:w w:val="105"/>
                            <w:sz w:val="12"/>
                          </w:rPr>
                          <w:t>1.0%</w:t>
                        </w:r>
                      </w:p>
                    </w:tc>
                    <w:tc>
                      <w:tcPr>
                        <w:tcW w:w="617" w:type="dxa"/>
                      </w:tcPr>
                      <w:p>
                        <w:pPr>
                          <w:pStyle w:val="TableParagraph"/>
                          <w:spacing w:line="140" w:lineRule="exact" w:before="17"/>
                          <w:ind w:right="22"/>
                          <w:jc w:val="right"/>
                          <w:rPr>
                            <w:sz w:val="12"/>
                          </w:rPr>
                        </w:pPr>
                        <w:r>
                          <w:rPr>
                            <w:w w:val="105"/>
                            <w:sz w:val="12"/>
                          </w:rPr>
                          <w:t>3.0%</w:t>
                        </w:r>
                      </w:p>
                    </w:tc>
                  </w:tr>
                  <w:tr>
                    <w:trPr>
                      <w:trHeight w:val="165" w:hRule="atLeast"/>
                    </w:trPr>
                    <w:tc>
                      <w:tcPr>
                        <w:tcW w:w="2010" w:type="dxa"/>
                      </w:tcPr>
                      <w:p>
                        <w:pPr>
                          <w:pStyle w:val="TableParagraph"/>
                          <w:spacing w:line="134" w:lineRule="exact" w:before="11"/>
                          <w:ind w:left="33"/>
                          <w:rPr>
                            <w:sz w:val="12"/>
                          </w:rPr>
                        </w:pPr>
                        <w:r>
                          <w:rPr>
                            <w:w w:val="115"/>
                            <w:sz w:val="12"/>
                          </w:rPr>
                          <w:t>Gililland et al., 2012 [</w:t>
                        </w:r>
                        <w:hyperlink w:history="true" w:anchor="_bookmark53">
                          <w:r>
                            <w:rPr>
                              <w:color w:val="007FAC"/>
                              <w:w w:val="115"/>
                              <w:sz w:val="12"/>
                            </w:rPr>
                            <w:t>42</w:t>
                          </w:r>
                        </w:hyperlink>
                        <w:r>
                          <w:rPr>
                            <w:w w:val="115"/>
                            <w:sz w:val="12"/>
                          </w:rPr>
                          <w:t>]</w:t>
                        </w:r>
                      </w:p>
                    </w:tc>
                    <w:tc>
                      <w:tcPr>
                        <w:tcW w:w="616" w:type="dxa"/>
                      </w:tcPr>
                      <w:p>
                        <w:pPr>
                          <w:pStyle w:val="TableParagraph"/>
                          <w:spacing w:line="134" w:lineRule="exact" w:before="11"/>
                          <w:ind w:right="208"/>
                          <w:jc w:val="right"/>
                          <w:rPr>
                            <w:sz w:val="12"/>
                          </w:rPr>
                        </w:pPr>
                        <w:r>
                          <w:rPr>
                            <w:w w:val="125"/>
                            <w:sz w:val="12"/>
                          </w:rPr>
                          <w:t>85</w:t>
                        </w:r>
                      </w:p>
                    </w:tc>
                    <w:tc>
                      <w:tcPr>
                        <w:tcW w:w="510" w:type="dxa"/>
                      </w:tcPr>
                      <w:p>
                        <w:pPr>
                          <w:pStyle w:val="TableParagraph"/>
                          <w:spacing w:line="135" w:lineRule="exact" w:before="10"/>
                          <w:ind w:left="60"/>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35" w:lineRule="exact" w:before="10"/>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rPr>
                            <w:rFonts w:ascii="Times New Roman"/>
                            <w:sz w:val="10"/>
                          </w:rPr>
                        </w:pPr>
                      </w:p>
                    </w:tc>
                    <w:tc>
                      <w:tcPr>
                        <w:tcW w:w="1011" w:type="dxa"/>
                      </w:tcPr>
                      <w:p>
                        <w:pPr>
                          <w:pStyle w:val="TableParagraph"/>
                          <w:rPr>
                            <w:rFonts w:ascii="Times New Roman"/>
                            <w:sz w:val="10"/>
                          </w:rPr>
                        </w:pPr>
                      </w:p>
                    </w:tc>
                    <w:tc>
                      <w:tcPr>
                        <w:tcW w:w="757" w:type="dxa"/>
                      </w:tcPr>
                      <w:p>
                        <w:pPr>
                          <w:pStyle w:val="TableParagraph"/>
                          <w:spacing w:line="135" w:lineRule="exact" w:before="10"/>
                          <w:ind w:right="257"/>
                          <w:jc w:val="right"/>
                          <w:rPr>
                            <w:rFonts w:ascii="Lucida Sans"/>
                            <w:sz w:val="12"/>
                          </w:rPr>
                        </w:pPr>
                        <w:r>
                          <w:rPr>
                            <w:rFonts w:ascii="Lucida Sans"/>
                            <w:w w:val="174"/>
                            <w:sz w:val="12"/>
                          </w:rPr>
                          <w:t>C</w:t>
                        </w:r>
                      </w:p>
                    </w:tc>
                    <w:tc>
                      <w:tcPr>
                        <w:tcW w:w="973" w:type="dxa"/>
                      </w:tcPr>
                      <w:p>
                        <w:pPr>
                          <w:pStyle w:val="TableParagraph"/>
                          <w:rPr>
                            <w:rFonts w:ascii="Times New Roman"/>
                            <w:sz w:val="10"/>
                          </w:rPr>
                        </w:pPr>
                      </w:p>
                    </w:tc>
                    <w:tc>
                      <w:tcPr>
                        <w:tcW w:w="1066" w:type="dxa"/>
                      </w:tcPr>
                      <w:p>
                        <w:pPr>
                          <w:pStyle w:val="TableParagraph"/>
                          <w:spacing w:line="135" w:lineRule="exact" w:before="10"/>
                          <w:ind w:right="301"/>
                          <w:jc w:val="right"/>
                          <w:rPr>
                            <w:rFonts w:ascii="Lucida Sans"/>
                            <w:sz w:val="12"/>
                          </w:rPr>
                        </w:pPr>
                        <w:r>
                          <w:rPr>
                            <w:rFonts w:ascii="Lucida Sans"/>
                            <w:w w:val="174"/>
                            <w:sz w:val="12"/>
                          </w:rPr>
                          <w:t>C</w:t>
                        </w:r>
                      </w:p>
                    </w:tc>
                    <w:tc>
                      <w:tcPr>
                        <w:tcW w:w="672" w:type="dxa"/>
                      </w:tcPr>
                      <w:p>
                        <w:pPr>
                          <w:pStyle w:val="TableParagraph"/>
                          <w:rPr>
                            <w:rFonts w:ascii="Times New Roman"/>
                            <w:sz w:val="10"/>
                          </w:rPr>
                        </w:pPr>
                      </w:p>
                    </w:tc>
                    <w:tc>
                      <w:tcPr>
                        <w:tcW w:w="729" w:type="dxa"/>
                      </w:tcPr>
                      <w:p>
                        <w:pPr>
                          <w:pStyle w:val="TableParagraph"/>
                          <w:spacing w:line="134" w:lineRule="exact" w:before="11"/>
                          <w:ind w:left="231"/>
                          <w:rPr>
                            <w:sz w:val="12"/>
                          </w:rPr>
                        </w:pPr>
                        <w:r>
                          <w:rPr>
                            <w:sz w:val="12"/>
                          </w:rPr>
                          <w:t>NR</w:t>
                        </w:r>
                      </w:p>
                    </w:tc>
                    <w:tc>
                      <w:tcPr>
                        <w:tcW w:w="771" w:type="dxa"/>
                      </w:tcPr>
                      <w:p>
                        <w:pPr>
                          <w:pStyle w:val="TableParagraph"/>
                          <w:spacing w:line="134" w:lineRule="exact" w:before="11"/>
                          <w:ind w:right="257"/>
                          <w:jc w:val="right"/>
                          <w:rPr>
                            <w:sz w:val="12"/>
                          </w:rPr>
                        </w:pPr>
                        <w:r>
                          <w:rPr>
                            <w:w w:val="105"/>
                            <w:sz w:val="12"/>
                          </w:rPr>
                          <w:t>0.0%</w:t>
                        </w:r>
                      </w:p>
                    </w:tc>
                    <w:tc>
                      <w:tcPr>
                        <w:tcW w:w="927" w:type="dxa"/>
                      </w:tcPr>
                      <w:p>
                        <w:pPr>
                          <w:pStyle w:val="TableParagraph"/>
                          <w:spacing w:line="134" w:lineRule="exact" w:before="11"/>
                          <w:ind w:left="276"/>
                          <w:rPr>
                            <w:sz w:val="12"/>
                          </w:rPr>
                        </w:pPr>
                        <w:r>
                          <w:rPr>
                            <w:sz w:val="12"/>
                          </w:rPr>
                          <w:t>NR</w:t>
                        </w:r>
                      </w:p>
                    </w:tc>
                    <w:tc>
                      <w:tcPr>
                        <w:tcW w:w="617" w:type="dxa"/>
                      </w:tcPr>
                      <w:p>
                        <w:pPr>
                          <w:pStyle w:val="TableParagraph"/>
                          <w:spacing w:line="134" w:lineRule="exact" w:before="11"/>
                          <w:ind w:right="22"/>
                          <w:jc w:val="right"/>
                          <w:rPr>
                            <w:sz w:val="12"/>
                          </w:rPr>
                        </w:pPr>
                        <w:r>
                          <w:rPr>
                            <w:w w:val="105"/>
                            <w:sz w:val="12"/>
                          </w:rPr>
                          <w:t>1.2%</w:t>
                        </w:r>
                      </w:p>
                    </w:tc>
                  </w:tr>
                  <w:tr>
                    <w:trPr>
                      <w:trHeight w:val="162" w:hRule="atLeast"/>
                    </w:trPr>
                    <w:tc>
                      <w:tcPr>
                        <w:tcW w:w="2010" w:type="dxa"/>
                      </w:tcPr>
                      <w:p>
                        <w:pPr>
                          <w:pStyle w:val="TableParagraph"/>
                          <w:rPr>
                            <w:rFonts w:ascii="Times New Roman"/>
                            <w:sz w:val="10"/>
                          </w:rPr>
                        </w:pPr>
                      </w:p>
                    </w:tc>
                    <w:tc>
                      <w:tcPr>
                        <w:tcW w:w="616" w:type="dxa"/>
                      </w:tcPr>
                      <w:p>
                        <w:pPr>
                          <w:pStyle w:val="TableParagraph"/>
                          <w:spacing w:line="125" w:lineRule="exact" w:before="17"/>
                          <w:ind w:right="208"/>
                          <w:jc w:val="right"/>
                          <w:rPr>
                            <w:sz w:val="12"/>
                          </w:rPr>
                        </w:pPr>
                        <w:r>
                          <w:rPr>
                            <w:w w:val="125"/>
                            <w:sz w:val="12"/>
                          </w:rPr>
                          <w:t>98</w:t>
                        </w:r>
                      </w:p>
                    </w:tc>
                    <w:tc>
                      <w:tcPr>
                        <w:tcW w:w="510" w:type="dxa"/>
                      </w:tcPr>
                      <w:p>
                        <w:pPr>
                          <w:pStyle w:val="TableParagraph"/>
                          <w:rPr>
                            <w:rFonts w:ascii="Times New Roman"/>
                            <w:sz w:val="10"/>
                          </w:rPr>
                        </w:pPr>
                      </w:p>
                    </w:tc>
                    <w:tc>
                      <w:tcPr>
                        <w:tcW w:w="395" w:type="dxa"/>
                      </w:tcPr>
                      <w:p>
                        <w:pPr>
                          <w:pStyle w:val="TableParagraph"/>
                          <w:spacing w:line="125" w:lineRule="exact" w:before="17"/>
                          <w:ind w:left="8"/>
                          <w:jc w:val="center"/>
                          <w:rPr>
                            <w:sz w:val="12"/>
                          </w:rPr>
                        </w:pPr>
                        <w:r>
                          <w:rPr>
                            <w:w w:val="99"/>
                            <w:sz w:val="12"/>
                          </w:rPr>
                          <w:t>Q</w:t>
                        </w:r>
                      </w:p>
                    </w:tc>
                    <w:tc>
                      <w:tcPr>
                        <w:tcW w:w="553" w:type="dxa"/>
                      </w:tcPr>
                      <w:p>
                        <w:pPr>
                          <w:pStyle w:val="TableParagraph"/>
                          <w:rPr>
                            <w:rFonts w:ascii="Times New Roman"/>
                            <w:sz w:val="10"/>
                          </w:rPr>
                        </w:pPr>
                      </w:p>
                    </w:tc>
                    <w:tc>
                      <w:tcPr>
                        <w:tcW w:w="609" w:type="dxa"/>
                      </w:tcPr>
                      <w:p>
                        <w:pPr>
                          <w:pStyle w:val="TableParagraph"/>
                          <w:spacing w:line="125" w:lineRule="exact" w:before="17"/>
                          <w:ind w:left="262"/>
                          <w:rPr>
                            <w:sz w:val="12"/>
                          </w:rPr>
                        </w:pPr>
                        <w:r>
                          <w:rPr>
                            <w:w w:val="99"/>
                            <w:sz w:val="12"/>
                          </w:rPr>
                          <w:t>Q</w:t>
                        </w:r>
                      </w:p>
                    </w:tc>
                    <w:tc>
                      <w:tcPr>
                        <w:tcW w:w="917" w:type="dxa"/>
                      </w:tcPr>
                      <w:p>
                        <w:pPr>
                          <w:pStyle w:val="TableParagraph"/>
                          <w:rPr>
                            <w:rFonts w:ascii="Times New Roman"/>
                            <w:sz w:val="10"/>
                          </w:rPr>
                        </w:pPr>
                      </w:p>
                    </w:tc>
                    <w:tc>
                      <w:tcPr>
                        <w:tcW w:w="1011" w:type="dxa"/>
                      </w:tcPr>
                      <w:p>
                        <w:pPr>
                          <w:pStyle w:val="TableParagraph"/>
                          <w:rPr>
                            <w:rFonts w:ascii="Times New Roman"/>
                            <w:sz w:val="10"/>
                          </w:rPr>
                        </w:pPr>
                      </w:p>
                    </w:tc>
                    <w:tc>
                      <w:tcPr>
                        <w:tcW w:w="757" w:type="dxa"/>
                      </w:tcPr>
                      <w:p>
                        <w:pPr>
                          <w:pStyle w:val="TableParagraph"/>
                          <w:spacing w:line="126" w:lineRule="exact" w:before="16"/>
                          <w:ind w:right="257"/>
                          <w:jc w:val="right"/>
                          <w:rPr>
                            <w:rFonts w:ascii="Lucida Sans"/>
                            <w:sz w:val="12"/>
                          </w:rPr>
                        </w:pPr>
                        <w:r>
                          <w:rPr>
                            <w:rFonts w:ascii="Lucida Sans"/>
                            <w:w w:val="174"/>
                            <w:sz w:val="12"/>
                          </w:rPr>
                          <w:t>C</w:t>
                        </w:r>
                      </w:p>
                    </w:tc>
                    <w:tc>
                      <w:tcPr>
                        <w:tcW w:w="973" w:type="dxa"/>
                      </w:tcPr>
                      <w:p>
                        <w:pPr>
                          <w:pStyle w:val="TableParagraph"/>
                          <w:rPr>
                            <w:rFonts w:ascii="Times New Roman"/>
                            <w:sz w:val="10"/>
                          </w:rPr>
                        </w:pPr>
                      </w:p>
                    </w:tc>
                    <w:tc>
                      <w:tcPr>
                        <w:tcW w:w="1066" w:type="dxa"/>
                      </w:tcPr>
                      <w:p>
                        <w:pPr>
                          <w:pStyle w:val="TableParagraph"/>
                          <w:spacing w:line="126" w:lineRule="exact" w:before="16"/>
                          <w:ind w:right="301"/>
                          <w:jc w:val="right"/>
                          <w:rPr>
                            <w:rFonts w:ascii="Lucida Sans"/>
                            <w:sz w:val="12"/>
                          </w:rPr>
                        </w:pPr>
                        <w:r>
                          <w:rPr>
                            <w:rFonts w:ascii="Lucida Sans"/>
                            <w:w w:val="174"/>
                            <w:sz w:val="12"/>
                          </w:rPr>
                          <w:t>C</w:t>
                        </w:r>
                      </w:p>
                    </w:tc>
                    <w:tc>
                      <w:tcPr>
                        <w:tcW w:w="672" w:type="dxa"/>
                      </w:tcPr>
                      <w:p>
                        <w:pPr>
                          <w:pStyle w:val="TableParagraph"/>
                          <w:rPr>
                            <w:rFonts w:ascii="Times New Roman"/>
                            <w:sz w:val="10"/>
                          </w:rPr>
                        </w:pPr>
                      </w:p>
                    </w:tc>
                    <w:tc>
                      <w:tcPr>
                        <w:tcW w:w="729" w:type="dxa"/>
                      </w:tcPr>
                      <w:p>
                        <w:pPr>
                          <w:pStyle w:val="TableParagraph"/>
                          <w:spacing w:line="125" w:lineRule="exact" w:before="17"/>
                          <w:ind w:left="231"/>
                          <w:rPr>
                            <w:sz w:val="12"/>
                          </w:rPr>
                        </w:pPr>
                        <w:r>
                          <w:rPr>
                            <w:sz w:val="12"/>
                          </w:rPr>
                          <w:t>NR</w:t>
                        </w:r>
                      </w:p>
                    </w:tc>
                    <w:tc>
                      <w:tcPr>
                        <w:tcW w:w="771" w:type="dxa"/>
                      </w:tcPr>
                      <w:p>
                        <w:pPr>
                          <w:pStyle w:val="TableParagraph"/>
                          <w:spacing w:line="125" w:lineRule="exact" w:before="17"/>
                          <w:ind w:right="257"/>
                          <w:jc w:val="right"/>
                          <w:rPr>
                            <w:sz w:val="12"/>
                          </w:rPr>
                        </w:pPr>
                        <w:r>
                          <w:rPr>
                            <w:w w:val="105"/>
                            <w:sz w:val="12"/>
                          </w:rPr>
                          <w:t>1.0%</w:t>
                        </w:r>
                      </w:p>
                    </w:tc>
                    <w:tc>
                      <w:tcPr>
                        <w:tcW w:w="927" w:type="dxa"/>
                      </w:tcPr>
                      <w:p>
                        <w:pPr>
                          <w:pStyle w:val="TableParagraph"/>
                          <w:spacing w:line="125" w:lineRule="exact" w:before="17"/>
                          <w:ind w:left="276"/>
                          <w:rPr>
                            <w:sz w:val="12"/>
                          </w:rPr>
                        </w:pPr>
                        <w:r>
                          <w:rPr>
                            <w:sz w:val="12"/>
                          </w:rPr>
                          <w:t>NR</w:t>
                        </w:r>
                      </w:p>
                    </w:tc>
                    <w:tc>
                      <w:tcPr>
                        <w:tcW w:w="617" w:type="dxa"/>
                      </w:tcPr>
                      <w:p>
                        <w:pPr>
                          <w:pStyle w:val="TableParagraph"/>
                          <w:spacing w:line="125" w:lineRule="exact" w:before="17"/>
                          <w:ind w:right="22"/>
                          <w:jc w:val="right"/>
                          <w:rPr>
                            <w:sz w:val="12"/>
                          </w:rPr>
                        </w:pPr>
                        <w:r>
                          <w:rPr>
                            <w:w w:val="105"/>
                            <w:sz w:val="12"/>
                          </w:rPr>
                          <w:t>1.0%</w:t>
                        </w:r>
                      </w:p>
                    </w:tc>
                  </w:tr>
                  <w:tr>
                    <w:trPr>
                      <w:trHeight w:val="187" w:hRule="atLeast"/>
                    </w:trPr>
                    <w:tc>
                      <w:tcPr>
                        <w:tcW w:w="2010" w:type="dxa"/>
                      </w:tcPr>
                      <w:p>
                        <w:pPr>
                          <w:pStyle w:val="TableParagraph"/>
                          <w:spacing w:line="140" w:lineRule="exact" w:before="27"/>
                          <w:ind w:left="33"/>
                          <w:rPr>
                            <w:sz w:val="12"/>
                          </w:rPr>
                        </w:pPr>
                        <w:r>
                          <w:rPr>
                            <w:w w:val="115"/>
                            <w:sz w:val="12"/>
                          </w:rPr>
                          <w:t>Gililland et al., 2014 [</w:t>
                        </w:r>
                        <w:hyperlink w:history="true" w:anchor="_bookmark44">
                          <w:r>
                            <w:rPr>
                              <w:color w:val="007FAC"/>
                              <w:w w:val="115"/>
                              <w:sz w:val="12"/>
                            </w:rPr>
                            <w:t>33</w:t>
                          </w:r>
                        </w:hyperlink>
                        <w:r>
                          <w:rPr>
                            <w:w w:val="115"/>
                            <w:sz w:val="12"/>
                          </w:rPr>
                          <w:t>]</w:t>
                        </w:r>
                        <w:r>
                          <w:rPr>
                            <w:w w:val="115"/>
                            <w:sz w:val="12"/>
                            <w:vertAlign w:val="superscript"/>
                          </w:rPr>
                          <w:t>,</w:t>
                        </w:r>
                        <w:hyperlink w:history="true" w:anchor="_bookmark93">
                          <w:r>
                            <w:rPr>
                              <w:color w:val="007FAC"/>
                              <w:w w:val="115"/>
                              <w:sz w:val="12"/>
                              <w:vertAlign w:val="superscript"/>
                            </w:rPr>
                            <w:t>f</w:t>
                          </w:r>
                        </w:hyperlink>
                      </w:p>
                    </w:tc>
                    <w:tc>
                      <w:tcPr>
                        <w:tcW w:w="616" w:type="dxa"/>
                      </w:tcPr>
                      <w:p>
                        <w:pPr>
                          <w:pStyle w:val="TableParagraph"/>
                          <w:spacing w:line="140" w:lineRule="exact" w:before="27"/>
                          <w:ind w:right="208"/>
                          <w:jc w:val="right"/>
                          <w:rPr>
                            <w:sz w:val="12"/>
                          </w:rPr>
                        </w:pPr>
                        <w:r>
                          <w:rPr>
                            <w:w w:val="125"/>
                            <w:sz w:val="12"/>
                          </w:rPr>
                          <w:t>203</w:t>
                        </w:r>
                      </w:p>
                    </w:tc>
                    <w:tc>
                      <w:tcPr>
                        <w:tcW w:w="510" w:type="dxa"/>
                      </w:tcPr>
                      <w:p>
                        <w:pPr>
                          <w:pStyle w:val="TableParagraph"/>
                          <w:spacing w:line="141" w:lineRule="exact" w:before="26"/>
                          <w:ind w:left="60"/>
                          <w:jc w:val="center"/>
                          <w:rPr>
                            <w:rFonts w:ascii="Lucida Sans"/>
                            <w:sz w:val="12"/>
                          </w:rPr>
                        </w:pPr>
                        <w:r>
                          <w:rPr>
                            <w:rFonts w:ascii="Lucida Sans"/>
                            <w:w w:val="174"/>
                            <w:sz w:val="12"/>
                          </w:rPr>
                          <w:t>C</w:t>
                        </w:r>
                      </w:p>
                    </w:tc>
                    <w:tc>
                      <w:tcPr>
                        <w:tcW w:w="395" w:type="dxa"/>
                      </w:tcPr>
                      <w:p>
                        <w:pPr>
                          <w:pStyle w:val="TableParagraph"/>
                          <w:rPr>
                            <w:rFonts w:ascii="Times New Roman"/>
                            <w:sz w:val="12"/>
                          </w:rPr>
                        </w:pPr>
                      </w:p>
                    </w:tc>
                    <w:tc>
                      <w:tcPr>
                        <w:tcW w:w="553" w:type="dxa"/>
                      </w:tcPr>
                      <w:p>
                        <w:pPr>
                          <w:pStyle w:val="TableParagraph"/>
                          <w:spacing w:line="141" w:lineRule="exact" w:before="26"/>
                          <w:ind w:left="150"/>
                          <w:rPr>
                            <w:rFonts w:ascii="Lucida Sans"/>
                            <w:sz w:val="12"/>
                          </w:rPr>
                        </w:pPr>
                        <w:r>
                          <w:rPr>
                            <w:rFonts w:ascii="Lucida Sans"/>
                            <w:w w:val="174"/>
                            <w:sz w:val="12"/>
                          </w:rPr>
                          <w:t>C</w:t>
                        </w:r>
                      </w:p>
                    </w:tc>
                    <w:tc>
                      <w:tcPr>
                        <w:tcW w:w="609" w:type="dxa"/>
                      </w:tcPr>
                      <w:p>
                        <w:pPr>
                          <w:pStyle w:val="TableParagraph"/>
                          <w:rPr>
                            <w:rFonts w:ascii="Times New Roman"/>
                            <w:sz w:val="12"/>
                          </w:rPr>
                        </w:pPr>
                      </w:p>
                    </w:tc>
                    <w:tc>
                      <w:tcPr>
                        <w:tcW w:w="917" w:type="dxa"/>
                      </w:tcPr>
                      <w:p>
                        <w:pPr>
                          <w:pStyle w:val="TableParagraph"/>
                          <w:spacing w:line="141" w:lineRule="exact" w:before="26"/>
                          <w:ind w:left="257"/>
                          <w:rPr>
                            <w:rFonts w:ascii="Lucida Sans"/>
                            <w:sz w:val="12"/>
                          </w:rPr>
                        </w:pPr>
                        <w:r>
                          <w:rPr>
                            <w:rFonts w:ascii="Lucida Sans"/>
                            <w:w w:val="174"/>
                            <w:sz w:val="12"/>
                          </w:rPr>
                          <w:t>C</w:t>
                        </w:r>
                      </w:p>
                    </w:tc>
                    <w:tc>
                      <w:tcPr>
                        <w:tcW w:w="1011" w:type="dxa"/>
                      </w:tcPr>
                      <w:p>
                        <w:pPr>
                          <w:pStyle w:val="TableParagraph"/>
                          <w:spacing w:line="156" w:lineRule="exact" w:before="11"/>
                          <w:ind w:left="521"/>
                          <w:rPr>
                            <w:rFonts w:ascii="Arial"/>
                            <w:sz w:val="14"/>
                          </w:rPr>
                        </w:pPr>
                        <w:r>
                          <w:rPr>
                            <w:rFonts w:ascii="Arial"/>
                            <w:w w:val="97"/>
                            <w:sz w:val="14"/>
                          </w:rPr>
                          <w:t>a</w:t>
                        </w:r>
                      </w:p>
                    </w:tc>
                    <w:tc>
                      <w:tcPr>
                        <w:tcW w:w="757" w:type="dxa"/>
                      </w:tcPr>
                      <w:p>
                        <w:pPr>
                          <w:pStyle w:val="TableParagraph"/>
                          <w:spacing w:line="141" w:lineRule="exact" w:before="26"/>
                          <w:ind w:right="257"/>
                          <w:jc w:val="right"/>
                          <w:rPr>
                            <w:rFonts w:ascii="Lucida Sans"/>
                            <w:sz w:val="12"/>
                          </w:rPr>
                        </w:pPr>
                        <w:r>
                          <w:rPr>
                            <w:rFonts w:ascii="Lucida Sans"/>
                            <w:w w:val="174"/>
                            <w:sz w:val="12"/>
                          </w:rPr>
                          <w:t>C</w:t>
                        </w:r>
                      </w:p>
                    </w:tc>
                    <w:tc>
                      <w:tcPr>
                        <w:tcW w:w="973" w:type="dxa"/>
                      </w:tcPr>
                      <w:p>
                        <w:pPr>
                          <w:pStyle w:val="TableParagraph"/>
                          <w:spacing w:line="140" w:lineRule="exact" w:before="27"/>
                          <w:ind w:left="268"/>
                          <w:rPr>
                            <w:sz w:val="12"/>
                          </w:rPr>
                        </w:pPr>
                        <w:r>
                          <w:rPr>
                            <w:w w:val="101"/>
                            <w:sz w:val="12"/>
                          </w:rPr>
                          <w:t>D</w:t>
                        </w:r>
                      </w:p>
                    </w:tc>
                    <w:tc>
                      <w:tcPr>
                        <w:tcW w:w="1066" w:type="dxa"/>
                      </w:tcPr>
                      <w:p>
                        <w:pPr>
                          <w:pStyle w:val="TableParagraph"/>
                          <w:rPr>
                            <w:rFonts w:ascii="Times New Roman"/>
                            <w:sz w:val="12"/>
                          </w:rPr>
                        </w:pPr>
                      </w:p>
                    </w:tc>
                    <w:tc>
                      <w:tcPr>
                        <w:tcW w:w="672" w:type="dxa"/>
                      </w:tcPr>
                      <w:p>
                        <w:pPr>
                          <w:pStyle w:val="TableParagraph"/>
                          <w:spacing w:line="140" w:lineRule="exact" w:before="27"/>
                          <w:ind w:right="215"/>
                          <w:jc w:val="right"/>
                          <w:rPr>
                            <w:sz w:val="12"/>
                          </w:rPr>
                        </w:pPr>
                        <w:r>
                          <w:rPr>
                            <w:w w:val="105"/>
                            <w:sz w:val="12"/>
                          </w:rPr>
                          <w:t>SS</w:t>
                        </w:r>
                      </w:p>
                    </w:tc>
                    <w:tc>
                      <w:tcPr>
                        <w:tcW w:w="729" w:type="dxa"/>
                      </w:tcPr>
                      <w:p>
                        <w:pPr>
                          <w:pStyle w:val="TableParagraph"/>
                          <w:spacing w:line="140" w:lineRule="exact" w:before="27"/>
                          <w:ind w:right="149"/>
                          <w:jc w:val="right"/>
                          <w:rPr>
                            <w:sz w:val="12"/>
                          </w:rPr>
                        </w:pPr>
                        <w:r>
                          <w:rPr>
                            <w:w w:val="105"/>
                            <w:sz w:val="12"/>
                          </w:rPr>
                          <w:t>0.5%</w:t>
                        </w:r>
                      </w:p>
                    </w:tc>
                    <w:tc>
                      <w:tcPr>
                        <w:tcW w:w="771" w:type="dxa"/>
                      </w:tcPr>
                      <w:p>
                        <w:pPr>
                          <w:pStyle w:val="TableParagraph"/>
                          <w:spacing w:line="140" w:lineRule="exact" w:before="27"/>
                          <w:ind w:right="257"/>
                          <w:jc w:val="right"/>
                          <w:rPr>
                            <w:sz w:val="12"/>
                          </w:rPr>
                        </w:pPr>
                        <w:r>
                          <w:rPr>
                            <w:w w:val="105"/>
                            <w:sz w:val="12"/>
                          </w:rPr>
                          <w:t>2.0%</w:t>
                        </w:r>
                      </w:p>
                    </w:tc>
                    <w:tc>
                      <w:tcPr>
                        <w:tcW w:w="927" w:type="dxa"/>
                      </w:tcPr>
                      <w:p>
                        <w:pPr>
                          <w:pStyle w:val="TableParagraph"/>
                          <w:spacing w:line="140" w:lineRule="exact" w:before="27"/>
                          <w:ind w:left="276"/>
                          <w:rPr>
                            <w:sz w:val="12"/>
                          </w:rPr>
                        </w:pPr>
                        <w:r>
                          <w:rPr>
                            <w:sz w:val="12"/>
                          </w:rPr>
                          <w:t>NR</w:t>
                        </w:r>
                      </w:p>
                    </w:tc>
                    <w:tc>
                      <w:tcPr>
                        <w:tcW w:w="617" w:type="dxa"/>
                      </w:tcPr>
                      <w:p>
                        <w:pPr>
                          <w:pStyle w:val="TableParagraph"/>
                          <w:spacing w:line="140" w:lineRule="exact" w:before="27"/>
                          <w:ind w:left="247"/>
                          <w:rPr>
                            <w:sz w:val="12"/>
                          </w:rPr>
                        </w:pPr>
                        <w:r>
                          <w:rPr>
                            <w:sz w:val="12"/>
                          </w:rPr>
                          <w:t>NR</w:t>
                        </w:r>
                      </w:p>
                    </w:tc>
                  </w:tr>
                  <w:tr>
                    <w:trPr>
                      <w:trHeight w:val="171" w:hRule="atLeast"/>
                    </w:trPr>
                    <w:tc>
                      <w:tcPr>
                        <w:tcW w:w="2010" w:type="dxa"/>
                      </w:tcPr>
                      <w:p>
                        <w:pPr>
                          <w:pStyle w:val="TableParagraph"/>
                          <w:rPr>
                            <w:rFonts w:ascii="Times New Roman"/>
                            <w:sz w:val="10"/>
                          </w:rPr>
                        </w:pPr>
                      </w:p>
                    </w:tc>
                    <w:tc>
                      <w:tcPr>
                        <w:tcW w:w="616" w:type="dxa"/>
                      </w:tcPr>
                      <w:p>
                        <w:pPr>
                          <w:pStyle w:val="TableParagraph"/>
                          <w:spacing w:line="140" w:lineRule="exact" w:before="11"/>
                          <w:ind w:right="208"/>
                          <w:jc w:val="right"/>
                          <w:rPr>
                            <w:sz w:val="12"/>
                          </w:rPr>
                        </w:pPr>
                        <w:r>
                          <w:rPr>
                            <w:w w:val="125"/>
                            <w:sz w:val="12"/>
                          </w:rPr>
                          <w:t>191</w:t>
                        </w:r>
                      </w:p>
                    </w:tc>
                    <w:tc>
                      <w:tcPr>
                        <w:tcW w:w="510" w:type="dxa"/>
                      </w:tcPr>
                      <w:p>
                        <w:pPr>
                          <w:pStyle w:val="TableParagraph"/>
                          <w:rPr>
                            <w:rFonts w:ascii="Times New Roman"/>
                            <w:sz w:val="10"/>
                          </w:rPr>
                        </w:pPr>
                      </w:p>
                    </w:tc>
                    <w:tc>
                      <w:tcPr>
                        <w:tcW w:w="395" w:type="dxa"/>
                      </w:tcPr>
                      <w:p>
                        <w:pPr>
                          <w:pStyle w:val="TableParagraph"/>
                          <w:spacing w:line="140" w:lineRule="exact" w:before="11"/>
                          <w:ind w:left="8"/>
                          <w:jc w:val="center"/>
                          <w:rPr>
                            <w:sz w:val="12"/>
                          </w:rPr>
                        </w:pPr>
                        <w:r>
                          <w:rPr>
                            <w:w w:val="99"/>
                            <w:sz w:val="12"/>
                          </w:rPr>
                          <w:t>Q</w:t>
                        </w:r>
                      </w:p>
                    </w:tc>
                    <w:tc>
                      <w:tcPr>
                        <w:tcW w:w="553" w:type="dxa"/>
                      </w:tcPr>
                      <w:p>
                        <w:pPr>
                          <w:pStyle w:val="TableParagraph"/>
                          <w:rPr>
                            <w:rFonts w:ascii="Times New Roman"/>
                            <w:sz w:val="10"/>
                          </w:rPr>
                        </w:pPr>
                      </w:p>
                    </w:tc>
                    <w:tc>
                      <w:tcPr>
                        <w:tcW w:w="609" w:type="dxa"/>
                      </w:tcPr>
                      <w:p>
                        <w:pPr>
                          <w:pStyle w:val="TableParagraph"/>
                          <w:spacing w:line="140" w:lineRule="exact" w:before="11"/>
                          <w:ind w:left="262"/>
                          <w:rPr>
                            <w:sz w:val="12"/>
                          </w:rPr>
                        </w:pPr>
                        <w:r>
                          <w:rPr>
                            <w:w w:val="99"/>
                            <w:sz w:val="12"/>
                          </w:rPr>
                          <w:t>Q</w:t>
                        </w:r>
                      </w:p>
                    </w:tc>
                    <w:tc>
                      <w:tcPr>
                        <w:tcW w:w="917" w:type="dxa"/>
                      </w:tcPr>
                      <w:p>
                        <w:pPr>
                          <w:pStyle w:val="TableParagraph"/>
                          <w:spacing w:line="141" w:lineRule="exact" w:before="10"/>
                          <w:ind w:left="257"/>
                          <w:rPr>
                            <w:rFonts w:ascii="Lucida Sans"/>
                            <w:sz w:val="12"/>
                          </w:rPr>
                        </w:pPr>
                        <w:r>
                          <w:rPr>
                            <w:rFonts w:ascii="Lucida Sans"/>
                            <w:w w:val="174"/>
                            <w:sz w:val="12"/>
                          </w:rPr>
                          <w:t>C</w:t>
                        </w:r>
                      </w:p>
                    </w:tc>
                    <w:tc>
                      <w:tcPr>
                        <w:tcW w:w="1011" w:type="dxa"/>
                      </w:tcPr>
                      <w:p>
                        <w:pPr>
                          <w:pStyle w:val="TableParagraph"/>
                          <w:spacing w:line="151" w:lineRule="exact"/>
                          <w:ind w:left="521"/>
                          <w:rPr>
                            <w:rFonts w:ascii="Arial"/>
                            <w:sz w:val="14"/>
                          </w:rPr>
                        </w:pPr>
                        <w:r>
                          <w:rPr>
                            <w:rFonts w:ascii="Arial"/>
                            <w:w w:val="97"/>
                            <w:sz w:val="14"/>
                          </w:rPr>
                          <w:t>a</w:t>
                        </w:r>
                      </w:p>
                    </w:tc>
                    <w:tc>
                      <w:tcPr>
                        <w:tcW w:w="757" w:type="dxa"/>
                      </w:tcPr>
                      <w:p>
                        <w:pPr>
                          <w:pStyle w:val="TableParagraph"/>
                          <w:spacing w:line="141" w:lineRule="exact" w:before="10"/>
                          <w:ind w:right="257"/>
                          <w:jc w:val="right"/>
                          <w:rPr>
                            <w:rFonts w:ascii="Lucida Sans"/>
                            <w:sz w:val="12"/>
                          </w:rPr>
                        </w:pPr>
                        <w:r>
                          <w:rPr>
                            <w:rFonts w:ascii="Lucida Sans"/>
                            <w:w w:val="174"/>
                            <w:sz w:val="12"/>
                          </w:rPr>
                          <w:t>C</w:t>
                        </w:r>
                      </w:p>
                    </w:tc>
                    <w:tc>
                      <w:tcPr>
                        <w:tcW w:w="973" w:type="dxa"/>
                      </w:tcPr>
                      <w:p>
                        <w:pPr>
                          <w:pStyle w:val="TableParagraph"/>
                          <w:spacing w:line="140" w:lineRule="exact" w:before="11"/>
                          <w:ind w:left="268"/>
                          <w:rPr>
                            <w:sz w:val="12"/>
                          </w:rPr>
                        </w:pPr>
                        <w:r>
                          <w:rPr>
                            <w:w w:val="101"/>
                            <w:sz w:val="12"/>
                          </w:rPr>
                          <w:t>D</w:t>
                        </w:r>
                      </w:p>
                    </w:tc>
                    <w:tc>
                      <w:tcPr>
                        <w:tcW w:w="1066" w:type="dxa"/>
                      </w:tcPr>
                      <w:p>
                        <w:pPr>
                          <w:pStyle w:val="TableParagraph"/>
                          <w:rPr>
                            <w:rFonts w:ascii="Times New Roman"/>
                            <w:sz w:val="10"/>
                          </w:rPr>
                        </w:pPr>
                      </w:p>
                    </w:tc>
                    <w:tc>
                      <w:tcPr>
                        <w:tcW w:w="672" w:type="dxa"/>
                      </w:tcPr>
                      <w:p>
                        <w:pPr>
                          <w:pStyle w:val="TableParagraph"/>
                          <w:spacing w:line="140" w:lineRule="exact" w:before="11"/>
                          <w:ind w:right="215"/>
                          <w:jc w:val="right"/>
                          <w:rPr>
                            <w:sz w:val="12"/>
                          </w:rPr>
                        </w:pPr>
                        <w:r>
                          <w:rPr>
                            <w:w w:val="105"/>
                            <w:sz w:val="12"/>
                          </w:rPr>
                          <w:t>SS</w:t>
                        </w:r>
                      </w:p>
                    </w:tc>
                    <w:tc>
                      <w:tcPr>
                        <w:tcW w:w="729" w:type="dxa"/>
                      </w:tcPr>
                      <w:p>
                        <w:pPr>
                          <w:pStyle w:val="TableParagraph"/>
                          <w:spacing w:line="140" w:lineRule="exact" w:before="11"/>
                          <w:ind w:right="149"/>
                          <w:jc w:val="right"/>
                          <w:rPr>
                            <w:sz w:val="12"/>
                          </w:rPr>
                        </w:pPr>
                        <w:r>
                          <w:rPr>
                            <w:w w:val="105"/>
                            <w:sz w:val="12"/>
                          </w:rPr>
                          <w:t>0.5%</w:t>
                        </w:r>
                      </w:p>
                    </w:tc>
                    <w:tc>
                      <w:tcPr>
                        <w:tcW w:w="771" w:type="dxa"/>
                      </w:tcPr>
                      <w:p>
                        <w:pPr>
                          <w:pStyle w:val="TableParagraph"/>
                          <w:spacing w:line="140" w:lineRule="exact" w:before="11"/>
                          <w:ind w:right="257"/>
                          <w:jc w:val="right"/>
                          <w:rPr>
                            <w:sz w:val="12"/>
                          </w:rPr>
                        </w:pPr>
                        <w:r>
                          <w:rPr>
                            <w:w w:val="105"/>
                            <w:sz w:val="12"/>
                          </w:rPr>
                          <w:t>3.1%</w:t>
                        </w:r>
                      </w:p>
                    </w:tc>
                    <w:tc>
                      <w:tcPr>
                        <w:tcW w:w="927" w:type="dxa"/>
                      </w:tcPr>
                      <w:p>
                        <w:pPr>
                          <w:pStyle w:val="TableParagraph"/>
                          <w:spacing w:line="140" w:lineRule="exact" w:before="11"/>
                          <w:ind w:left="276"/>
                          <w:rPr>
                            <w:sz w:val="12"/>
                          </w:rPr>
                        </w:pPr>
                        <w:r>
                          <w:rPr>
                            <w:sz w:val="12"/>
                          </w:rPr>
                          <w:t>NR</w:t>
                        </w:r>
                      </w:p>
                    </w:tc>
                    <w:tc>
                      <w:tcPr>
                        <w:tcW w:w="617" w:type="dxa"/>
                      </w:tcPr>
                      <w:p>
                        <w:pPr>
                          <w:pStyle w:val="TableParagraph"/>
                          <w:spacing w:line="140" w:lineRule="exact" w:before="11"/>
                          <w:ind w:left="247"/>
                          <w:rPr>
                            <w:sz w:val="12"/>
                          </w:rPr>
                        </w:pPr>
                        <w:r>
                          <w:rPr>
                            <w:sz w:val="12"/>
                          </w:rPr>
                          <w:t>NR</w:t>
                        </w:r>
                      </w:p>
                    </w:tc>
                  </w:tr>
                  <w:tr>
                    <w:trPr>
                      <w:trHeight w:val="171" w:hRule="atLeast"/>
                    </w:trPr>
                    <w:tc>
                      <w:tcPr>
                        <w:tcW w:w="2010" w:type="dxa"/>
                      </w:tcPr>
                      <w:p>
                        <w:pPr>
                          <w:pStyle w:val="TableParagraph"/>
                          <w:spacing w:line="140" w:lineRule="exact" w:before="11"/>
                          <w:ind w:left="33"/>
                          <w:rPr>
                            <w:sz w:val="12"/>
                          </w:rPr>
                        </w:pPr>
                        <w:r>
                          <w:rPr>
                            <w:w w:val="120"/>
                            <w:sz w:val="12"/>
                          </w:rPr>
                          <w:t>Maheshwari et al., 2015 [</w:t>
                        </w:r>
                        <w:hyperlink w:history="true" w:anchor="_bookmark54">
                          <w:r>
                            <w:rPr>
                              <w:color w:val="007FAC"/>
                              <w:w w:val="120"/>
                              <w:sz w:val="12"/>
                            </w:rPr>
                            <w:t>44</w:t>
                          </w:r>
                        </w:hyperlink>
                        <w:r>
                          <w:rPr>
                            <w:w w:val="120"/>
                            <w:sz w:val="12"/>
                          </w:rPr>
                          <w:t>]</w:t>
                        </w:r>
                      </w:p>
                    </w:tc>
                    <w:tc>
                      <w:tcPr>
                        <w:tcW w:w="616" w:type="dxa"/>
                      </w:tcPr>
                      <w:p>
                        <w:pPr>
                          <w:pStyle w:val="TableParagraph"/>
                          <w:spacing w:line="140" w:lineRule="exact" w:before="11"/>
                          <w:ind w:right="208"/>
                          <w:jc w:val="right"/>
                          <w:rPr>
                            <w:sz w:val="12"/>
                          </w:rPr>
                        </w:pPr>
                        <w:r>
                          <w:rPr>
                            <w:w w:val="125"/>
                            <w:sz w:val="12"/>
                          </w:rPr>
                          <w:t>75</w:t>
                        </w:r>
                      </w:p>
                    </w:tc>
                    <w:tc>
                      <w:tcPr>
                        <w:tcW w:w="510" w:type="dxa"/>
                      </w:tcPr>
                      <w:p>
                        <w:pPr>
                          <w:pStyle w:val="TableParagraph"/>
                          <w:spacing w:line="141" w:lineRule="exact" w:before="10"/>
                          <w:ind w:left="60"/>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41" w:lineRule="exact" w:before="10"/>
                          <w:ind w:left="150"/>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917" w:type="dxa"/>
                      </w:tcPr>
                      <w:p>
                        <w:pPr>
                          <w:pStyle w:val="TableParagraph"/>
                          <w:spacing w:line="140" w:lineRule="exact" w:before="11"/>
                          <w:ind w:left="257"/>
                          <w:rPr>
                            <w:sz w:val="12"/>
                          </w:rPr>
                        </w:pPr>
                        <w:r>
                          <w:rPr>
                            <w:w w:val="101"/>
                            <w:sz w:val="12"/>
                          </w:rPr>
                          <w:t>E</w:t>
                        </w:r>
                      </w:p>
                    </w:tc>
                    <w:tc>
                      <w:tcPr>
                        <w:tcW w:w="1011" w:type="dxa"/>
                      </w:tcPr>
                      <w:p>
                        <w:pPr>
                          <w:pStyle w:val="TableParagraph"/>
                          <w:spacing w:line="151" w:lineRule="exact"/>
                          <w:ind w:left="521"/>
                          <w:rPr>
                            <w:rFonts w:ascii="Arial"/>
                            <w:sz w:val="14"/>
                          </w:rPr>
                        </w:pPr>
                        <w:r>
                          <w:rPr>
                            <w:rFonts w:ascii="Arial"/>
                            <w:w w:val="97"/>
                            <w:sz w:val="14"/>
                          </w:rPr>
                          <w:t>a</w:t>
                        </w:r>
                      </w:p>
                    </w:tc>
                    <w:tc>
                      <w:tcPr>
                        <w:tcW w:w="757" w:type="dxa"/>
                      </w:tcPr>
                      <w:p>
                        <w:pPr>
                          <w:pStyle w:val="TableParagraph"/>
                          <w:rPr>
                            <w:rFonts w:ascii="Times New Roman"/>
                            <w:sz w:val="10"/>
                          </w:rPr>
                        </w:pPr>
                      </w:p>
                    </w:tc>
                    <w:tc>
                      <w:tcPr>
                        <w:tcW w:w="973" w:type="dxa"/>
                      </w:tcPr>
                      <w:p>
                        <w:pPr>
                          <w:pStyle w:val="TableParagraph"/>
                          <w:rPr>
                            <w:rFonts w:ascii="Times New Roman"/>
                            <w:sz w:val="10"/>
                          </w:rPr>
                        </w:pPr>
                      </w:p>
                    </w:tc>
                    <w:tc>
                      <w:tcPr>
                        <w:tcW w:w="1066" w:type="dxa"/>
                      </w:tcPr>
                      <w:p>
                        <w:pPr>
                          <w:pStyle w:val="TableParagraph"/>
                          <w:spacing w:line="140" w:lineRule="exact" w:before="11"/>
                          <w:ind w:right="358"/>
                          <w:jc w:val="right"/>
                          <w:rPr>
                            <w:sz w:val="12"/>
                          </w:rPr>
                        </w:pPr>
                        <w:r>
                          <w:rPr>
                            <w:w w:val="110"/>
                            <w:sz w:val="12"/>
                          </w:rPr>
                          <w:t>X</w:t>
                        </w:r>
                      </w:p>
                    </w:tc>
                    <w:tc>
                      <w:tcPr>
                        <w:tcW w:w="672" w:type="dxa"/>
                      </w:tcPr>
                      <w:p>
                        <w:pPr>
                          <w:pStyle w:val="TableParagraph"/>
                          <w:rPr>
                            <w:rFonts w:ascii="Times New Roman"/>
                            <w:sz w:val="10"/>
                          </w:rPr>
                        </w:pPr>
                      </w:p>
                    </w:tc>
                    <w:tc>
                      <w:tcPr>
                        <w:tcW w:w="729" w:type="dxa"/>
                      </w:tcPr>
                      <w:p>
                        <w:pPr>
                          <w:pStyle w:val="TableParagraph"/>
                          <w:spacing w:line="140" w:lineRule="exact" w:before="11"/>
                          <w:ind w:right="149"/>
                          <w:jc w:val="right"/>
                          <w:rPr>
                            <w:sz w:val="12"/>
                          </w:rPr>
                        </w:pPr>
                        <w:r>
                          <w:rPr>
                            <w:w w:val="105"/>
                            <w:sz w:val="12"/>
                          </w:rPr>
                          <w:t>0.0%</w:t>
                        </w:r>
                      </w:p>
                    </w:tc>
                    <w:tc>
                      <w:tcPr>
                        <w:tcW w:w="771" w:type="dxa"/>
                      </w:tcPr>
                      <w:p>
                        <w:pPr>
                          <w:pStyle w:val="TableParagraph"/>
                          <w:spacing w:line="140" w:lineRule="exact" w:before="11"/>
                          <w:ind w:left="167"/>
                          <w:rPr>
                            <w:sz w:val="12"/>
                          </w:rPr>
                        </w:pPr>
                        <w:r>
                          <w:rPr>
                            <w:sz w:val="12"/>
                          </w:rPr>
                          <w:t>NR</w:t>
                        </w:r>
                      </w:p>
                    </w:tc>
                    <w:tc>
                      <w:tcPr>
                        <w:tcW w:w="927" w:type="dxa"/>
                      </w:tcPr>
                      <w:p>
                        <w:pPr>
                          <w:pStyle w:val="TableParagraph"/>
                          <w:spacing w:line="140" w:lineRule="exact" w:before="11"/>
                          <w:ind w:left="276"/>
                          <w:rPr>
                            <w:sz w:val="12"/>
                          </w:rPr>
                        </w:pPr>
                        <w:r>
                          <w:rPr>
                            <w:sz w:val="12"/>
                          </w:rPr>
                          <w:t>NR</w:t>
                        </w:r>
                      </w:p>
                    </w:tc>
                    <w:tc>
                      <w:tcPr>
                        <w:tcW w:w="617" w:type="dxa"/>
                      </w:tcPr>
                      <w:p>
                        <w:pPr>
                          <w:pStyle w:val="TableParagraph"/>
                          <w:spacing w:line="140" w:lineRule="exact" w:before="11"/>
                          <w:ind w:right="22"/>
                          <w:jc w:val="right"/>
                          <w:rPr>
                            <w:sz w:val="12"/>
                          </w:rPr>
                        </w:pPr>
                        <w:r>
                          <w:rPr>
                            <w:w w:val="105"/>
                            <w:sz w:val="12"/>
                          </w:rPr>
                          <w:t>1.3%</w:t>
                        </w:r>
                      </w:p>
                    </w:tc>
                  </w:tr>
                  <w:tr>
                    <w:trPr>
                      <w:trHeight w:val="155" w:hRule="atLeast"/>
                    </w:trPr>
                    <w:tc>
                      <w:tcPr>
                        <w:tcW w:w="2010" w:type="dxa"/>
                      </w:tcPr>
                      <w:p>
                        <w:pPr>
                          <w:pStyle w:val="TableParagraph"/>
                          <w:rPr>
                            <w:rFonts w:ascii="Times New Roman"/>
                            <w:sz w:val="10"/>
                          </w:rPr>
                        </w:pPr>
                      </w:p>
                    </w:tc>
                    <w:tc>
                      <w:tcPr>
                        <w:tcW w:w="616" w:type="dxa"/>
                      </w:tcPr>
                      <w:p>
                        <w:pPr>
                          <w:pStyle w:val="TableParagraph"/>
                          <w:spacing w:line="125" w:lineRule="exact" w:before="11"/>
                          <w:ind w:right="208"/>
                          <w:jc w:val="right"/>
                          <w:rPr>
                            <w:sz w:val="12"/>
                          </w:rPr>
                        </w:pPr>
                        <w:r>
                          <w:rPr>
                            <w:w w:val="125"/>
                            <w:sz w:val="12"/>
                          </w:rPr>
                          <w:t>115</w:t>
                        </w:r>
                      </w:p>
                    </w:tc>
                    <w:tc>
                      <w:tcPr>
                        <w:tcW w:w="510" w:type="dxa"/>
                      </w:tcPr>
                      <w:p>
                        <w:pPr>
                          <w:pStyle w:val="TableParagraph"/>
                          <w:rPr>
                            <w:rFonts w:ascii="Times New Roman"/>
                            <w:sz w:val="10"/>
                          </w:rPr>
                        </w:pPr>
                      </w:p>
                    </w:tc>
                    <w:tc>
                      <w:tcPr>
                        <w:tcW w:w="395" w:type="dxa"/>
                      </w:tcPr>
                      <w:p>
                        <w:pPr>
                          <w:pStyle w:val="TableParagraph"/>
                          <w:spacing w:line="125" w:lineRule="exact" w:before="11"/>
                          <w:ind w:left="8"/>
                          <w:jc w:val="center"/>
                          <w:rPr>
                            <w:sz w:val="12"/>
                          </w:rPr>
                        </w:pPr>
                        <w:r>
                          <w:rPr>
                            <w:w w:val="99"/>
                            <w:sz w:val="12"/>
                          </w:rPr>
                          <w:t>Q</w:t>
                        </w:r>
                      </w:p>
                    </w:tc>
                    <w:tc>
                      <w:tcPr>
                        <w:tcW w:w="553" w:type="dxa"/>
                      </w:tcPr>
                      <w:p>
                        <w:pPr>
                          <w:pStyle w:val="TableParagraph"/>
                          <w:rPr>
                            <w:rFonts w:ascii="Times New Roman"/>
                            <w:sz w:val="10"/>
                          </w:rPr>
                        </w:pPr>
                      </w:p>
                    </w:tc>
                    <w:tc>
                      <w:tcPr>
                        <w:tcW w:w="609" w:type="dxa"/>
                      </w:tcPr>
                      <w:p>
                        <w:pPr>
                          <w:pStyle w:val="TableParagraph"/>
                          <w:spacing w:line="125" w:lineRule="exact" w:before="11"/>
                          <w:ind w:left="262"/>
                          <w:rPr>
                            <w:sz w:val="12"/>
                          </w:rPr>
                        </w:pPr>
                        <w:r>
                          <w:rPr>
                            <w:w w:val="99"/>
                            <w:sz w:val="12"/>
                          </w:rPr>
                          <w:t>Q</w:t>
                        </w:r>
                      </w:p>
                    </w:tc>
                    <w:tc>
                      <w:tcPr>
                        <w:tcW w:w="917" w:type="dxa"/>
                      </w:tcPr>
                      <w:p>
                        <w:pPr>
                          <w:pStyle w:val="TableParagraph"/>
                          <w:spacing w:line="126" w:lineRule="exact" w:before="10"/>
                          <w:ind w:left="257"/>
                          <w:rPr>
                            <w:rFonts w:ascii="Lucida Sans"/>
                            <w:sz w:val="12"/>
                          </w:rPr>
                        </w:pPr>
                        <w:r>
                          <w:rPr>
                            <w:rFonts w:ascii="Lucida Sans"/>
                            <w:w w:val="174"/>
                            <w:sz w:val="12"/>
                          </w:rPr>
                          <w:t>C</w:t>
                        </w:r>
                      </w:p>
                    </w:tc>
                    <w:tc>
                      <w:tcPr>
                        <w:tcW w:w="1011" w:type="dxa"/>
                      </w:tcPr>
                      <w:p>
                        <w:pPr>
                          <w:pStyle w:val="TableParagraph"/>
                          <w:rPr>
                            <w:rFonts w:ascii="Times New Roman"/>
                            <w:sz w:val="10"/>
                          </w:rPr>
                        </w:pPr>
                      </w:p>
                    </w:tc>
                    <w:tc>
                      <w:tcPr>
                        <w:tcW w:w="757" w:type="dxa"/>
                      </w:tcPr>
                      <w:p>
                        <w:pPr>
                          <w:pStyle w:val="TableParagraph"/>
                          <w:spacing w:line="126" w:lineRule="exact" w:before="10"/>
                          <w:ind w:right="257"/>
                          <w:jc w:val="right"/>
                          <w:rPr>
                            <w:rFonts w:ascii="Lucida Sans"/>
                            <w:sz w:val="12"/>
                          </w:rPr>
                        </w:pPr>
                        <w:r>
                          <w:rPr>
                            <w:rFonts w:ascii="Lucida Sans"/>
                            <w:w w:val="174"/>
                            <w:sz w:val="12"/>
                          </w:rPr>
                          <w:t>C</w:t>
                        </w:r>
                      </w:p>
                    </w:tc>
                    <w:tc>
                      <w:tcPr>
                        <w:tcW w:w="973" w:type="dxa"/>
                      </w:tcPr>
                      <w:p>
                        <w:pPr>
                          <w:pStyle w:val="TableParagraph"/>
                          <w:rPr>
                            <w:rFonts w:ascii="Times New Roman"/>
                            <w:sz w:val="10"/>
                          </w:rPr>
                        </w:pPr>
                      </w:p>
                    </w:tc>
                    <w:tc>
                      <w:tcPr>
                        <w:tcW w:w="1066" w:type="dxa"/>
                      </w:tcPr>
                      <w:p>
                        <w:pPr>
                          <w:pStyle w:val="TableParagraph"/>
                          <w:spacing w:line="125" w:lineRule="exact" w:before="11"/>
                          <w:ind w:right="358"/>
                          <w:jc w:val="right"/>
                          <w:rPr>
                            <w:sz w:val="12"/>
                          </w:rPr>
                        </w:pPr>
                        <w:r>
                          <w:rPr>
                            <w:w w:val="110"/>
                            <w:sz w:val="12"/>
                          </w:rPr>
                          <w:t>X</w:t>
                        </w:r>
                      </w:p>
                    </w:tc>
                    <w:tc>
                      <w:tcPr>
                        <w:tcW w:w="672" w:type="dxa"/>
                      </w:tcPr>
                      <w:p>
                        <w:pPr>
                          <w:pStyle w:val="TableParagraph"/>
                          <w:rPr>
                            <w:rFonts w:ascii="Times New Roman"/>
                            <w:sz w:val="10"/>
                          </w:rPr>
                        </w:pPr>
                      </w:p>
                    </w:tc>
                    <w:tc>
                      <w:tcPr>
                        <w:tcW w:w="729" w:type="dxa"/>
                      </w:tcPr>
                      <w:p>
                        <w:pPr>
                          <w:pStyle w:val="TableParagraph"/>
                          <w:spacing w:line="125" w:lineRule="exact" w:before="11"/>
                          <w:ind w:right="149"/>
                          <w:jc w:val="right"/>
                          <w:rPr>
                            <w:sz w:val="12"/>
                          </w:rPr>
                        </w:pPr>
                        <w:r>
                          <w:rPr>
                            <w:w w:val="105"/>
                            <w:sz w:val="12"/>
                          </w:rPr>
                          <w:t>0.0%</w:t>
                        </w:r>
                      </w:p>
                    </w:tc>
                    <w:tc>
                      <w:tcPr>
                        <w:tcW w:w="771" w:type="dxa"/>
                      </w:tcPr>
                      <w:p>
                        <w:pPr>
                          <w:pStyle w:val="TableParagraph"/>
                          <w:spacing w:line="125" w:lineRule="exact" w:before="11"/>
                          <w:ind w:left="167"/>
                          <w:rPr>
                            <w:sz w:val="12"/>
                          </w:rPr>
                        </w:pPr>
                        <w:r>
                          <w:rPr>
                            <w:sz w:val="12"/>
                          </w:rPr>
                          <w:t>NR</w:t>
                        </w:r>
                      </w:p>
                    </w:tc>
                    <w:tc>
                      <w:tcPr>
                        <w:tcW w:w="927" w:type="dxa"/>
                      </w:tcPr>
                      <w:p>
                        <w:pPr>
                          <w:pStyle w:val="TableParagraph"/>
                          <w:spacing w:line="125" w:lineRule="exact" w:before="11"/>
                          <w:ind w:left="276"/>
                          <w:rPr>
                            <w:sz w:val="12"/>
                          </w:rPr>
                        </w:pPr>
                        <w:r>
                          <w:rPr>
                            <w:sz w:val="12"/>
                          </w:rPr>
                          <w:t>NR</w:t>
                        </w:r>
                      </w:p>
                    </w:tc>
                    <w:tc>
                      <w:tcPr>
                        <w:tcW w:w="617" w:type="dxa"/>
                      </w:tcPr>
                      <w:p>
                        <w:pPr>
                          <w:pStyle w:val="TableParagraph"/>
                          <w:spacing w:line="125" w:lineRule="exact" w:before="11"/>
                          <w:ind w:right="22"/>
                          <w:jc w:val="right"/>
                          <w:rPr>
                            <w:sz w:val="12"/>
                          </w:rPr>
                        </w:pPr>
                        <w:r>
                          <w:rPr>
                            <w:w w:val="105"/>
                            <w:sz w:val="12"/>
                          </w:rPr>
                          <w:t>0.0%</w:t>
                        </w:r>
                      </w:p>
                    </w:tc>
                  </w:tr>
                  <w:tr>
                    <w:trPr>
                      <w:trHeight w:val="186" w:hRule="atLeast"/>
                    </w:trPr>
                    <w:tc>
                      <w:tcPr>
                        <w:tcW w:w="2010" w:type="dxa"/>
                      </w:tcPr>
                      <w:p>
                        <w:pPr>
                          <w:pStyle w:val="TableParagraph"/>
                          <w:spacing w:line="140" w:lineRule="exact" w:before="26"/>
                          <w:ind w:left="33"/>
                          <w:rPr>
                            <w:sz w:val="12"/>
                          </w:rPr>
                        </w:pPr>
                        <w:r>
                          <w:rPr>
                            <w:w w:val="115"/>
                            <w:sz w:val="12"/>
                          </w:rPr>
                          <w:t>Sah, 2015 [</w:t>
                        </w:r>
                        <w:hyperlink w:history="true" w:anchor="_bookmark45">
                          <w:r>
                            <w:rPr>
                              <w:color w:val="007FAC"/>
                              <w:w w:val="115"/>
                              <w:sz w:val="12"/>
                            </w:rPr>
                            <w:t>34</w:t>
                          </w:r>
                        </w:hyperlink>
                        <w:r>
                          <w:rPr>
                            <w:w w:val="115"/>
                            <w:sz w:val="12"/>
                          </w:rPr>
                          <w:t>]</w:t>
                        </w:r>
                        <w:r>
                          <w:rPr>
                            <w:w w:val="115"/>
                            <w:sz w:val="12"/>
                            <w:vertAlign w:val="superscript"/>
                          </w:rPr>
                          <w:t>,</w:t>
                        </w:r>
                        <w:hyperlink w:history="true" w:anchor="_bookmark92">
                          <w:r>
                            <w:rPr>
                              <w:color w:val="007FAC"/>
                              <w:w w:val="115"/>
                              <w:sz w:val="12"/>
                              <w:vertAlign w:val="superscript"/>
                            </w:rPr>
                            <w:t>g</w:t>
                          </w:r>
                        </w:hyperlink>
                      </w:p>
                    </w:tc>
                    <w:tc>
                      <w:tcPr>
                        <w:tcW w:w="616" w:type="dxa"/>
                      </w:tcPr>
                      <w:p>
                        <w:pPr>
                          <w:pStyle w:val="TableParagraph"/>
                          <w:spacing w:line="140" w:lineRule="exact" w:before="26"/>
                          <w:ind w:right="208"/>
                          <w:jc w:val="right"/>
                          <w:rPr>
                            <w:sz w:val="12"/>
                          </w:rPr>
                        </w:pPr>
                        <w:r>
                          <w:rPr>
                            <w:w w:val="125"/>
                            <w:sz w:val="12"/>
                          </w:rPr>
                          <w:t>50</w:t>
                        </w:r>
                      </w:p>
                    </w:tc>
                    <w:tc>
                      <w:tcPr>
                        <w:tcW w:w="510" w:type="dxa"/>
                      </w:tcPr>
                      <w:p>
                        <w:pPr>
                          <w:pStyle w:val="TableParagraph"/>
                          <w:spacing w:line="141" w:lineRule="exact" w:before="25"/>
                          <w:ind w:left="60"/>
                          <w:jc w:val="center"/>
                          <w:rPr>
                            <w:rFonts w:ascii="Lucida Sans"/>
                            <w:sz w:val="12"/>
                          </w:rPr>
                        </w:pPr>
                        <w:r>
                          <w:rPr>
                            <w:rFonts w:ascii="Lucida Sans"/>
                            <w:w w:val="174"/>
                            <w:sz w:val="12"/>
                          </w:rPr>
                          <w:t>C</w:t>
                        </w:r>
                      </w:p>
                    </w:tc>
                    <w:tc>
                      <w:tcPr>
                        <w:tcW w:w="395" w:type="dxa"/>
                      </w:tcPr>
                      <w:p>
                        <w:pPr>
                          <w:pStyle w:val="TableParagraph"/>
                          <w:rPr>
                            <w:rFonts w:ascii="Times New Roman"/>
                            <w:sz w:val="12"/>
                          </w:rPr>
                        </w:pPr>
                      </w:p>
                    </w:tc>
                    <w:tc>
                      <w:tcPr>
                        <w:tcW w:w="553" w:type="dxa"/>
                      </w:tcPr>
                      <w:p>
                        <w:pPr>
                          <w:pStyle w:val="TableParagraph"/>
                          <w:spacing w:line="141" w:lineRule="exact" w:before="25"/>
                          <w:ind w:left="150"/>
                          <w:rPr>
                            <w:rFonts w:ascii="Lucida Sans"/>
                            <w:sz w:val="12"/>
                          </w:rPr>
                        </w:pPr>
                        <w:r>
                          <w:rPr>
                            <w:rFonts w:ascii="Lucida Sans"/>
                            <w:w w:val="174"/>
                            <w:sz w:val="12"/>
                          </w:rPr>
                          <w:t>C</w:t>
                        </w:r>
                      </w:p>
                    </w:tc>
                    <w:tc>
                      <w:tcPr>
                        <w:tcW w:w="609" w:type="dxa"/>
                      </w:tcPr>
                      <w:p>
                        <w:pPr>
                          <w:pStyle w:val="TableParagraph"/>
                          <w:rPr>
                            <w:rFonts w:ascii="Times New Roman"/>
                            <w:sz w:val="12"/>
                          </w:rPr>
                        </w:pPr>
                      </w:p>
                    </w:tc>
                    <w:tc>
                      <w:tcPr>
                        <w:tcW w:w="917" w:type="dxa"/>
                      </w:tcPr>
                      <w:p>
                        <w:pPr>
                          <w:pStyle w:val="TableParagraph"/>
                          <w:spacing w:line="141" w:lineRule="exact" w:before="25"/>
                          <w:ind w:left="257"/>
                          <w:rPr>
                            <w:rFonts w:ascii="Lucida Sans"/>
                            <w:sz w:val="12"/>
                          </w:rPr>
                        </w:pPr>
                        <w:r>
                          <w:rPr>
                            <w:rFonts w:ascii="Lucida Sans"/>
                            <w:w w:val="174"/>
                            <w:sz w:val="12"/>
                          </w:rPr>
                          <w:t>C</w:t>
                        </w:r>
                      </w:p>
                    </w:tc>
                    <w:tc>
                      <w:tcPr>
                        <w:tcW w:w="1011" w:type="dxa"/>
                      </w:tcPr>
                      <w:p>
                        <w:pPr>
                          <w:pStyle w:val="TableParagraph"/>
                          <w:spacing w:line="156" w:lineRule="exact" w:before="10"/>
                          <w:ind w:left="521"/>
                          <w:rPr>
                            <w:rFonts w:ascii="Arial"/>
                            <w:sz w:val="14"/>
                          </w:rPr>
                        </w:pPr>
                        <w:r>
                          <w:rPr>
                            <w:rFonts w:ascii="Arial"/>
                            <w:w w:val="97"/>
                            <w:sz w:val="14"/>
                          </w:rPr>
                          <w:t>a</w:t>
                        </w:r>
                      </w:p>
                    </w:tc>
                    <w:tc>
                      <w:tcPr>
                        <w:tcW w:w="757" w:type="dxa"/>
                      </w:tcPr>
                      <w:p>
                        <w:pPr>
                          <w:pStyle w:val="TableParagraph"/>
                          <w:rPr>
                            <w:rFonts w:ascii="Times New Roman"/>
                            <w:sz w:val="12"/>
                          </w:rPr>
                        </w:pPr>
                      </w:p>
                    </w:tc>
                    <w:tc>
                      <w:tcPr>
                        <w:tcW w:w="973" w:type="dxa"/>
                      </w:tcPr>
                      <w:p>
                        <w:pPr>
                          <w:pStyle w:val="TableParagraph"/>
                          <w:rPr>
                            <w:rFonts w:ascii="Times New Roman"/>
                            <w:sz w:val="12"/>
                          </w:rPr>
                        </w:pPr>
                      </w:p>
                    </w:tc>
                    <w:tc>
                      <w:tcPr>
                        <w:tcW w:w="1066" w:type="dxa"/>
                      </w:tcPr>
                      <w:p>
                        <w:pPr>
                          <w:pStyle w:val="TableParagraph"/>
                          <w:spacing w:line="141" w:lineRule="exact" w:before="25"/>
                          <w:ind w:right="301"/>
                          <w:jc w:val="right"/>
                          <w:rPr>
                            <w:rFonts w:ascii="Lucida Sans"/>
                            <w:sz w:val="12"/>
                          </w:rPr>
                        </w:pPr>
                        <w:r>
                          <w:rPr>
                            <w:rFonts w:ascii="Lucida Sans"/>
                            <w:w w:val="174"/>
                            <w:sz w:val="12"/>
                          </w:rPr>
                          <w:t>C</w:t>
                        </w:r>
                      </w:p>
                    </w:tc>
                    <w:tc>
                      <w:tcPr>
                        <w:tcW w:w="672" w:type="dxa"/>
                      </w:tcPr>
                      <w:p>
                        <w:pPr>
                          <w:pStyle w:val="TableParagraph"/>
                          <w:rPr>
                            <w:rFonts w:ascii="Times New Roman"/>
                            <w:sz w:val="12"/>
                          </w:rPr>
                        </w:pPr>
                      </w:p>
                    </w:tc>
                    <w:tc>
                      <w:tcPr>
                        <w:tcW w:w="729" w:type="dxa"/>
                      </w:tcPr>
                      <w:p>
                        <w:pPr>
                          <w:pStyle w:val="TableParagraph"/>
                          <w:spacing w:line="140" w:lineRule="exact" w:before="26"/>
                          <w:ind w:right="149"/>
                          <w:jc w:val="right"/>
                          <w:rPr>
                            <w:sz w:val="12"/>
                          </w:rPr>
                        </w:pPr>
                        <w:r>
                          <w:rPr>
                            <w:w w:val="105"/>
                            <w:sz w:val="12"/>
                          </w:rPr>
                          <w:t>0.0%</w:t>
                        </w:r>
                      </w:p>
                    </w:tc>
                    <w:tc>
                      <w:tcPr>
                        <w:tcW w:w="771" w:type="dxa"/>
                      </w:tcPr>
                      <w:p>
                        <w:pPr>
                          <w:pStyle w:val="TableParagraph"/>
                          <w:spacing w:line="140" w:lineRule="exact" w:before="26"/>
                          <w:ind w:right="257"/>
                          <w:jc w:val="right"/>
                          <w:rPr>
                            <w:sz w:val="12"/>
                          </w:rPr>
                        </w:pPr>
                        <w:r>
                          <w:rPr>
                            <w:w w:val="105"/>
                            <w:sz w:val="12"/>
                          </w:rPr>
                          <w:t>0.0%</w:t>
                        </w:r>
                      </w:p>
                    </w:tc>
                    <w:tc>
                      <w:tcPr>
                        <w:tcW w:w="927" w:type="dxa"/>
                      </w:tcPr>
                      <w:p>
                        <w:pPr>
                          <w:pStyle w:val="TableParagraph"/>
                          <w:spacing w:line="140" w:lineRule="exact" w:before="26"/>
                          <w:ind w:right="227"/>
                          <w:jc w:val="right"/>
                          <w:rPr>
                            <w:sz w:val="12"/>
                          </w:rPr>
                        </w:pPr>
                        <w:r>
                          <w:rPr>
                            <w:w w:val="105"/>
                            <w:sz w:val="12"/>
                          </w:rPr>
                          <w:t>0.0%</w:t>
                        </w:r>
                      </w:p>
                    </w:tc>
                    <w:tc>
                      <w:tcPr>
                        <w:tcW w:w="617" w:type="dxa"/>
                      </w:tcPr>
                      <w:p>
                        <w:pPr>
                          <w:pStyle w:val="TableParagraph"/>
                          <w:spacing w:line="140" w:lineRule="exact" w:before="26"/>
                          <w:ind w:right="22"/>
                          <w:jc w:val="right"/>
                          <w:rPr>
                            <w:sz w:val="12"/>
                          </w:rPr>
                        </w:pPr>
                        <w:r>
                          <w:rPr>
                            <w:w w:val="105"/>
                            <w:sz w:val="12"/>
                          </w:rPr>
                          <w:t>0.0%</w:t>
                        </w:r>
                      </w:p>
                    </w:tc>
                  </w:tr>
                  <w:tr>
                    <w:trPr>
                      <w:trHeight w:val="203" w:hRule="atLeast"/>
                    </w:trPr>
                    <w:tc>
                      <w:tcPr>
                        <w:tcW w:w="2010" w:type="dxa"/>
                      </w:tcPr>
                      <w:p>
                        <w:pPr>
                          <w:pStyle w:val="TableParagraph"/>
                          <w:rPr>
                            <w:rFonts w:ascii="Times New Roman"/>
                            <w:sz w:val="12"/>
                          </w:rPr>
                        </w:pPr>
                      </w:p>
                    </w:tc>
                    <w:tc>
                      <w:tcPr>
                        <w:tcW w:w="616" w:type="dxa"/>
                      </w:tcPr>
                      <w:p>
                        <w:pPr>
                          <w:pStyle w:val="TableParagraph"/>
                          <w:spacing w:before="11"/>
                          <w:ind w:right="208"/>
                          <w:jc w:val="right"/>
                          <w:rPr>
                            <w:sz w:val="12"/>
                          </w:rPr>
                        </w:pPr>
                        <w:r>
                          <w:rPr>
                            <w:w w:val="125"/>
                            <w:sz w:val="12"/>
                          </w:rPr>
                          <w:t>50</w:t>
                        </w:r>
                      </w:p>
                    </w:tc>
                    <w:tc>
                      <w:tcPr>
                        <w:tcW w:w="510" w:type="dxa"/>
                      </w:tcPr>
                      <w:p>
                        <w:pPr>
                          <w:pStyle w:val="TableParagraph"/>
                          <w:rPr>
                            <w:rFonts w:ascii="Times New Roman"/>
                            <w:sz w:val="12"/>
                          </w:rPr>
                        </w:pPr>
                      </w:p>
                    </w:tc>
                    <w:tc>
                      <w:tcPr>
                        <w:tcW w:w="395" w:type="dxa"/>
                      </w:tcPr>
                      <w:p>
                        <w:pPr>
                          <w:pStyle w:val="TableParagraph"/>
                          <w:spacing w:before="11"/>
                          <w:ind w:left="8"/>
                          <w:jc w:val="center"/>
                          <w:rPr>
                            <w:sz w:val="12"/>
                          </w:rPr>
                        </w:pPr>
                        <w:r>
                          <w:rPr>
                            <w:w w:val="99"/>
                            <w:sz w:val="12"/>
                          </w:rPr>
                          <w:t>Q</w:t>
                        </w:r>
                      </w:p>
                    </w:tc>
                    <w:tc>
                      <w:tcPr>
                        <w:tcW w:w="553" w:type="dxa"/>
                      </w:tcPr>
                      <w:p>
                        <w:pPr>
                          <w:pStyle w:val="TableParagraph"/>
                          <w:spacing w:before="10"/>
                          <w:ind w:left="150"/>
                          <w:rPr>
                            <w:rFonts w:ascii="Lucida Sans"/>
                            <w:sz w:val="12"/>
                          </w:rPr>
                        </w:pPr>
                        <w:r>
                          <w:rPr>
                            <w:rFonts w:ascii="Lucida Sans"/>
                            <w:w w:val="174"/>
                            <w:sz w:val="12"/>
                          </w:rPr>
                          <w:t>C</w:t>
                        </w:r>
                      </w:p>
                    </w:tc>
                    <w:tc>
                      <w:tcPr>
                        <w:tcW w:w="609" w:type="dxa"/>
                      </w:tcPr>
                      <w:p>
                        <w:pPr>
                          <w:pStyle w:val="TableParagraph"/>
                          <w:rPr>
                            <w:rFonts w:ascii="Times New Roman"/>
                            <w:sz w:val="12"/>
                          </w:rPr>
                        </w:pPr>
                      </w:p>
                    </w:tc>
                    <w:tc>
                      <w:tcPr>
                        <w:tcW w:w="917" w:type="dxa"/>
                      </w:tcPr>
                      <w:p>
                        <w:pPr>
                          <w:pStyle w:val="TableParagraph"/>
                          <w:spacing w:before="10"/>
                          <w:ind w:left="257"/>
                          <w:rPr>
                            <w:rFonts w:ascii="Lucida Sans"/>
                            <w:sz w:val="12"/>
                          </w:rPr>
                        </w:pPr>
                        <w:r>
                          <w:rPr>
                            <w:rFonts w:ascii="Lucida Sans"/>
                            <w:w w:val="174"/>
                            <w:sz w:val="12"/>
                          </w:rPr>
                          <w:t>C</w:t>
                        </w:r>
                      </w:p>
                    </w:tc>
                    <w:tc>
                      <w:tcPr>
                        <w:tcW w:w="1011" w:type="dxa"/>
                      </w:tcPr>
                      <w:p>
                        <w:pPr>
                          <w:pStyle w:val="TableParagraph"/>
                          <w:spacing w:line="156" w:lineRule="exact"/>
                          <w:ind w:left="521"/>
                          <w:rPr>
                            <w:rFonts w:ascii="Arial"/>
                            <w:sz w:val="14"/>
                          </w:rPr>
                        </w:pPr>
                        <w:r>
                          <w:rPr>
                            <w:rFonts w:ascii="Arial"/>
                            <w:w w:val="97"/>
                            <w:sz w:val="14"/>
                          </w:rPr>
                          <w:t>a</w:t>
                        </w:r>
                      </w:p>
                    </w:tc>
                    <w:tc>
                      <w:tcPr>
                        <w:tcW w:w="757" w:type="dxa"/>
                      </w:tcPr>
                      <w:p>
                        <w:pPr>
                          <w:pStyle w:val="TableParagraph"/>
                          <w:rPr>
                            <w:rFonts w:ascii="Times New Roman"/>
                            <w:sz w:val="12"/>
                          </w:rPr>
                        </w:pPr>
                      </w:p>
                    </w:tc>
                    <w:tc>
                      <w:tcPr>
                        <w:tcW w:w="973" w:type="dxa"/>
                      </w:tcPr>
                      <w:p>
                        <w:pPr>
                          <w:pStyle w:val="TableParagraph"/>
                          <w:rPr>
                            <w:rFonts w:ascii="Times New Roman"/>
                            <w:sz w:val="12"/>
                          </w:rPr>
                        </w:pPr>
                      </w:p>
                    </w:tc>
                    <w:tc>
                      <w:tcPr>
                        <w:tcW w:w="1066" w:type="dxa"/>
                      </w:tcPr>
                      <w:p>
                        <w:pPr>
                          <w:pStyle w:val="TableParagraph"/>
                          <w:spacing w:before="10"/>
                          <w:ind w:right="301"/>
                          <w:jc w:val="right"/>
                          <w:rPr>
                            <w:rFonts w:ascii="Lucida Sans"/>
                            <w:sz w:val="12"/>
                          </w:rPr>
                        </w:pPr>
                        <w:r>
                          <w:rPr>
                            <w:rFonts w:ascii="Lucida Sans"/>
                            <w:w w:val="174"/>
                            <w:sz w:val="12"/>
                          </w:rPr>
                          <w:t>C</w:t>
                        </w:r>
                      </w:p>
                    </w:tc>
                    <w:tc>
                      <w:tcPr>
                        <w:tcW w:w="672" w:type="dxa"/>
                      </w:tcPr>
                      <w:p>
                        <w:pPr>
                          <w:pStyle w:val="TableParagraph"/>
                          <w:rPr>
                            <w:rFonts w:ascii="Times New Roman"/>
                            <w:sz w:val="12"/>
                          </w:rPr>
                        </w:pPr>
                      </w:p>
                    </w:tc>
                    <w:tc>
                      <w:tcPr>
                        <w:tcW w:w="729" w:type="dxa"/>
                      </w:tcPr>
                      <w:p>
                        <w:pPr>
                          <w:pStyle w:val="TableParagraph"/>
                          <w:spacing w:before="11"/>
                          <w:ind w:right="149"/>
                          <w:jc w:val="right"/>
                          <w:rPr>
                            <w:sz w:val="12"/>
                          </w:rPr>
                        </w:pPr>
                        <w:r>
                          <w:rPr>
                            <w:w w:val="105"/>
                            <w:sz w:val="12"/>
                          </w:rPr>
                          <w:t>0.0%</w:t>
                        </w:r>
                      </w:p>
                    </w:tc>
                    <w:tc>
                      <w:tcPr>
                        <w:tcW w:w="771" w:type="dxa"/>
                      </w:tcPr>
                      <w:p>
                        <w:pPr>
                          <w:pStyle w:val="TableParagraph"/>
                          <w:spacing w:before="11"/>
                          <w:ind w:right="257"/>
                          <w:jc w:val="right"/>
                          <w:rPr>
                            <w:sz w:val="12"/>
                          </w:rPr>
                        </w:pPr>
                        <w:r>
                          <w:rPr>
                            <w:w w:val="105"/>
                            <w:sz w:val="12"/>
                          </w:rPr>
                          <w:t>0.0%</w:t>
                        </w:r>
                      </w:p>
                    </w:tc>
                    <w:tc>
                      <w:tcPr>
                        <w:tcW w:w="927" w:type="dxa"/>
                      </w:tcPr>
                      <w:p>
                        <w:pPr>
                          <w:pStyle w:val="TableParagraph"/>
                          <w:spacing w:before="11"/>
                          <w:ind w:right="227"/>
                          <w:jc w:val="right"/>
                          <w:rPr>
                            <w:sz w:val="12"/>
                          </w:rPr>
                        </w:pPr>
                        <w:r>
                          <w:rPr>
                            <w:w w:val="105"/>
                            <w:sz w:val="12"/>
                          </w:rPr>
                          <w:t>0.0%</w:t>
                        </w:r>
                      </w:p>
                    </w:tc>
                    <w:tc>
                      <w:tcPr>
                        <w:tcW w:w="617" w:type="dxa"/>
                      </w:tcPr>
                      <w:p>
                        <w:pPr>
                          <w:pStyle w:val="TableParagraph"/>
                          <w:spacing w:before="11"/>
                          <w:ind w:right="22"/>
                          <w:jc w:val="right"/>
                          <w:rPr>
                            <w:sz w:val="12"/>
                          </w:rPr>
                        </w:pPr>
                        <w:r>
                          <w:rPr>
                            <w:w w:val="105"/>
                            <w:sz w:val="12"/>
                          </w:rPr>
                          <w:t>0.0%</w:t>
                        </w:r>
                      </w:p>
                    </w:tc>
                  </w:tr>
                </w:tbl>
                <w:p>
                  <w:pPr>
                    <w:pStyle w:val="BodyText"/>
                  </w:pPr>
                </w:p>
              </w:txbxContent>
            </v:textbox>
            <w10:wrap type="none"/>
          </v:shape>
        </w:pict>
      </w:r>
      <w:r>
        <w:rPr>
          <w:w w:val="115"/>
          <w:sz w:val="12"/>
        </w:rPr>
        <w:t>Eickmann and Quane, 2010 [</w:t>
      </w:r>
      <w:hyperlink w:history="true" w:anchor="_bookmark56">
        <w:r>
          <w:rPr>
            <w:color w:val="007FAC"/>
            <w:w w:val="115"/>
            <w:sz w:val="12"/>
          </w:rPr>
          <w:t>45</w:t>
        </w:r>
      </w:hyperlink>
      <w:r>
        <w:rPr>
          <w:w w:val="115"/>
          <w:sz w:val="12"/>
        </w:rPr>
        <w:t>]</w:t>
      </w:r>
      <w:r>
        <w:rPr>
          <w:w w:val="115"/>
          <w:sz w:val="12"/>
          <w:vertAlign w:val="superscript"/>
        </w:rPr>
        <w:t>,</w:t>
      </w:r>
      <w:hyperlink w:history="true" w:anchor="_bookmark97">
        <w:r>
          <w:rPr>
            <w:color w:val="007FAC"/>
            <w:w w:val="115"/>
            <w:sz w:val="12"/>
            <w:vertAlign w:val="superscript"/>
          </w:rPr>
          <w:t>b</w:t>
        </w:r>
      </w:hyperlink>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7"/>
        <w:rPr>
          <w:sz w:val="22"/>
        </w:rPr>
      </w:pPr>
    </w:p>
    <w:p>
      <w:pPr>
        <w:spacing w:line="276" w:lineRule="auto" w:before="1"/>
        <w:ind w:left="13352" w:right="554" w:firstLine="81"/>
        <w:jc w:val="left"/>
        <w:rPr>
          <w:sz w:val="12"/>
        </w:rPr>
      </w:pPr>
      <w:r>
        <w:rPr/>
        <w:pict>
          <v:shape style="position:absolute;margin-left:55.477283pt;margin-top:-2.099095pt;width:603.85pt;height:37.5pt;mso-position-horizontal-relative:page;mso-position-vertical-relative:paragraph;z-index:25171251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74"/>
                    <w:gridCol w:w="753"/>
                    <w:gridCol w:w="510"/>
                    <w:gridCol w:w="395"/>
                    <w:gridCol w:w="553"/>
                    <w:gridCol w:w="609"/>
                    <w:gridCol w:w="638"/>
                    <w:gridCol w:w="564"/>
                    <w:gridCol w:w="701"/>
                    <w:gridCol w:w="1441"/>
                    <w:gridCol w:w="1414"/>
                    <w:gridCol w:w="635"/>
                    <w:gridCol w:w="684"/>
                    <w:gridCol w:w="813"/>
                    <w:gridCol w:w="478"/>
                  </w:tblGrid>
                  <w:tr>
                    <w:trPr>
                      <w:trHeight w:val="188" w:hRule="atLeast"/>
                    </w:trPr>
                    <w:tc>
                      <w:tcPr>
                        <w:tcW w:w="1874" w:type="dxa"/>
                      </w:tcPr>
                      <w:p>
                        <w:pPr>
                          <w:pStyle w:val="TableParagraph"/>
                          <w:spacing w:line="125" w:lineRule="exact" w:before="43"/>
                          <w:ind w:left="33"/>
                          <w:rPr>
                            <w:sz w:val="12"/>
                          </w:rPr>
                        </w:pPr>
                        <w:r>
                          <w:rPr>
                            <w:w w:val="120"/>
                            <w:sz w:val="12"/>
                          </w:rPr>
                          <w:t>Chow, 2016 [</w:t>
                        </w:r>
                        <w:hyperlink w:history="true" w:anchor="_bookmark28">
                          <w:r>
                            <w:rPr>
                              <w:color w:val="007FAC"/>
                              <w:w w:val="120"/>
                              <w:sz w:val="12"/>
                            </w:rPr>
                            <w:t>17</w:t>
                          </w:r>
                        </w:hyperlink>
                        <w:r>
                          <w:rPr>
                            <w:w w:val="120"/>
                            <w:sz w:val="12"/>
                          </w:rPr>
                          <w:t>]</w:t>
                        </w:r>
                      </w:p>
                    </w:tc>
                    <w:tc>
                      <w:tcPr>
                        <w:tcW w:w="753" w:type="dxa"/>
                      </w:tcPr>
                      <w:p>
                        <w:pPr>
                          <w:pStyle w:val="TableParagraph"/>
                          <w:spacing w:line="125" w:lineRule="exact" w:before="43"/>
                          <w:ind w:right="209"/>
                          <w:jc w:val="right"/>
                          <w:rPr>
                            <w:sz w:val="12"/>
                          </w:rPr>
                        </w:pPr>
                        <w:r>
                          <w:rPr>
                            <w:w w:val="125"/>
                            <w:sz w:val="12"/>
                          </w:rPr>
                          <w:t>92</w:t>
                        </w:r>
                      </w:p>
                    </w:tc>
                    <w:tc>
                      <w:tcPr>
                        <w:tcW w:w="510" w:type="dxa"/>
                      </w:tcPr>
                      <w:p>
                        <w:pPr>
                          <w:pStyle w:val="TableParagraph"/>
                          <w:rPr>
                            <w:rFonts w:ascii="Times New Roman"/>
                            <w:sz w:val="12"/>
                          </w:rPr>
                        </w:pPr>
                      </w:p>
                    </w:tc>
                    <w:tc>
                      <w:tcPr>
                        <w:tcW w:w="395" w:type="dxa"/>
                      </w:tcPr>
                      <w:p>
                        <w:pPr>
                          <w:pStyle w:val="TableParagraph"/>
                          <w:spacing w:line="125" w:lineRule="exact" w:before="43"/>
                          <w:ind w:left="6"/>
                          <w:jc w:val="center"/>
                          <w:rPr>
                            <w:sz w:val="12"/>
                          </w:rPr>
                        </w:pPr>
                        <w:r>
                          <w:rPr>
                            <w:w w:val="99"/>
                            <w:sz w:val="12"/>
                          </w:rPr>
                          <w:t>Q</w:t>
                        </w:r>
                      </w:p>
                    </w:tc>
                    <w:tc>
                      <w:tcPr>
                        <w:tcW w:w="553" w:type="dxa"/>
                      </w:tcPr>
                      <w:p>
                        <w:pPr>
                          <w:pStyle w:val="TableParagraph"/>
                          <w:rPr>
                            <w:rFonts w:ascii="Times New Roman"/>
                            <w:sz w:val="12"/>
                          </w:rPr>
                        </w:pPr>
                      </w:p>
                    </w:tc>
                    <w:tc>
                      <w:tcPr>
                        <w:tcW w:w="609" w:type="dxa"/>
                      </w:tcPr>
                      <w:p>
                        <w:pPr>
                          <w:pStyle w:val="TableParagraph"/>
                          <w:spacing w:line="125" w:lineRule="exact" w:before="43"/>
                          <w:ind w:left="8"/>
                          <w:jc w:val="center"/>
                          <w:rPr>
                            <w:sz w:val="12"/>
                          </w:rPr>
                        </w:pPr>
                        <w:r>
                          <w:rPr>
                            <w:w w:val="99"/>
                            <w:sz w:val="12"/>
                          </w:rPr>
                          <w:t>Q</w:t>
                        </w:r>
                      </w:p>
                    </w:tc>
                    <w:tc>
                      <w:tcPr>
                        <w:tcW w:w="638" w:type="dxa"/>
                      </w:tcPr>
                      <w:p>
                        <w:pPr>
                          <w:pStyle w:val="TableParagraph"/>
                          <w:rPr>
                            <w:rFonts w:ascii="Times New Roman"/>
                            <w:sz w:val="12"/>
                          </w:rPr>
                        </w:pPr>
                      </w:p>
                    </w:tc>
                    <w:tc>
                      <w:tcPr>
                        <w:tcW w:w="564" w:type="dxa"/>
                      </w:tcPr>
                      <w:p>
                        <w:pPr>
                          <w:pStyle w:val="TableParagraph"/>
                          <w:spacing w:line="125" w:lineRule="exact" w:before="43"/>
                          <w:ind w:left="10"/>
                          <w:jc w:val="center"/>
                          <w:rPr>
                            <w:sz w:val="12"/>
                          </w:rPr>
                        </w:pPr>
                        <w:r>
                          <w:rPr>
                            <w:w w:val="99"/>
                            <w:sz w:val="12"/>
                          </w:rPr>
                          <w:t>Q</w:t>
                        </w:r>
                      </w:p>
                    </w:tc>
                    <w:tc>
                      <w:tcPr>
                        <w:tcW w:w="701" w:type="dxa"/>
                      </w:tcPr>
                      <w:p>
                        <w:pPr>
                          <w:pStyle w:val="TableParagraph"/>
                          <w:rPr>
                            <w:rFonts w:ascii="Times New Roman"/>
                            <w:sz w:val="12"/>
                          </w:rPr>
                        </w:pPr>
                      </w:p>
                    </w:tc>
                    <w:tc>
                      <w:tcPr>
                        <w:tcW w:w="1441" w:type="dxa"/>
                      </w:tcPr>
                      <w:p>
                        <w:pPr>
                          <w:pStyle w:val="TableParagraph"/>
                          <w:rPr>
                            <w:rFonts w:ascii="Times New Roman"/>
                            <w:sz w:val="12"/>
                          </w:rPr>
                        </w:pPr>
                      </w:p>
                    </w:tc>
                    <w:tc>
                      <w:tcPr>
                        <w:tcW w:w="1414" w:type="dxa"/>
                      </w:tcPr>
                      <w:p>
                        <w:pPr>
                          <w:pStyle w:val="TableParagraph"/>
                          <w:spacing w:line="125" w:lineRule="exact" w:before="43"/>
                          <w:ind w:right="264"/>
                          <w:jc w:val="right"/>
                          <w:rPr>
                            <w:sz w:val="12"/>
                          </w:rPr>
                        </w:pPr>
                        <w:r>
                          <w:rPr>
                            <w:w w:val="105"/>
                            <w:sz w:val="12"/>
                          </w:rPr>
                          <w:t>MD</w:t>
                        </w:r>
                      </w:p>
                    </w:tc>
                    <w:tc>
                      <w:tcPr>
                        <w:tcW w:w="635" w:type="dxa"/>
                      </w:tcPr>
                      <w:p>
                        <w:pPr>
                          <w:pStyle w:val="TableParagraph"/>
                          <w:spacing w:line="125" w:lineRule="exact" w:before="43"/>
                          <w:ind w:left="260" w:right="195"/>
                          <w:jc w:val="center"/>
                          <w:rPr>
                            <w:sz w:val="12"/>
                          </w:rPr>
                        </w:pPr>
                        <w:r>
                          <w:rPr>
                            <w:w w:val="110"/>
                            <w:sz w:val="12"/>
                          </w:rPr>
                          <w:t>SS</w:t>
                        </w:r>
                      </w:p>
                    </w:tc>
                    <w:tc>
                      <w:tcPr>
                        <w:tcW w:w="684" w:type="dxa"/>
                      </w:tcPr>
                      <w:p>
                        <w:pPr>
                          <w:pStyle w:val="TableParagraph"/>
                          <w:spacing w:line="125" w:lineRule="exact" w:before="43"/>
                          <w:ind w:left="233"/>
                          <w:rPr>
                            <w:sz w:val="12"/>
                          </w:rPr>
                        </w:pPr>
                        <w:r>
                          <w:rPr>
                            <w:sz w:val="12"/>
                          </w:rPr>
                          <w:t>NR</w:t>
                        </w:r>
                      </w:p>
                    </w:tc>
                    <w:tc>
                      <w:tcPr>
                        <w:tcW w:w="813" w:type="dxa"/>
                      </w:tcPr>
                      <w:p>
                        <w:pPr>
                          <w:pStyle w:val="TableParagraph"/>
                          <w:spacing w:line="125" w:lineRule="exact" w:before="43"/>
                          <w:ind w:left="294"/>
                          <w:rPr>
                            <w:sz w:val="12"/>
                          </w:rPr>
                        </w:pPr>
                        <w:r>
                          <w:rPr>
                            <w:w w:val="105"/>
                            <w:sz w:val="12"/>
                          </w:rPr>
                          <w:t>0.0%</w:t>
                        </w:r>
                      </w:p>
                    </w:tc>
                    <w:tc>
                      <w:tcPr>
                        <w:tcW w:w="478" w:type="dxa"/>
                      </w:tcPr>
                      <w:p>
                        <w:pPr>
                          <w:pStyle w:val="TableParagraph"/>
                          <w:spacing w:line="125" w:lineRule="exact" w:before="43"/>
                          <w:ind w:right="16"/>
                          <w:jc w:val="right"/>
                          <w:rPr>
                            <w:sz w:val="12"/>
                          </w:rPr>
                        </w:pPr>
                        <w:r>
                          <w:rPr>
                            <w:w w:val="95"/>
                            <w:sz w:val="12"/>
                          </w:rPr>
                          <w:t>NR</w:t>
                        </w:r>
                      </w:p>
                    </w:tc>
                  </w:tr>
                  <w:tr>
                    <w:trPr>
                      <w:trHeight w:val="180" w:hRule="atLeast"/>
                    </w:trPr>
                    <w:tc>
                      <w:tcPr>
                        <w:tcW w:w="1874" w:type="dxa"/>
                      </w:tcPr>
                      <w:p>
                        <w:pPr>
                          <w:pStyle w:val="TableParagraph"/>
                          <w:spacing w:line="135" w:lineRule="exact" w:before="26"/>
                          <w:ind w:left="33"/>
                          <w:rPr>
                            <w:sz w:val="12"/>
                          </w:rPr>
                        </w:pPr>
                        <w:r>
                          <w:rPr>
                            <w:w w:val="115"/>
                            <w:sz w:val="12"/>
                          </w:rPr>
                          <w:t>Wyles et al., 2016 [</w:t>
                        </w:r>
                        <w:hyperlink w:history="true" w:anchor="_bookmark34">
                          <w:r>
                            <w:rPr>
                              <w:color w:val="007FAC"/>
                              <w:w w:val="115"/>
                              <w:sz w:val="12"/>
                            </w:rPr>
                            <w:t>23</w:t>
                          </w:r>
                        </w:hyperlink>
                        <w:r>
                          <w:rPr>
                            <w:w w:val="115"/>
                            <w:sz w:val="12"/>
                          </w:rPr>
                          <w:t>]</w:t>
                        </w:r>
                        <w:r>
                          <w:rPr>
                            <w:w w:val="115"/>
                            <w:sz w:val="12"/>
                            <w:vertAlign w:val="superscript"/>
                          </w:rPr>
                          <w:t>,</w:t>
                        </w:r>
                        <w:hyperlink w:history="true" w:anchor="_bookmark91">
                          <w:r>
                            <w:rPr>
                              <w:color w:val="007FAC"/>
                              <w:w w:val="115"/>
                              <w:sz w:val="12"/>
                              <w:vertAlign w:val="superscript"/>
                            </w:rPr>
                            <w:t>h</w:t>
                          </w:r>
                        </w:hyperlink>
                      </w:p>
                    </w:tc>
                    <w:tc>
                      <w:tcPr>
                        <w:tcW w:w="753" w:type="dxa"/>
                      </w:tcPr>
                      <w:p>
                        <w:pPr>
                          <w:pStyle w:val="TableParagraph"/>
                          <w:spacing w:line="135" w:lineRule="exact" w:before="26"/>
                          <w:ind w:right="209"/>
                          <w:jc w:val="right"/>
                          <w:rPr>
                            <w:sz w:val="12"/>
                          </w:rPr>
                        </w:pPr>
                        <w:r>
                          <w:rPr>
                            <w:w w:val="125"/>
                            <w:sz w:val="12"/>
                          </w:rPr>
                          <w:t>15</w:t>
                        </w:r>
                      </w:p>
                    </w:tc>
                    <w:tc>
                      <w:tcPr>
                        <w:tcW w:w="510" w:type="dxa"/>
                      </w:tcPr>
                      <w:p>
                        <w:pPr>
                          <w:pStyle w:val="TableParagraph"/>
                          <w:spacing w:line="136" w:lineRule="exact" w:before="25"/>
                          <w:ind w:left="58"/>
                          <w:jc w:val="center"/>
                          <w:rPr>
                            <w:rFonts w:ascii="Lucida Sans"/>
                            <w:sz w:val="12"/>
                          </w:rPr>
                        </w:pPr>
                        <w:r>
                          <w:rPr>
                            <w:rFonts w:ascii="Lucida Sans"/>
                            <w:w w:val="174"/>
                            <w:sz w:val="12"/>
                          </w:rPr>
                          <w:t>C</w:t>
                        </w:r>
                      </w:p>
                    </w:tc>
                    <w:tc>
                      <w:tcPr>
                        <w:tcW w:w="395" w:type="dxa"/>
                      </w:tcPr>
                      <w:p>
                        <w:pPr>
                          <w:pStyle w:val="TableParagraph"/>
                          <w:rPr>
                            <w:rFonts w:ascii="Times New Roman"/>
                            <w:sz w:val="12"/>
                          </w:rPr>
                        </w:pPr>
                      </w:p>
                    </w:tc>
                    <w:tc>
                      <w:tcPr>
                        <w:tcW w:w="553" w:type="dxa"/>
                      </w:tcPr>
                      <w:p>
                        <w:pPr>
                          <w:pStyle w:val="TableParagraph"/>
                          <w:spacing w:line="136" w:lineRule="exact" w:before="25"/>
                          <w:ind w:left="149"/>
                          <w:rPr>
                            <w:rFonts w:ascii="Lucida Sans"/>
                            <w:sz w:val="12"/>
                          </w:rPr>
                        </w:pPr>
                        <w:r>
                          <w:rPr>
                            <w:rFonts w:ascii="Lucida Sans"/>
                            <w:w w:val="174"/>
                            <w:sz w:val="12"/>
                          </w:rPr>
                          <w:t>C</w:t>
                        </w:r>
                      </w:p>
                    </w:tc>
                    <w:tc>
                      <w:tcPr>
                        <w:tcW w:w="609" w:type="dxa"/>
                      </w:tcPr>
                      <w:p>
                        <w:pPr>
                          <w:pStyle w:val="TableParagraph"/>
                          <w:rPr>
                            <w:rFonts w:ascii="Times New Roman"/>
                            <w:sz w:val="12"/>
                          </w:rPr>
                        </w:pPr>
                      </w:p>
                    </w:tc>
                    <w:tc>
                      <w:tcPr>
                        <w:tcW w:w="638" w:type="dxa"/>
                      </w:tcPr>
                      <w:p>
                        <w:pPr>
                          <w:pStyle w:val="TableParagraph"/>
                          <w:rPr>
                            <w:rFonts w:ascii="Times New Roman"/>
                            <w:sz w:val="12"/>
                          </w:rPr>
                        </w:pPr>
                      </w:p>
                    </w:tc>
                    <w:tc>
                      <w:tcPr>
                        <w:tcW w:w="564" w:type="dxa"/>
                      </w:tcPr>
                      <w:p>
                        <w:pPr>
                          <w:pStyle w:val="TableParagraph"/>
                          <w:rPr>
                            <w:rFonts w:ascii="Times New Roman"/>
                            <w:sz w:val="12"/>
                          </w:rPr>
                        </w:pPr>
                      </w:p>
                    </w:tc>
                    <w:tc>
                      <w:tcPr>
                        <w:tcW w:w="701" w:type="dxa"/>
                      </w:tcPr>
                      <w:p>
                        <w:pPr>
                          <w:pStyle w:val="TableParagraph"/>
                          <w:rPr>
                            <w:rFonts w:ascii="Times New Roman"/>
                            <w:sz w:val="12"/>
                          </w:rPr>
                        </w:pPr>
                      </w:p>
                    </w:tc>
                    <w:tc>
                      <w:tcPr>
                        <w:tcW w:w="1441" w:type="dxa"/>
                      </w:tcPr>
                      <w:p>
                        <w:pPr>
                          <w:pStyle w:val="TableParagraph"/>
                          <w:spacing w:line="136" w:lineRule="exact" w:before="25"/>
                          <w:ind w:left="376"/>
                          <w:rPr>
                            <w:rFonts w:ascii="Lucida Sans"/>
                            <w:sz w:val="12"/>
                          </w:rPr>
                        </w:pPr>
                        <w:r>
                          <w:rPr>
                            <w:rFonts w:ascii="Lucida Sans"/>
                            <w:w w:val="174"/>
                            <w:sz w:val="12"/>
                          </w:rPr>
                          <w:t>C</w:t>
                        </w:r>
                      </w:p>
                    </w:tc>
                    <w:tc>
                      <w:tcPr>
                        <w:tcW w:w="1414" w:type="dxa"/>
                      </w:tcPr>
                      <w:p>
                        <w:pPr>
                          <w:pStyle w:val="TableParagraph"/>
                          <w:spacing w:line="136" w:lineRule="exact" w:before="25"/>
                          <w:ind w:right="336"/>
                          <w:jc w:val="right"/>
                          <w:rPr>
                            <w:rFonts w:ascii="Lucida Sans"/>
                            <w:sz w:val="12"/>
                          </w:rPr>
                        </w:pPr>
                        <w:r>
                          <w:rPr>
                            <w:rFonts w:ascii="Lucida Sans"/>
                            <w:w w:val="174"/>
                            <w:sz w:val="12"/>
                          </w:rPr>
                          <w:t>C</w:t>
                        </w:r>
                      </w:p>
                    </w:tc>
                    <w:tc>
                      <w:tcPr>
                        <w:tcW w:w="635" w:type="dxa"/>
                      </w:tcPr>
                      <w:p>
                        <w:pPr>
                          <w:pStyle w:val="TableParagraph"/>
                          <w:rPr>
                            <w:rFonts w:ascii="Times New Roman"/>
                            <w:sz w:val="12"/>
                          </w:rPr>
                        </w:pPr>
                      </w:p>
                    </w:tc>
                    <w:tc>
                      <w:tcPr>
                        <w:tcW w:w="684" w:type="dxa"/>
                      </w:tcPr>
                      <w:p>
                        <w:pPr>
                          <w:pStyle w:val="TableParagraph"/>
                          <w:spacing w:line="135" w:lineRule="exact" w:before="26"/>
                          <w:ind w:left="233"/>
                          <w:rPr>
                            <w:sz w:val="12"/>
                          </w:rPr>
                        </w:pPr>
                        <w:r>
                          <w:rPr>
                            <w:sz w:val="12"/>
                          </w:rPr>
                          <w:t>NR</w:t>
                        </w:r>
                      </w:p>
                    </w:tc>
                    <w:tc>
                      <w:tcPr>
                        <w:tcW w:w="813" w:type="dxa"/>
                      </w:tcPr>
                      <w:p>
                        <w:pPr>
                          <w:pStyle w:val="TableParagraph"/>
                          <w:spacing w:line="135" w:lineRule="exact" w:before="26"/>
                          <w:ind w:left="294"/>
                          <w:rPr>
                            <w:sz w:val="12"/>
                          </w:rPr>
                        </w:pPr>
                        <w:r>
                          <w:rPr>
                            <w:w w:val="105"/>
                            <w:sz w:val="12"/>
                          </w:rPr>
                          <w:t>0.0%</w:t>
                        </w:r>
                      </w:p>
                    </w:tc>
                    <w:tc>
                      <w:tcPr>
                        <w:tcW w:w="478" w:type="dxa"/>
                      </w:tcPr>
                      <w:p>
                        <w:pPr>
                          <w:pStyle w:val="TableParagraph"/>
                          <w:spacing w:line="135" w:lineRule="exact" w:before="26"/>
                          <w:ind w:right="16"/>
                          <w:jc w:val="right"/>
                          <w:rPr>
                            <w:sz w:val="12"/>
                          </w:rPr>
                        </w:pPr>
                        <w:r>
                          <w:rPr>
                            <w:w w:val="95"/>
                            <w:sz w:val="12"/>
                          </w:rPr>
                          <w:t>NR</w:t>
                        </w:r>
                      </w:p>
                    </w:tc>
                  </w:tr>
                  <w:tr>
                    <w:trPr>
                      <w:trHeight w:val="171" w:hRule="atLeast"/>
                    </w:trPr>
                    <w:tc>
                      <w:tcPr>
                        <w:tcW w:w="1874" w:type="dxa"/>
                      </w:tcPr>
                      <w:p>
                        <w:pPr>
                          <w:pStyle w:val="TableParagraph"/>
                          <w:rPr>
                            <w:rFonts w:ascii="Times New Roman"/>
                            <w:sz w:val="10"/>
                          </w:rPr>
                        </w:pPr>
                      </w:p>
                    </w:tc>
                    <w:tc>
                      <w:tcPr>
                        <w:tcW w:w="753" w:type="dxa"/>
                      </w:tcPr>
                      <w:p>
                        <w:pPr>
                          <w:pStyle w:val="TableParagraph"/>
                          <w:spacing w:line="134" w:lineRule="exact" w:before="17"/>
                          <w:ind w:right="209"/>
                          <w:jc w:val="right"/>
                          <w:rPr>
                            <w:sz w:val="12"/>
                          </w:rPr>
                        </w:pPr>
                        <w:r>
                          <w:rPr>
                            <w:w w:val="125"/>
                            <w:sz w:val="12"/>
                          </w:rPr>
                          <w:t>15</w:t>
                        </w:r>
                      </w:p>
                    </w:tc>
                    <w:tc>
                      <w:tcPr>
                        <w:tcW w:w="510" w:type="dxa"/>
                      </w:tcPr>
                      <w:p>
                        <w:pPr>
                          <w:pStyle w:val="TableParagraph"/>
                          <w:spacing w:line="135" w:lineRule="exact" w:before="16"/>
                          <w:ind w:left="58"/>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35" w:lineRule="exact" w:before="16"/>
                          <w:ind w:left="149"/>
                          <w:rPr>
                            <w:rFonts w:ascii="Lucida Sans"/>
                            <w:sz w:val="12"/>
                          </w:rPr>
                        </w:pPr>
                        <w:r>
                          <w:rPr>
                            <w:rFonts w:ascii="Lucida Sans"/>
                            <w:w w:val="174"/>
                            <w:sz w:val="12"/>
                          </w:rPr>
                          <w:t>C</w:t>
                        </w:r>
                      </w:p>
                    </w:tc>
                    <w:tc>
                      <w:tcPr>
                        <w:tcW w:w="609" w:type="dxa"/>
                      </w:tcPr>
                      <w:p>
                        <w:pPr>
                          <w:pStyle w:val="TableParagraph"/>
                          <w:rPr>
                            <w:rFonts w:ascii="Times New Roman"/>
                            <w:sz w:val="10"/>
                          </w:rPr>
                        </w:pPr>
                      </w:p>
                    </w:tc>
                    <w:tc>
                      <w:tcPr>
                        <w:tcW w:w="638" w:type="dxa"/>
                      </w:tcPr>
                      <w:p>
                        <w:pPr>
                          <w:pStyle w:val="TableParagraph"/>
                          <w:spacing w:line="134" w:lineRule="exact" w:before="17"/>
                          <w:ind w:right="25"/>
                          <w:jc w:val="center"/>
                          <w:rPr>
                            <w:sz w:val="12"/>
                          </w:rPr>
                        </w:pPr>
                        <w:r>
                          <w:rPr>
                            <w:w w:val="96"/>
                            <w:sz w:val="12"/>
                          </w:rPr>
                          <w:t>N</w:t>
                        </w:r>
                      </w:p>
                    </w:tc>
                    <w:tc>
                      <w:tcPr>
                        <w:tcW w:w="564" w:type="dxa"/>
                      </w:tcPr>
                      <w:p>
                        <w:pPr>
                          <w:pStyle w:val="TableParagraph"/>
                          <w:rPr>
                            <w:rFonts w:ascii="Times New Roman"/>
                            <w:sz w:val="10"/>
                          </w:rPr>
                        </w:pPr>
                      </w:p>
                    </w:tc>
                    <w:tc>
                      <w:tcPr>
                        <w:tcW w:w="701" w:type="dxa"/>
                      </w:tcPr>
                      <w:p>
                        <w:pPr>
                          <w:pStyle w:val="TableParagraph"/>
                          <w:spacing w:line="134" w:lineRule="exact" w:before="17"/>
                          <w:ind w:left="235"/>
                          <w:rPr>
                            <w:sz w:val="12"/>
                          </w:rPr>
                        </w:pPr>
                        <w:r>
                          <w:rPr>
                            <w:w w:val="96"/>
                            <w:sz w:val="12"/>
                          </w:rPr>
                          <w:t>N</w:t>
                        </w:r>
                      </w:p>
                    </w:tc>
                    <w:tc>
                      <w:tcPr>
                        <w:tcW w:w="1441" w:type="dxa"/>
                      </w:tcPr>
                      <w:p>
                        <w:pPr>
                          <w:pStyle w:val="TableParagraph"/>
                          <w:rPr>
                            <w:rFonts w:ascii="Times New Roman"/>
                            <w:sz w:val="10"/>
                          </w:rPr>
                        </w:pPr>
                      </w:p>
                    </w:tc>
                    <w:tc>
                      <w:tcPr>
                        <w:tcW w:w="1414" w:type="dxa"/>
                      </w:tcPr>
                      <w:p>
                        <w:pPr>
                          <w:pStyle w:val="TableParagraph"/>
                          <w:spacing w:line="135" w:lineRule="exact" w:before="16"/>
                          <w:ind w:right="336"/>
                          <w:jc w:val="right"/>
                          <w:rPr>
                            <w:rFonts w:ascii="Lucida Sans"/>
                            <w:sz w:val="12"/>
                          </w:rPr>
                        </w:pPr>
                        <w:r>
                          <w:rPr>
                            <w:rFonts w:ascii="Lucida Sans"/>
                            <w:w w:val="174"/>
                            <w:sz w:val="12"/>
                          </w:rPr>
                          <w:t>C</w:t>
                        </w:r>
                      </w:p>
                    </w:tc>
                    <w:tc>
                      <w:tcPr>
                        <w:tcW w:w="635" w:type="dxa"/>
                      </w:tcPr>
                      <w:p>
                        <w:pPr>
                          <w:pStyle w:val="TableParagraph"/>
                          <w:rPr>
                            <w:rFonts w:ascii="Times New Roman"/>
                            <w:sz w:val="10"/>
                          </w:rPr>
                        </w:pPr>
                      </w:p>
                    </w:tc>
                    <w:tc>
                      <w:tcPr>
                        <w:tcW w:w="684" w:type="dxa"/>
                      </w:tcPr>
                      <w:p>
                        <w:pPr>
                          <w:pStyle w:val="TableParagraph"/>
                          <w:spacing w:line="134" w:lineRule="exact" w:before="17"/>
                          <w:ind w:left="233"/>
                          <w:rPr>
                            <w:sz w:val="12"/>
                          </w:rPr>
                        </w:pPr>
                        <w:r>
                          <w:rPr>
                            <w:sz w:val="12"/>
                          </w:rPr>
                          <w:t>NR</w:t>
                        </w:r>
                      </w:p>
                    </w:tc>
                    <w:tc>
                      <w:tcPr>
                        <w:tcW w:w="813" w:type="dxa"/>
                      </w:tcPr>
                      <w:p>
                        <w:pPr>
                          <w:pStyle w:val="TableParagraph"/>
                          <w:spacing w:line="134" w:lineRule="exact" w:before="17"/>
                          <w:ind w:left="294"/>
                          <w:rPr>
                            <w:sz w:val="12"/>
                          </w:rPr>
                        </w:pPr>
                        <w:r>
                          <w:rPr>
                            <w:w w:val="105"/>
                            <w:sz w:val="12"/>
                          </w:rPr>
                          <w:t>6.7%</w:t>
                        </w:r>
                      </w:p>
                    </w:tc>
                    <w:tc>
                      <w:tcPr>
                        <w:tcW w:w="478" w:type="dxa"/>
                      </w:tcPr>
                      <w:p>
                        <w:pPr>
                          <w:pStyle w:val="TableParagraph"/>
                          <w:spacing w:line="134" w:lineRule="exact" w:before="17"/>
                          <w:ind w:right="16"/>
                          <w:jc w:val="right"/>
                          <w:rPr>
                            <w:sz w:val="12"/>
                          </w:rPr>
                        </w:pPr>
                        <w:r>
                          <w:rPr>
                            <w:w w:val="95"/>
                            <w:sz w:val="12"/>
                          </w:rPr>
                          <w:t>NR</w:t>
                        </w:r>
                      </w:p>
                    </w:tc>
                  </w:tr>
                  <w:tr>
                    <w:trPr>
                      <w:trHeight w:val="208" w:hRule="atLeast"/>
                    </w:trPr>
                    <w:tc>
                      <w:tcPr>
                        <w:tcW w:w="1874" w:type="dxa"/>
                      </w:tcPr>
                      <w:p>
                        <w:pPr>
                          <w:pStyle w:val="TableParagraph"/>
                          <w:rPr>
                            <w:rFonts w:ascii="Times New Roman"/>
                            <w:sz w:val="12"/>
                          </w:rPr>
                        </w:pPr>
                      </w:p>
                    </w:tc>
                    <w:tc>
                      <w:tcPr>
                        <w:tcW w:w="753" w:type="dxa"/>
                      </w:tcPr>
                      <w:p>
                        <w:pPr>
                          <w:pStyle w:val="TableParagraph"/>
                          <w:spacing w:before="17"/>
                          <w:ind w:right="209"/>
                          <w:jc w:val="right"/>
                          <w:rPr>
                            <w:sz w:val="12"/>
                          </w:rPr>
                        </w:pPr>
                        <w:r>
                          <w:rPr>
                            <w:w w:val="125"/>
                            <w:sz w:val="12"/>
                          </w:rPr>
                          <w:t>15</w:t>
                        </w:r>
                      </w:p>
                    </w:tc>
                    <w:tc>
                      <w:tcPr>
                        <w:tcW w:w="510" w:type="dxa"/>
                      </w:tcPr>
                      <w:p>
                        <w:pPr>
                          <w:pStyle w:val="TableParagraph"/>
                          <w:spacing w:before="16"/>
                          <w:ind w:left="58"/>
                          <w:jc w:val="center"/>
                          <w:rPr>
                            <w:rFonts w:ascii="Lucida Sans"/>
                            <w:sz w:val="12"/>
                          </w:rPr>
                        </w:pPr>
                        <w:r>
                          <w:rPr>
                            <w:rFonts w:ascii="Lucida Sans"/>
                            <w:w w:val="174"/>
                            <w:sz w:val="12"/>
                          </w:rPr>
                          <w:t>C</w:t>
                        </w:r>
                      </w:p>
                    </w:tc>
                    <w:tc>
                      <w:tcPr>
                        <w:tcW w:w="395" w:type="dxa"/>
                      </w:tcPr>
                      <w:p>
                        <w:pPr>
                          <w:pStyle w:val="TableParagraph"/>
                          <w:rPr>
                            <w:rFonts w:ascii="Times New Roman"/>
                            <w:sz w:val="12"/>
                          </w:rPr>
                        </w:pPr>
                      </w:p>
                    </w:tc>
                    <w:tc>
                      <w:tcPr>
                        <w:tcW w:w="553" w:type="dxa"/>
                      </w:tcPr>
                      <w:p>
                        <w:pPr>
                          <w:pStyle w:val="TableParagraph"/>
                          <w:spacing w:before="16"/>
                          <w:ind w:left="149"/>
                          <w:rPr>
                            <w:rFonts w:ascii="Lucida Sans"/>
                            <w:sz w:val="12"/>
                          </w:rPr>
                        </w:pPr>
                        <w:r>
                          <w:rPr>
                            <w:rFonts w:ascii="Lucida Sans"/>
                            <w:w w:val="174"/>
                            <w:sz w:val="12"/>
                          </w:rPr>
                          <w:t>C</w:t>
                        </w:r>
                      </w:p>
                    </w:tc>
                    <w:tc>
                      <w:tcPr>
                        <w:tcW w:w="609" w:type="dxa"/>
                      </w:tcPr>
                      <w:p>
                        <w:pPr>
                          <w:pStyle w:val="TableParagraph"/>
                          <w:rPr>
                            <w:rFonts w:ascii="Times New Roman"/>
                            <w:sz w:val="12"/>
                          </w:rPr>
                        </w:pPr>
                      </w:p>
                    </w:tc>
                    <w:tc>
                      <w:tcPr>
                        <w:tcW w:w="638" w:type="dxa"/>
                      </w:tcPr>
                      <w:p>
                        <w:pPr>
                          <w:pStyle w:val="TableParagraph"/>
                          <w:spacing w:before="16"/>
                          <w:ind w:left="20"/>
                          <w:jc w:val="center"/>
                          <w:rPr>
                            <w:rFonts w:ascii="Lucida Sans"/>
                            <w:sz w:val="12"/>
                          </w:rPr>
                        </w:pPr>
                        <w:r>
                          <w:rPr>
                            <w:rFonts w:ascii="Lucida Sans"/>
                            <w:w w:val="174"/>
                            <w:sz w:val="12"/>
                          </w:rPr>
                          <w:t>C</w:t>
                        </w:r>
                      </w:p>
                    </w:tc>
                    <w:tc>
                      <w:tcPr>
                        <w:tcW w:w="564" w:type="dxa"/>
                      </w:tcPr>
                      <w:p>
                        <w:pPr>
                          <w:pStyle w:val="TableParagraph"/>
                          <w:rPr>
                            <w:rFonts w:ascii="Times New Roman"/>
                            <w:sz w:val="12"/>
                          </w:rPr>
                        </w:pPr>
                      </w:p>
                    </w:tc>
                    <w:tc>
                      <w:tcPr>
                        <w:tcW w:w="701" w:type="dxa"/>
                      </w:tcPr>
                      <w:p>
                        <w:pPr>
                          <w:pStyle w:val="TableParagraph"/>
                          <w:ind w:left="235"/>
                          <w:rPr>
                            <w:rFonts w:ascii="Arial"/>
                            <w:sz w:val="14"/>
                          </w:rPr>
                        </w:pPr>
                        <w:r>
                          <w:rPr>
                            <w:rFonts w:ascii="Arial"/>
                            <w:w w:val="97"/>
                            <w:sz w:val="14"/>
                          </w:rPr>
                          <w:t>a</w:t>
                        </w:r>
                      </w:p>
                    </w:tc>
                    <w:tc>
                      <w:tcPr>
                        <w:tcW w:w="1441" w:type="dxa"/>
                      </w:tcPr>
                      <w:p>
                        <w:pPr>
                          <w:pStyle w:val="TableParagraph"/>
                          <w:rPr>
                            <w:rFonts w:ascii="Times New Roman"/>
                            <w:sz w:val="12"/>
                          </w:rPr>
                        </w:pPr>
                      </w:p>
                    </w:tc>
                    <w:tc>
                      <w:tcPr>
                        <w:tcW w:w="1414" w:type="dxa"/>
                      </w:tcPr>
                      <w:p>
                        <w:pPr>
                          <w:pStyle w:val="TableParagraph"/>
                          <w:spacing w:before="16"/>
                          <w:ind w:right="336"/>
                          <w:jc w:val="right"/>
                          <w:rPr>
                            <w:rFonts w:ascii="Lucida Sans"/>
                            <w:sz w:val="12"/>
                          </w:rPr>
                        </w:pPr>
                        <w:r>
                          <w:rPr>
                            <w:rFonts w:ascii="Lucida Sans"/>
                            <w:w w:val="174"/>
                            <w:sz w:val="12"/>
                          </w:rPr>
                          <w:t>C</w:t>
                        </w:r>
                      </w:p>
                    </w:tc>
                    <w:tc>
                      <w:tcPr>
                        <w:tcW w:w="635" w:type="dxa"/>
                      </w:tcPr>
                      <w:p>
                        <w:pPr>
                          <w:pStyle w:val="TableParagraph"/>
                          <w:rPr>
                            <w:rFonts w:ascii="Times New Roman"/>
                            <w:sz w:val="12"/>
                          </w:rPr>
                        </w:pPr>
                      </w:p>
                    </w:tc>
                    <w:tc>
                      <w:tcPr>
                        <w:tcW w:w="684" w:type="dxa"/>
                      </w:tcPr>
                      <w:p>
                        <w:pPr>
                          <w:pStyle w:val="TableParagraph"/>
                          <w:spacing w:before="17"/>
                          <w:ind w:left="233"/>
                          <w:rPr>
                            <w:sz w:val="12"/>
                          </w:rPr>
                        </w:pPr>
                        <w:r>
                          <w:rPr>
                            <w:sz w:val="12"/>
                          </w:rPr>
                          <w:t>NR</w:t>
                        </w:r>
                      </w:p>
                    </w:tc>
                    <w:tc>
                      <w:tcPr>
                        <w:tcW w:w="813" w:type="dxa"/>
                      </w:tcPr>
                      <w:p>
                        <w:pPr>
                          <w:pStyle w:val="TableParagraph"/>
                          <w:spacing w:before="17"/>
                          <w:ind w:left="294"/>
                          <w:rPr>
                            <w:sz w:val="12"/>
                          </w:rPr>
                        </w:pPr>
                        <w:r>
                          <w:rPr>
                            <w:w w:val="105"/>
                            <w:sz w:val="12"/>
                          </w:rPr>
                          <w:t>0.0%</w:t>
                        </w:r>
                      </w:p>
                    </w:tc>
                    <w:tc>
                      <w:tcPr>
                        <w:tcW w:w="478" w:type="dxa"/>
                      </w:tcPr>
                      <w:p>
                        <w:pPr>
                          <w:pStyle w:val="TableParagraph"/>
                          <w:spacing w:before="17"/>
                          <w:ind w:right="16"/>
                          <w:jc w:val="right"/>
                          <w:rPr>
                            <w:sz w:val="12"/>
                          </w:rPr>
                        </w:pPr>
                        <w:r>
                          <w:rPr>
                            <w:w w:val="95"/>
                            <w:sz w:val="12"/>
                          </w:rPr>
                          <w:t>NR</w:t>
                        </w:r>
                      </w:p>
                    </w:tc>
                  </w:tr>
                </w:tbl>
                <w:p>
                  <w:pPr>
                    <w:pStyle w:val="BodyText"/>
                  </w:pPr>
                </w:p>
              </w:txbxContent>
            </v:textbox>
            <w10:wrap type="none"/>
          </v:shape>
        </w:pict>
      </w:r>
      <w:r>
        <w:rPr/>
        <w:pict>
          <v:shape style="position:absolute;margin-left:55.476398pt;margin-top:31.241158pt;width:660.9pt;height:123.55pt;mso-position-horizontal-relative:page;mso-position-vertical-relative:paragraph;z-index:251713536"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13"/>
                    <w:gridCol w:w="714"/>
                    <w:gridCol w:w="543"/>
                    <w:gridCol w:w="363"/>
                    <w:gridCol w:w="586"/>
                    <w:gridCol w:w="577"/>
                    <w:gridCol w:w="950"/>
                    <w:gridCol w:w="1011"/>
                    <w:gridCol w:w="1386"/>
                    <w:gridCol w:w="1380"/>
                    <w:gridCol w:w="676"/>
                    <w:gridCol w:w="727"/>
                    <w:gridCol w:w="810"/>
                    <w:gridCol w:w="890"/>
                    <w:gridCol w:w="693"/>
                  </w:tblGrid>
                  <w:tr>
                    <w:trPr>
                      <w:trHeight w:val="222" w:hRule="atLeast"/>
                    </w:trPr>
                    <w:tc>
                      <w:tcPr>
                        <w:tcW w:w="1913" w:type="dxa"/>
                      </w:tcPr>
                      <w:p>
                        <w:pPr>
                          <w:pStyle w:val="TableParagraph"/>
                          <w:spacing w:line="140" w:lineRule="exact" w:before="62"/>
                          <w:ind w:left="33"/>
                          <w:rPr>
                            <w:sz w:val="12"/>
                          </w:rPr>
                        </w:pPr>
                        <w:r>
                          <w:rPr>
                            <w:w w:val="115"/>
                            <w:sz w:val="12"/>
                          </w:rPr>
                          <w:t>Austin et al., 2017 [</w:t>
                        </w:r>
                        <w:hyperlink w:history="true" w:anchor="_bookmark52">
                          <w:r>
                            <w:rPr>
                              <w:color w:val="007FAC"/>
                              <w:w w:val="115"/>
                              <w:sz w:val="12"/>
                            </w:rPr>
                            <w:t>41</w:t>
                          </w:r>
                        </w:hyperlink>
                        <w:r>
                          <w:rPr>
                            <w:w w:val="115"/>
                            <w:sz w:val="12"/>
                          </w:rPr>
                          <w:t>]</w:t>
                        </w:r>
                        <w:r>
                          <w:rPr>
                            <w:w w:val="115"/>
                            <w:sz w:val="12"/>
                            <w:vertAlign w:val="superscript"/>
                          </w:rPr>
                          <w:t>,</w:t>
                        </w:r>
                        <w:hyperlink w:history="true" w:anchor="_bookmark90">
                          <w:r>
                            <w:rPr>
                              <w:color w:val="007FAC"/>
                              <w:w w:val="115"/>
                              <w:sz w:val="12"/>
                              <w:vertAlign w:val="superscript"/>
                            </w:rPr>
                            <w:t>i</w:t>
                          </w:r>
                        </w:hyperlink>
                      </w:p>
                    </w:tc>
                    <w:tc>
                      <w:tcPr>
                        <w:tcW w:w="714" w:type="dxa"/>
                      </w:tcPr>
                      <w:p>
                        <w:pPr>
                          <w:pStyle w:val="TableParagraph"/>
                          <w:spacing w:line="140" w:lineRule="exact" w:before="62"/>
                          <w:ind w:right="209"/>
                          <w:jc w:val="right"/>
                          <w:rPr>
                            <w:sz w:val="12"/>
                          </w:rPr>
                        </w:pPr>
                        <w:r>
                          <w:rPr>
                            <w:w w:val="125"/>
                            <w:sz w:val="12"/>
                          </w:rPr>
                          <w:t>1598</w:t>
                        </w:r>
                      </w:p>
                    </w:tc>
                    <w:tc>
                      <w:tcPr>
                        <w:tcW w:w="543" w:type="dxa"/>
                      </w:tcPr>
                      <w:p>
                        <w:pPr>
                          <w:pStyle w:val="TableParagraph"/>
                          <w:spacing w:line="141" w:lineRule="exact" w:before="61"/>
                          <w:ind w:left="25"/>
                          <w:jc w:val="center"/>
                          <w:rPr>
                            <w:rFonts w:ascii="Lucida Sans"/>
                            <w:sz w:val="12"/>
                          </w:rPr>
                        </w:pPr>
                        <w:r>
                          <w:rPr>
                            <w:rFonts w:ascii="Lucida Sans"/>
                            <w:w w:val="174"/>
                            <w:sz w:val="12"/>
                          </w:rPr>
                          <w:t>C</w:t>
                        </w:r>
                      </w:p>
                    </w:tc>
                    <w:tc>
                      <w:tcPr>
                        <w:tcW w:w="363" w:type="dxa"/>
                      </w:tcPr>
                      <w:p>
                        <w:pPr>
                          <w:pStyle w:val="TableParagraph"/>
                          <w:rPr>
                            <w:rFonts w:ascii="Times New Roman"/>
                            <w:sz w:val="12"/>
                          </w:rPr>
                        </w:pPr>
                      </w:p>
                    </w:tc>
                    <w:tc>
                      <w:tcPr>
                        <w:tcW w:w="586" w:type="dxa"/>
                      </w:tcPr>
                      <w:p>
                        <w:pPr>
                          <w:pStyle w:val="TableParagraph"/>
                          <w:spacing w:line="141" w:lineRule="exact" w:before="61"/>
                          <w:ind w:right="143"/>
                          <w:jc w:val="center"/>
                          <w:rPr>
                            <w:rFonts w:ascii="Lucida Sans"/>
                            <w:sz w:val="12"/>
                          </w:rPr>
                        </w:pPr>
                        <w:r>
                          <w:rPr>
                            <w:rFonts w:ascii="Lucida Sans"/>
                            <w:w w:val="174"/>
                            <w:sz w:val="12"/>
                          </w:rPr>
                          <w:t>C</w:t>
                        </w:r>
                      </w:p>
                    </w:tc>
                    <w:tc>
                      <w:tcPr>
                        <w:tcW w:w="577" w:type="dxa"/>
                      </w:tcPr>
                      <w:p>
                        <w:pPr>
                          <w:pStyle w:val="TableParagraph"/>
                          <w:rPr>
                            <w:rFonts w:ascii="Times New Roman"/>
                            <w:sz w:val="12"/>
                          </w:rPr>
                        </w:pPr>
                      </w:p>
                    </w:tc>
                    <w:tc>
                      <w:tcPr>
                        <w:tcW w:w="950" w:type="dxa"/>
                      </w:tcPr>
                      <w:p>
                        <w:pPr>
                          <w:pStyle w:val="TableParagraph"/>
                          <w:spacing w:line="156" w:lineRule="exact" w:before="46"/>
                          <w:ind w:left="254"/>
                          <w:rPr>
                            <w:rFonts w:ascii="Arial"/>
                            <w:sz w:val="14"/>
                          </w:rPr>
                        </w:pPr>
                        <w:r>
                          <w:rPr>
                            <w:rFonts w:ascii="Arial"/>
                            <w:w w:val="97"/>
                            <w:sz w:val="14"/>
                          </w:rPr>
                          <w:t>a</w:t>
                        </w:r>
                      </w:p>
                    </w:tc>
                    <w:tc>
                      <w:tcPr>
                        <w:tcW w:w="1011" w:type="dxa"/>
                      </w:tcPr>
                      <w:p>
                        <w:pPr>
                          <w:pStyle w:val="TableParagraph"/>
                          <w:spacing w:line="156" w:lineRule="exact" w:before="46"/>
                          <w:ind w:left="485"/>
                          <w:rPr>
                            <w:rFonts w:ascii="Arial"/>
                            <w:sz w:val="14"/>
                          </w:rPr>
                        </w:pPr>
                        <w:r>
                          <w:rPr>
                            <w:rFonts w:ascii="Arial"/>
                            <w:w w:val="97"/>
                            <w:sz w:val="14"/>
                          </w:rPr>
                          <w:t>a</w:t>
                        </w:r>
                      </w:p>
                    </w:tc>
                    <w:tc>
                      <w:tcPr>
                        <w:tcW w:w="1386" w:type="dxa"/>
                      </w:tcPr>
                      <w:p>
                        <w:pPr>
                          <w:pStyle w:val="TableParagraph"/>
                          <w:spacing w:line="156" w:lineRule="exact" w:before="46"/>
                          <w:ind w:left="316"/>
                          <w:rPr>
                            <w:rFonts w:ascii="Arial"/>
                            <w:sz w:val="14"/>
                          </w:rPr>
                        </w:pPr>
                        <w:r>
                          <w:rPr>
                            <w:rFonts w:ascii="Arial"/>
                            <w:w w:val="97"/>
                            <w:sz w:val="14"/>
                          </w:rPr>
                          <w:t>a</w:t>
                        </w:r>
                      </w:p>
                    </w:tc>
                    <w:tc>
                      <w:tcPr>
                        <w:tcW w:w="1380" w:type="dxa"/>
                      </w:tcPr>
                      <w:p>
                        <w:pPr>
                          <w:pStyle w:val="TableParagraph"/>
                          <w:rPr>
                            <w:rFonts w:ascii="Times New Roman"/>
                            <w:sz w:val="12"/>
                          </w:rPr>
                        </w:pPr>
                      </w:p>
                    </w:tc>
                    <w:tc>
                      <w:tcPr>
                        <w:tcW w:w="676" w:type="dxa"/>
                      </w:tcPr>
                      <w:p>
                        <w:pPr>
                          <w:pStyle w:val="TableParagraph"/>
                          <w:spacing w:line="140" w:lineRule="exact" w:before="62"/>
                          <w:ind w:left="310"/>
                          <w:rPr>
                            <w:sz w:val="12"/>
                          </w:rPr>
                        </w:pPr>
                        <w:r>
                          <w:rPr>
                            <w:w w:val="105"/>
                            <w:sz w:val="12"/>
                          </w:rPr>
                          <w:t>SP</w:t>
                        </w:r>
                      </w:p>
                    </w:tc>
                    <w:tc>
                      <w:tcPr>
                        <w:tcW w:w="727" w:type="dxa"/>
                      </w:tcPr>
                      <w:p>
                        <w:pPr>
                          <w:pStyle w:val="TableParagraph"/>
                          <w:spacing w:line="140" w:lineRule="exact" w:before="62"/>
                          <w:ind w:right="157"/>
                          <w:jc w:val="right"/>
                          <w:rPr>
                            <w:sz w:val="12"/>
                          </w:rPr>
                        </w:pPr>
                        <w:r>
                          <w:rPr>
                            <w:w w:val="105"/>
                            <w:sz w:val="12"/>
                          </w:rPr>
                          <w:t>0.0%</w:t>
                        </w:r>
                      </w:p>
                    </w:tc>
                    <w:tc>
                      <w:tcPr>
                        <w:tcW w:w="810" w:type="dxa"/>
                      </w:tcPr>
                      <w:p>
                        <w:pPr>
                          <w:pStyle w:val="TableParagraph"/>
                          <w:spacing w:line="140" w:lineRule="exact" w:before="62"/>
                          <w:ind w:left="159"/>
                          <w:rPr>
                            <w:sz w:val="12"/>
                          </w:rPr>
                        </w:pPr>
                        <w:r>
                          <w:rPr>
                            <w:sz w:val="12"/>
                          </w:rPr>
                          <w:t>NR</w:t>
                        </w:r>
                      </w:p>
                    </w:tc>
                    <w:tc>
                      <w:tcPr>
                        <w:tcW w:w="890" w:type="dxa"/>
                      </w:tcPr>
                      <w:p>
                        <w:pPr>
                          <w:pStyle w:val="TableParagraph"/>
                          <w:spacing w:line="140" w:lineRule="exact" w:before="62"/>
                          <w:ind w:right="237"/>
                          <w:jc w:val="right"/>
                          <w:rPr>
                            <w:sz w:val="12"/>
                          </w:rPr>
                        </w:pPr>
                        <w:r>
                          <w:rPr>
                            <w:w w:val="105"/>
                            <w:sz w:val="12"/>
                          </w:rPr>
                          <w:t>0.0%</w:t>
                        </w:r>
                      </w:p>
                    </w:tc>
                    <w:tc>
                      <w:tcPr>
                        <w:tcW w:w="693" w:type="dxa"/>
                      </w:tcPr>
                      <w:p>
                        <w:pPr>
                          <w:pStyle w:val="TableParagraph"/>
                          <w:spacing w:line="140" w:lineRule="exact" w:before="62"/>
                          <w:ind w:left="318"/>
                          <w:rPr>
                            <w:sz w:val="12"/>
                          </w:rPr>
                        </w:pPr>
                        <w:r>
                          <w:rPr>
                            <w:w w:val="105"/>
                            <w:sz w:val="12"/>
                          </w:rPr>
                          <w:t>0.0%</w:t>
                        </w:r>
                      </w:p>
                    </w:tc>
                  </w:tr>
                  <w:tr>
                    <w:trPr>
                      <w:trHeight w:val="171" w:hRule="atLeast"/>
                    </w:trPr>
                    <w:tc>
                      <w:tcPr>
                        <w:tcW w:w="1913" w:type="dxa"/>
                      </w:tcPr>
                      <w:p>
                        <w:pPr>
                          <w:pStyle w:val="TableParagraph"/>
                          <w:rPr>
                            <w:rFonts w:ascii="Times New Roman"/>
                            <w:sz w:val="10"/>
                          </w:rPr>
                        </w:pPr>
                      </w:p>
                    </w:tc>
                    <w:tc>
                      <w:tcPr>
                        <w:tcW w:w="714" w:type="dxa"/>
                      </w:tcPr>
                      <w:p>
                        <w:pPr>
                          <w:pStyle w:val="TableParagraph"/>
                          <w:spacing w:line="140" w:lineRule="exact" w:before="11"/>
                          <w:ind w:right="209"/>
                          <w:jc w:val="right"/>
                          <w:rPr>
                            <w:sz w:val="12"/>
                          </w:rPr>
                        </w:pPr>
                        <w:r>
                          <w:rPr>
                            <w:w w:val="125"/>
                            <w:sz w:val="12"/>
                          </w:rPr>
                          <w:t>884</w:t>
                        </w:r>
                      </w:p>
                    </w:tc>
                    <w:tc>
                      <w:tcPr>
                        <w:tcW w:w="543" w:type="dxa"/>
                      </w:tcPr>
                      <w:p>
                        <w:pPr>
                          <w:pStyle w:val="TableParagraph"/>
                          <w:rPr>
                            <w:rFonts w:ascii="Times New Roman"/>
                            <w:sz w:val="10"/>
                          </w:rPr>
                        </w:pPr>
                      </w:p>
                    </w:tc>
                    <w:tc>
                      <w:tcPr>
                        <w:tcW w:w="363" w:type="dxa"/>
                      </w:tcPr>
                      <w:p>
                        <w:pPr>
                          <w:pStyle w:val="TableParagraph"/>
                          <w:spacing w:line="140" w:lineRule="exact" w:before="11"/>
                          <w:ind w:right="50"/>
                          <w:jc w:val="center"/>
                          <w:rPr>
                            <w:sz w:val="12"/>
                          </w:rPr>
                        </w:pPr>
                        <w:r>
                          <w:rPr>
                            <w:w w:val="109"/>
                            <w:sz w:val="12"/>
                          </w:rPr>
                          <w:t>S</w:t>
                        </w:r>
                      </w:p>
                    </w:tc>
                    <w:tc>
                      <w:tcPr>
                        <w:tcW w:w="586" w:type="dxa"/>
                      </w:tcPr>
                      <w:p>
                        <w:pPr>
                          <w:pStyle w:val="TableParagraph"/>
                          <w:spacing w:line="141" w:lineRule="exact" w:before="10"/>
                          <w:ind w:right="144"/>
                          <w:jc w:val="center"/>
                          <w:rPr>
                            <w:rFonts w:ascii="Lucida Sans"/>
                            <w:sz w:val="12"/>
                          </w:rPr>
                        </w:pPr>
                        <w:r>
                          <w:rPr>
                            <w:rFonts w:ascii="Lucida Sans"/>
                            <w:w w:val="174"/>
                            <w:sz w:val="12"/>
                          </w:rPr>
                          <w:t>C</w:t>
                        </w:r>
                      </w:p>
                    </w:tc>
                    <w:tc>
                      <w:tcPr>
                        <w:tcW w:w="577" w:type="dxa"/>
                      </w:tcPr>
                      <w:p>
                        <w:pPr>
                          <w:pStyle w:val="TableParagraph"/>
                          <w:rPr>
                            <w:rFonts w:ascii="Times New Roman"/>
                            <w:sz w:val="10"/>
                          </w:rPr>
                        </w:pPr>
                      </w:p>
                    </w:tc>
                    <w:tc>
                      <w:tcPr>
                        <w:tcW w:w="950" w:type="dxa"/>
                      </w:tcPr>
                      <w:p>
                        <w:pPr>
                          <w:pStyle w:val="TableParagraph"/>
                          <w:spacing w:line="151" w:lineRule="exact"/>
                          <w:ind w:left="254"/>
                          <w:rPr>
                            <w:rFonts w:ascii="Arial"/>
                            <w:sz w:val="14"/>
                          </w:rPr>
                        </w:pPr>
                        <w:r>
                          <w:rPr>
                            <w:rFonts w:ascii="Arial"/>
                            <w:w w:val="97"/>
                            <w:sz w:val="14"/>
                          </w:rPr>
                          <w:t>a</w:t>
                        </w:r>
                      </w:p>
                    </w:tc>
                    <w:tc>
                      <w:tcPr>
                        <w:tcW w:w="1011" w:type="dxa"/>
                      </w:tcPr>
                      <w:p>
                        <w:pPr>
                          <w:pStyle w:val="TableParagraph"/>
                          <w:rPr>
                            <w:rFonts w:ascii="Times New Roman"/>
                            <w:sz w:val="10"/>
                          </w:rPr>
                        </w:pPr>
                      </w:p>
                    </w:tc>
                    <w:tc>
                      <w:tcPr>
                        <w:tcW w:w="1386" w:type="dxa"/>
                      </w:tcPr>
                      <w:p>
                        <w:pPr>
                          <w:pStyle w:val="TableParagraph"/>
                          <w:spacing w:line="151" w:lineRule="exact"/>
                          <w:ind w:left="316"/>
                          <w:rPr>
                            <w:rFonts w:ascii="Arial"/>
                            <w:sz w:val="14"/>
                          </w:rPr>
                        </w:pPr>
                        <w:r>
                          <w:rPr>
                            <w:rFonts w:ascii="Arial"/>
                            <w:w w:val="97"/>
                            <w:sz w:val="14"/>
                          </w:rPr>
                          <w:t>a</w:t>
                        </w:r>
                      </w:p>
                    </w:tc>
                    <w:tc>
                      <w:tcPr>
                        <w:tcW w:w="1380" w:type="dxa"/>
                      </w:tcPr>
                      <w:p>
                        <w:pPr>
                          <w:pStyle w:val="TableParagraph"/>
                          <w:rPr>
                            <w:rFonts w:ascii="Times New Roman"/>
                            <w:sz w:val="10"/>
                          </w:rPr>
                        </w:pPr>
                      </w:p>
                    </w:tc>
                    <w:tc>
                      <w:tcPr>
                        <w:tcW w:w="676" w:type="dxa"/>
                      </w:tcPr>
                      <w:p>
                        <w:pPr>
                          <w:pStyle w:val="TableParagraph"/>
                          <w:spacing w:line="140" w:lineRule="exact" w:before="11"/>
                          <w:ind w:left="310"/>
                          <w:rPr>
                            <w:sz w:val="12"/>
                          </w:rPr>
                        </w:pPr>
                        <w:r>
                          <w:rPr>
                            <w:w w:val="105"/>
                            <w:sz w:val="12"/>
                          </w:rPr>
                          <w:t>SP</w:t>
                        </w:r>
                      </w:p>
                    </w:tc>
                    <w:tc>
                      <w:tcPr>
                        <w:tcW w:w="727" w:type="dxa"/>
                      </w:tcPr>
                      <w:p>
                        <w:pPr>
                          <w:pStyle w:val="TableParagraph"/>
                          <w:spacing w:line="140" w:lineRule="exact" w:before="11"/>
                          <w:ind w:right="157"/>
                          <w:jc w:val="right"/>
                          <w:rPr>
                            <w:sz w:val="12"/>
                          </w:rPr>
                        </w:pPr>
                        <w:r>
                          <w:rPr>
                            <w:w w:val="105"/>
                            <w:sz w:val="12"/>
                          </w:rPr>
                          <w:t>0.2%</w:t>
                        </w:r>
                      </w:p>
                    </w:tc>
                    <w:tc>
                      <w:tcPr>
                        <w:tcW w:w="810" w:type="dxa"/>
                      </w:tcPr>
                      <w:p>
                        <w:pPr>
                          <w:pStyle w:val="TableParagraph"/>
                          <w:spacing w:line="140" w:lineRule="exact" w:before="11"/>
                          <w:ind w:left="159"/>
                          <w:rPr>
                            <w:sz w:val="12"/>
                          </w:rPr>
                        </w:pPr>
                        <w:r>
                          <w:rPr>
                            <w:sz w:val="12"/>
                          </w:rPr>
                          <w:t>NR</w:t>
                        </w:r>
                      </w:p>
                    </w:tc>
                    <w:tc>
                      <w:tcPr>
                        <w:tcW w:w="890" w:type="dxa"/>
                      </w:tcPr>
                      <w:p>
                        <w:pPr>
                          <w:pStyle w:val="TableParagraph"/>
                          <w:spacing w:line="140" w:lineRule="exact" w:before="11"/>
                          <w:ind w:right="237"/>
                          <w:jc w:val="right"/>
                          <w:rPr>
                            <w:sz w:val="12"/>
                          </w:rPr>
                        </w:pPr>
                        <w:r>
                          <w:rPr>
                            <w:w w:val="105"/>
                            <w:sz w:val="12"/>
                          </w:rPr>
                          <w:t>0.1%</w:t>
                        </w:r>
                      </w:p>
                    </w:tc>
                    <w:tc>
                      <w:tcPr>
                        <w:tcW w:w="693" w:type="dxa"/>
                      </w:tcPr>
                      <w:p>
                        <w:pPr>
                          <w:pStyle w:val="TableParagraph"/>
                          <w:spacing w:line="140" w:lineRule="exact" w:before="11"/>
                          <w:ind w:left="318"/>
                          <w:rPr>
                            <w:sz w:val="12"/>
                          </w:rPr>
                        </w:pPr>
                        <w:r>
                          <w:rPr>
                            <w:w w:val="105"/>
                            <w:sz w:val="12"/>
                          </w:rPr>
                          <w:t>0.3%</w:t>
                        </w:r>
                      </w:p>
                    </w:tc>
                  </w:tr>
                  <w:tr>
                    <w:trPr>
                      <w:trHeight w:val="165" w:hRule="atLeast"/>
                    </w:trPr>
                    <w:tc>
                      <w:tcPr>
                        <w:tcW w:w="1913" w:type="dxa"/>
                      </w:tcPr>
                      <w:p>
                        <w:pPr>
                          <w:pStyle w:val="TableParagraph"/>
                          <w:spacing w:line="134" w:lineRule="exact" w:before="11"/>
                          <w:ind w:left="33"/>
                          <w:rPr>
                            <w:sz w:val="12"/>
                          </w:rPr>
                        </w:pPr>
                        <w:r>
                          <w:rPr>
                            <w:w w:val="120"/>
                            <w:sz w:val="12"/>
                          </w:rPr>
                          <w:t>Chan et al., 2017 [</w:t>
                        </w:r>
                        <w:hyperlink w:history="true" w:anchor="_bookmark43">
                          <w:r>
                            <w:rPr>
                              <w:color w:val="007FAC"/>
                              <w:w w:val="120"/>
                              <w:sz w:val="12"/>
                            </w:rPr>
                            <w:t>32</w:t>
                          </w:r>
                        </w:hyperlink>
                        <w:r>
                          <w:rPr>
                            <w:w w:val="120"/>
                            <w:sz w:val="12"/>
                          </w:rPr>
                          <w:t>]</w:t>
                        </w:r>
                      </w:p>
                    </w:tc>
                    <w:tc>
                      <w:tcPr>
                        <w:tcW w:w="714" w:type="dxa"/>
                      </w:tcPr>
                      <w:p>
                        <w:pPr>
                          <w:pStyle w:val="TableParagraph"/>
                          <w:spacing w:line="134" w:lineRule="exact" w:before="11"/>
                          <w:ind w:right="209"/>
                          <w:jc w:val="right"/>
                          <w:rPr>
                            <w:sz w:val="12"/>
                          </w:rPr>
                        </w:pPr>
                        <w:r>
                          <w:rPr>
                            <w:w w:val="125"/>
                            <w:sz w:val="12"/>
                          </w:rPr>
                          <w:t>55</w:t>
                        </w:r>
                      </w:p>
                    </w:tc>
                    <w:tc>
                      <w:tcPr>
                        <w:tcW w:w="543" w:type="dxa"/>
                      </w:tcPr>
                      <w:p>
                        <w:pPr>
                          <w:pStyle w:val="TableParagraph"/>
                          <w:rPr>
                            <w:rFonts w:ascii="Times New Roman"/>
                            <w:sz w:val="10"/>
                          </w:rPr>
                        </w:pPr>
                      </w:p>
                    </w:tc>
                    <w:tc>
                      <w:tcPr>
                        <w:tcW w:w="363" w:type="dxa"/>
                      </w:tcPr>
                      <w:p>
                        <w:pPr>
                          <w:pStyle w:val="TableParagraph"/>
                          <w:spacing w:line="134" w:lineRule="exact" w:before="11"/>
                          <w:ind w:right="50"/>
                          <w:jc w:val="center"/>
                          <w:rPr>
                            <w:sz w:val="12"/>
                          </w:rPr>
                        </w:pPr>
                        <w:r>
                          <w:rPr>
                            <w:w w:val="109"/>
                            <w:sz w:val="12"/>
                          </w:rPr>
                          <w:t>S</w:t>
                        </w:r>
                      </w:p>
                    </w:tc>
                    <w:tc>
                      <w:tcPr>
                        <w:tcW w:w="586" w:type="dxa"/>
                      </w:tcPr>
                      <w:p>
                        <w:pPr>
                          <w:pStyle w:val="TableParagraph"/>
                          <w:rPr>
                            <w:rFonts w:ascii="Times New Roman"/>
                            <w:sz w:val="10"/>
                          </w:rPr>
                        </w:pPr>
                      </w:p>
                    </w:tc>
                    <w:tc>
                      <w:tcPr>
                        <w:tcW w:w="577" w:type="dxa"/>
                      </w:tcPr>
                      <w:p>
                        <w:pPr>
                          <w:pStyle w:val="TableParagraph"/>
                          <w:spacing w:line="134" w:lineRule="exact" w:before="11"/>
                          <w:ind w:left="227"/>
                          <w:rPr>
                            <w:sz w:val="12"/>
                          </w:rPr>
                        </w:pPr>
                        <w:r>
                          <w:rPr>
                            <w:w w:val="109"/>
                            <w:sz w:val="12"/>
                          </w:rPr>
                          <w:t>S</w:t>
                        </w:r>
                      </w:p>
                    </w:tc>
                    <w:tc>
                      <w:tcPr>
                        <w:tcW w:w="950" w:type="dxa"/>
                      </w:tcPr>
                      <w:p>
                        <w:pPr>
                          <w:pStyle w:val="TableParagraph"/>
                          <w:rPr>
                            <w:rFonts w:ascii="Times New Roman"/>
                            <w:sz w:val="10"/>
                          </w:rPr>
                        </w:pPr>
                      </w:p>
                    </w:tc>
                    <w:tc>
                      <w:tcPr>
                        <w:tcW w:w="1011" w:type="dxa"/>
                      </w:tcPr>
                      <w:p>
                        <w:pPr>
                          <w:pStyle w:val="TableParagraph"/>
                          <w:rPr>
                            <w:rFonts w:ascii="Times New Roman"/>
                            <w:sz w:val="10"/>
                          </w:rPr>
                        </w:pPr>
                      </w:p>
                    </w:tc>
                    <w:tc>
                      <w:tcPr>
                        <w:tcW w:w="1386" w:type="dxa"/>
                      </w:tcPr>
                      <w:p>
                        <w:pPr>
                          <w:pStyle w:val="TableParagraph"/>
                          <w:spacing w:line="135" w:lineRule="exact" w:before="10"/>
                          <w:ind w:left="316"/>
                          <w:rPr>
                            <w:rFonts w:ascii="Lucida Sans"/>
                            <w:sz w:val="12"/>
                          </w:rPr>
                        </w:pPr>
                        <w:r>
                          <w:rPr>
                            <w:rFonts w:ascii="Lucida Sans"/>
                            <w:w w:val="174"/>
                            <w:sz w:val="12"/>
                          </w:rPr>
                          <w:t>C</w:t>
                        </w:r>
                      </w:p>
                    </w:tc>
                    <w:tc>
                      <w:tcPr>
                        <w:tcW w:w="1380" w:type="dxa"/>
                      </w:tcPr>
                      <w:p>
                        <w:pPr>
                          <w:pStyle w:val="TableParagraph"/>
                          <w:spacing w:line="135" w:lineRule="exact" w:before="10"/>
                          <w:ind w:right="307"/>
                          <w:jc w:val="right"/>
                          <w:rPr>
                            <w:rFonts w:ascii="Lucida Sans"/>
                            <w:sz w:val="12"/>
                          </w:rPr>
                        </w:pPr>
                        <w:r>
                          <w:rPr>
                            <w:rFonts w:ascii="Lucida Sans"/>
                            <w:w w:val="174"/>
                            <w:sz w:val="12"/>
                          </w:rPr>
                          <w:t>C</w:t>
                        </w:r>
                      </w:p>
                    </w:tc>
                    <w:tc>
                      <w:tcPr>
                        <w:tcW w:w="676" w:type="dxa"/>
                      </w:tcPr>
                      <w:p>
                        <w:pPr>
                          <w:pStyle w:val="TableParagraph"/>
                          <w:rPr>
                            <w:rFonts w:ascii="Times New Roman"/>
                            <w:sz w:val="10"/>
                          </w:rPr>
                        </w:pPr>
                      </w:p>
                    </w:tc>
                    <w:tc>
                      <w:tcPr>
                        <w:tcW w:w="727" w:type="dxa"/>
                      </w:tcPr>
                      <w:p>
                        <w:pPr>
                          <w:pStyle w:val="TableParagraph"/>
                          <w:spacing w:line="134" w:lineRule="exact" w:before="11"/>
                          <w:ind w:right="157"/>
                          <w:jc w:val="right"/>
                          <w:rPr>
                            <w:sz w:val="12"/>
                          </w:rPr>
                        </w:pPr>
                        <w:r>
                          <w:rPr>
                            <w:w w:val="105"/>
                            <w:sz w:val="12"/>
                          </w:rPr>
                          <w:t>0.0%</w:t>
                        </w:r>
                      </w:p>
                    </w:tc>
                    <w:tc>
                      <w:tcPr>
                        <w:tcW w:w="810" w:type="dxa"/>
                      </w:tcPr>
                      <w:p>
                        <w:pPr>
                          <w:pStyle w:val="TableParagraph"/>
                          <w:spacing w:line="134" w:lineRule="exact" w:before="11"/>
                          <w:ind w:left="239"/>
                          <w:rPr>
                            <w:sz w:val="12"/>
                          </w:rPr>
                        </w:pPr>
                        <w:r>
                          <w:rPr>
                            <w:w w:val="105"/>
                            <w:sz w:val="12"/>
                          </w:rPr>
                          <w:t>0.0%</w:t>
                        </w:r>
                      </w:p>
                    </w:tc>
                    <w:tc>
                      <w:tcPr>
                        <w:tcW w:w="890" w:type="dxa"/>
                      </w:tcPr>
                      <w:p>
                        <w:pPr>
                          <w:pStyle w:val="TableParagraph"/>
                          <w:spacing w:line="134" w:lineRule="exact" w:before="11"/>
                          <w:ind w:left="229"/>
                          <w:rPr>
                            <w:sz w:val="12"/>
                          </w:rPr>
                        </w:pPr>
                        <w:r>
                          <w:rPr>
                            <w:sz w:val="12"/>
                          </w:rPr>
                          <w:t>NR</w:t>
                        </w:r>
                      </w:p>
                    </w:tc>
                    <w:tc>
                      <w:tcPr>
                        <w:tcW w:w="693" w:type="dxa"/>
                      </w:tcPr>
                      <w:p>
                        <w:pPr>
                          <w:pStyle w:val="TableParagraph"/>
                          <w:spacing w:line="134" w:lineRule="exact" w:before="11"/>
                          <w:ind w:left="318"/>
                          <w:rPr>
                            <w:sz w:val="12"/>
                          </w:rPr>
                        </w:pPr>
                        <w:r>
                          <w:rPr>
                            <w:w w:val="105"/>
                            <w:sz w:val="12"/>
                          </w:rPr>
                          <w:t>1.8%</w:t>
                        </w:r>
                      </w:p>
                    </w:tc>
                  </w:tr>
                  <w:tr>
                    <w:trPr>
                      <w:trHeight w:val="161" w:hRule="atLeast"/>
                    </w:trPr>
                    <w:tc>
                      <w:tcPr>
                        <w:tcW w:w="1913" w:type="dxa"/>
                      </w:tcPr>
                      <w:p>
                        <w:pPr>
                          <w:pStyle w:val="TableParagraph"/>
                          <w:rPr>
                            <w:rFonts w:ascii="Times New Roman"/>
                            <w:sz w:val="10"/>
                          </w:rPr>
                        </w:pPr>
                      </w:p>
                    </w:tc>
                    <w:tc>
                      <w:tcPr>
                        <w:tcW w:w="714" w:type="dxa"/>
                      </w:tcPr>
                      <w:p>
                        <w:pPr>
                          <w:pStyle w:val="TableParagraph"/>
                          <w:spacing w:line="125" w:lineRule="exact" w:before="17"/>
                          <w:ind w:right="209"/>
                          <w:jc w:val="right"/>
                          <w:rPr>
                            <w:sz w:val="12"/>
                          </w:rPr>
                        </w:pPr>
                        <w:r>
                          <w:rPr>
                            <w:w w:val="125"/>
                            <w:sz w:val="12"/>
                          </w:rPr>
                          <w:t>54</w:t>
                        </w:r>
                      </w:p>
                    </w:tc>
                    <w:tc>
                      <w:tcPr>
                        <w:tcW w:w="543" w:type="dxa"/>
                      </w:tcPr>
                      <w:p>
                        <w:pPr>
                          <w:pStyle w:val="TableParagraph"/>
                          <w:spacing w:line="126" w:lineRule="exact" w:before="16"/>
                          <w:ind w:left="25"/>
                          <w:jc w:val="center"/>
                          <w:rPr>
                            <w:rFonts w:ascii="Lucida Sans"/>
                            <w:sz w:val="12"/>
                          </w:rPr>
                        </w:pPr>
                        <w:r>
                          <w:rPr>
                            <w:rFonts w:ascii="Lucida Sans"/>
                            <w:w w:val="174"/>
                            <w:sz w:val="12"/>
                          </w:rPr>
                          <w:t>C</w:t>
                        </w:r>
                      </w:p>
                    </w:tc>
                    <w:tc>
                      <w:tcPr>
                        <w:tcW w:w="363" w:type="dxa"/>
                      </w:tcPr>
                      <w:p>
                        <w:pPr>
                          <w:pStyle w:val="TableParagraph"/>
                          <w:rPr>
                            <w:rFonts w:ascii="Times New Roman"/>
                            <w:sz w:val="10"/>
                          </w:rPr>
                        </w:pPr>
                      </w:p>
                    </w:tc>
                    <w:tc>
                      <w:tcPr>
                        <w:tcW w:w="586" w:type="dxa"/>
                      </w:tcPr>
                      <w:p>
                        <w:pPr>
                          <w:pStyle w:val="TableParagraph"/>
                          <w:spacing w:line="126" w:lineRule="exact" w:before="16"/>
                          <w:ind w:right="144"/>
                          <w:jc w:val="center"/>
                          <w:rPr>
                            <w:rFonts w:ascii="Lucida Sans"/>
                            <w:sz w:val="12"/>
                          </w:rPr>
                        </w:pPr>
                        <w:r>
                          <w:rPr>
                            <w:rFonts w:ascii="Lucida Sans"/>
                            <w:w w:val="174"/>
                            <w:sz w:val="12"/>
                          </w:rPr>
                          <w:t>C</w:t>
                        </w:r>
                      </w:p>
                    </w:tc>
                    <w:tc>
                      <w:tcPr>
                        <w:tcW w:w="577" w:type="dxa"/>
                      </w:tcPr>
                      <w:p>
                        <w:pPr>
                          <w:pStyle w:val="TableParagraph"/>
                          <w:rPr>
                            <w:rFonts w:ascii="Times New Roman"/>
                            <w:sz w:val="10"/>
                          </w:rPr>
                        </w:pPr>
                      </w:p>
                    </w:tc>
                    <w:tc>
                      <w:tcPr>
                        <w:tcW w:w="950" w:type="dxa"/>
                      </w:tcPr>
                      <w:p>
                        <w:pPr>
                          <w:pStyle w:val="TableParagraph"/>
                          <w:rPr>
                            <w:rFonts w:ascii="Times New Roman"/>
                            <w:sz w:val="10"/>
                          </w:rPr>
                        </w:pPr>
                      </w:p>
                    </w:tc>
                    <w:tc>
                      <w:tcPr>
                        <w:tcW w:w="1011" w:type="dxa"/>
                      </w:tcPr>
                      <w:p>
                        <w:pPr>
                          <w:pStyle w:val="TableParagraph"/>
                          <w:rPr>
                            <w:rFonts w:ascii="Times New Roman"/>
                            <w:sz w:val="10"/>
                          </w:rPr>
                        </w:pPr>
                      </w:p>
                    </w:tc>
                    <w:tc>
                      <w:tcPr>
                        <w:tcW w:w="1386" w:type="dxa"/>
                      </w:tcPr>
                      <w:p>
                        <w:pPr>
                          <w:pStyle w:val="TableParagraph"/>
                          <w:spacing w:line="126" w:lineRule="exact" w:before="16"/>
                          <w:ind w:left="316"/>
                          <w:rPr>
                            <w:rFonts w:ascii="Lucida Sans"/>
                            <w:sz w:val="12"/>
                          </w:rPr>
                        </w:pPr>
                        <w:r>
                          <w:rPr>
                            <w:rFonts w:ascii="Lucida Sans"/>
                            <w:w w:val="174"/>
                            <w:sz w:val="12"/>
                          </w:rPr>
                          <w:t>C</w:t>
                        </w:r>
                      </w:p>
                    </w:tc>
                    <w:tc>
                      <w:tcPr>
                        <w:tcW w:w="1380" w:type="dxa"/>
                      </w:tcPr>
                      <w:p>
                        <w:pPr>
                          <w:pStyle w:val="TableParagraph"/>
                          <w:spacing w:line="126" w:lineRule="exact" w:before="16"/>
                          <w:ind w:right="307"/>
                          <w:jc w:val="right"/>
                          <w:rPr>
                            <w:rFonts w:ascii="Lucida Sans"/>
                            <w:sz w:val="12"/>
                          </w:rPr>
                        </w:pPr>
                        <w:r>
                          <w:rPr>
                            <w:rFonts w:ascii="Lucida Sans"/>
                            <w:w w:val="174"/>
                            <w:sz w:val="12"/>
                          </w:rPr>
                          <w:t>C</w:t>
                        </w:r>
                      </w:p>
                    </w:tc>
                    <w:tc>
                      <w:tcPr>
                        <w:tcW w:w="676" w:type="dxa"/>
                      </w:tcPr>
                      <w:p>
                        <w:pPr>
                          <w:pStyle w:val="TableParagraph"/>
                          <w:rPr>
                            <w:rFonts w:ascii="Times New Roman"/>
                            <w:sz w:val="10"/>
                          </w:rPr>
                        </w:pPr>
                      </w:p>
                    </w:tc>
                    <w:tc>
                      <w:tcPr>
                        <w:tcW w:w="727" w:type="dxa"/>
                      </w:tcPr>
                      <w:p>
                        <w:pPr>
                          <w:pStyle w:val="TableParagraph"/>
                          <w:spacing w:line="125" w:lineRule="exact" w:before="17"/>
                          <w:ind w:right="157"/>
                          <w:jc w:val="right"/>
                          <w:rPr>
                            <w:sz w:val="12"/>
                          </w:rPr>
                        </w:pPr>
                        <w:r>
                          <w:rPr>
                            <w:w w:val="105"/>
                            <w:sz w:val="12"/>
                          </w:rPr>
                          <w:t>0.0%</w:t>
                        </w:r>
                      </w:p>
                    </w:tc>
                    <w:tc>
                      <w:tcPr>
                        <w:tcW w:w="810" w:type="dxa"/>
                      </w:tcPr>
                      <w:p>
                        <w:pPr>
                          <w:pStyle w:val="TableParagraph"/>
                          <w:spacing w:line="125" w:lineRule="exact" w:before="17"/>
                          <w:ind w:left="239"/>
                          <w:rPr>
                            <w:sz w:val="12"/>
                          </w:rPr>
                        </w:pPr>
                        <w:r>
                          <w:rPr>
                            <w:w w:val="105"/>
                            <w:sz w:val="12"/>
                          </w:rPr>
                          <w:t>1.9%</w:t>
                        </w:r>
                      </w:p>
                    </w:tc>
                    <w:tc>
                      <w:tcPr>
                        <w:tcW w:w="890" w:type="dxa"/>
                      </w:tcPr>
                      <w:p>
                        <w:pPr>
                          <w:pStyle w:val="TableParagraph"/>
                          <w:spacing w:line="125" w:lineRule="exact" w:before="17"/>
                          <w:ind w:left="229"/>
                          <w:rPr>
                            <w:sz w:val="12"/>
                          </w:rPr>
                        </w:pPr>
                        <w:r>
                          <w:rPr>
                            <w:sz w:val="12"/>
                          </w:rPr>
                          <w:t>NR</w:t>
                        </w:r>
                      </w:p>
                    </w:tc>
                    <w:tc>
                      <w:tcPr>
                        <w:tcW w:w="693" w:type="dxa"/>
                      </w:tcPr>
                      <w:p>
                        <w:pPr>
                          <w:pStyle w:val="TableParagraph"/>
                          <w:spacing w:line="125" w:lineRule="exact" w:before="17"/>
                          <w:ind w:left="318"/>
                          <w:rPr>
                            <w:sz w:val="12"/>
                          </w:rPr>
                        </w:pPr>
                        <w:r>
                          <w:rPr>
                            <w:w w:val="105"/>
                            <w:sz w:val="12"/>
                          </w:rPr>
                          <w:t>5.6%</w:t>
                        </w:r>
                      </w:p>
                    </w:tc>
                  </w:tr>
                  <w:tr>
                    <w:trPr>
                      <w:trHeight w:val="187" w:hRule="atLeast"/>
                    </w:trPr>
                    <w:tc>
                      <w:tcPr>
                        <w:tcW w:w="1913" w:type="dxa"/>
                      </w:tcPr>
                      <w:p>
                        <w:pPr>
                          <w:pStyle w:val="TableParagraph"/>
                          <w:spacing w:line="141" w:lineRule="exact" w:before="26"/>
                          <w:ind w:left="33"/>
                          <w:rPr>
                            <w:sz w:val="12"/>
                          </w:rPr>
                        </w:pPr>
                        <w:r>
                          <w:rPr>
                            <w:w w:val="115"/>
                            <w:sz w:val="12"/>
                          </w:rPr>
                          <w:t>Ko et al., 2017 [</w:t>
                        </w:r>
                        <w:hyperlink w:history="true" w:anchor="_bookmark57">
                          <w:r>
                            <w:rPr>
                              <w:color w:val="007FAC"/>
                              <w:w w:val="115"/>
                              <w:sz w:val="12"/>
                            </w:rPr>
                            <w:t>46</w:t>
                          </w:r>
                        </w:hyperlink>
                        <w:r>
                          <w:rPr>
                            <w:w w:val="115"/>
                            <w:sz w:val="12"/>
                          </w:rPr>
                          <w:t>]</w:t>
                        </w:r>
                        <w:r>
                          <w:rPr>
                            <w:w w:val="115"/>
                            <w:sz w:val="12"/>
                            <w:vertAlign w:val="superscript"/>
                          </w:rPr>
                          <w:t>,</w:t>
                        </w:r>
                        <w:hyperlink w:history="true" w:anchor="_bookmark89">
                          <w:r>
                            <w:rPr>
                              <w:color w:val="007FAC"/>
                              <w:w w:val="115"/>
                              <w:sz w:val="12"/>
                              <w:vertAlign w:val="superscript"/>
                            </w:rPr>
                            <w:t>j</w:t>
                          </w:r>
                        </w:hyperlink>
                      </w:p>
                    </w:tc>
                    <w:tc>
                      <w:tcPr>
                        <w:tcW w:w="714" w:type="dxa"/>
                      </w:tcPr>
                      <w:p>
                        <w:pPr>
                          <w:pStyle w:val="TableParagraph"/>
                          <w:spacing w:line="141" w:lineRule="exact" w:before="26"/>
                          <w:ind w:right="209"/>
                          <w:jc w:val="right"/>
                          <w:rPr>
                            <w:sz w:val="12"/>
                          </w:rPr>
                        </w:pPr>
                        <w:r>
                          <w:rPr>
                            <w:w w:val="125"/>
                            <w:sz w:val="12"/>
                          </w:rPr>
                          <w:t>45</w:t>
                        </w:r>
                      </w:p>
                    </w:tc>
                    <w:tc>
                      <w:tcPr>
                        <w:tcW w:w="543" w:type="dxa"/>
                      </w:tcPr>
                      <w:p>
                        <w:pPr>
                          <w:pStyle w:val="TableParagraph"/>
                          <w:spacing w:line="157" w:lineRule="exact" w:before="10"/>
                          <w:ind w:right="42"/>
                          <w:jc w:val="center"/>
                          <w:rPr>
                            <w:rFonts w:ascii="Arial"/>
                            <w:sz w:val="14"/>
                          </w:rPr>
                        </w:pPr>
                        <w:r>
                          <w:rPr>
                            <w:rFonts w:ascii="Arial"/>
                            <w:w w:val="97"/>
                            <w:sz w:val="14"/>
                          </w:rPr>
                          <w:t>a</w:t>
                        </w:r>
                      </w:p>
                    </w:tc>
                    <w:tc>
                      <w:tcPr>
                        <w:tcW w:w="363" w:type="dxa"/>
                      </w:tcPr>
                      <w:p>
                        <w:pPr>
                          <w:pStyle w:val="TableParagraph"/>
                          <w:rPr>
                            <w:rFonts w:ascii="Times New Roman"/>
                            <w:sz w:val="12"/>
                          </w:rPr>
                        </w:pPr>
                      </w:p>
                    </w:tc>
                    <w:tc>
                      <w:tcPr>
                        <w:tcW w:w="586" w:type="dxa"/>
                      </w:tcPr>
                      <w:p>
                        <w:pPr>
                          <w:pStyle w:val="TableParagraph"/>
                          <w:spacing w:before="25"/>
                          <w:ind w:right="143"/>
                          <w:jc w:val="center"/>
                          <w:rPr>
                            <w:rFonts w:ascii="Lucida Sans"/>
                            <w:sz w:val="12"/>
                          </w:rPr>
                        </w:pPr>
                        <w:r>
                          <w:rPr>
                            <w:rFonts w:ascii="Lucida Sans"/>
                            <w:w w:val="174"/>
                            <w:sz w:val="12"/>
                          </w:rPr>
                          <w:t>C</w:t>
                        </w:r>
                      </w:p>
                    </w:tc>
                    <w:tc>
                      <w:tcPr>
                        <w:tcW w:w="577" w:type="dxa"/>
                      </w:tcPr>
                      <w:p>
                        <w:pPr>
                          <w:pStyle w:val="TableParagraph"/>
                          <w:rPr>
                            <w:rFonts w:ascii="Times New Roman"/>
                            <w:sz w:val="12"/>
                          </w:rPr>
                        </w:pPr>
                      </w:p>
                    </w:tc>
                    <w:tc>
                      <w:tcPr>
                        <w:tcW w:w="950" w:type="dxa"/>
                      </w:tcPr>
                      <w:p>
                        <w:pPr>
                          <w:pStyle w:val="TableParagraph"/>
                          <w:rPr>
                            <w:rFonts w:ascii="Times New Roman"/>
                            <w:sz w:val="12"/>
                          </w:rPr>
                        </w:pPr>
                      </w:p>
                    </w:tc>
                    <w:tc>
                      <w:tcPr>
                        <w:tcW w:w="1011" w:type="dxa"/>
                      </w:tcPr>
                      <w:p>
                        <w:pPr>
                          <w:pStyle w:val="TableParagraph"/>
                          <w:rPr>
                            <w:rFonts w:ascii="Times New Roman"/>
                            <w:sz w:val="12"/>
                          </w:rPr>
                        </w:pPr>
                      </w:p>
                    </w:tc>
                    <w:tc>
                      <w:tcPr>
                        <w:tcW w:w="1386" w:type="dxa"/>
                      </w:tcPr>
                      <w:p>
                        <w:pPr>
                          <w:pStyle w:val="TableParagraph"/>
                          <w:spacing w:before="25"/>
                          <w:ind w:left="316"/>
                          <w:rPr>
                            <w:rFonts w:ascii="Lucida Sans"/>
                            <w:sz w:val="12"/>
                          </w:rPr>
                        </w:pPr>
                        <w:r>
                          <w:rPr>
                            <w:rFonts w:ascii="Lucida Sans"/>
                            <w:w w:val="174"/>
                            <w:sz w:val="12"/>
                          </w:rPr>
                          <w:t>C</w:t>
                        </w:r>
                      </w:p>
                    </w:tc>
                    <w:tc>
                      <w:tcPr>
                        <w:tcW w:w="1380" w:type="dxa"/>
                      </w:tcPr>
                      <w:p>
                        <w:pPr>
                          <w:pStyle w:val="TableParagraph"/>
                          <w:spacing w:before="25"/>
                          <w:ind w:right="307"/>
                          <w:jc w:val="right"/>
                          <w:rPr>
                            <w:rFonts w:ascii="Lucida Sans"/>
                            <w:sz w:val="12"/>
                          </w:rPr>
                        </w:pPr>
                        <w:r>
                          <w:rPr>
                            <w:rFonts w:ascii="Lucida Sans"/>
                            <w:w w:val="174"/>
                            <w:sz w:val="12"/>
                          </w:rPr>
                          <w:t>C</w:t>
                        </w:r>
                      </w:p>
                    </w:tc>
                    <w:tc>
                      <w:tcPr>
                        <w:tcW w:w="676" w:type="dxa"/>
                      </w:tcPr>
                      <w:p>
                        <w:pPr>
                          <w:pStyle w:val="TableParagraph"/>
                          <w:rPr>
                            <w:rFonts w:ascii="Times New Roman"/>
                            <w:sz w:val="12"/>
                          </w:rPr>
                        </w:pPr>
                      </w:p>
                    </w:tc>
                    <w:tc>
                      <w:tcPr>
                        <w:tcW w:w="727" w:type="dxa"/>
                      </w:tcPr>
                      <w:p>
                        <w:pPr>
                          <w:pStyle w:val="TableParagraph"/>
                          <w:spacing w:line="141" w:lineRule="exact" w:before="26"/>
                          <w:ind w:left="221"/>
                          <w:rPr>
                            <w:sz w:val="12"/>
                          </w:rPr>
                        </w:pPr>
                        <w:r>
                          <w:rPr>
                            <w:sz w:val="12"/>
                          </w:rPr>
                          <w:t>NR</w:t>
                        </w:r>
                      </w:p>
                    </w:tc>
                    <w:tc>
                      <w:tcPr>
                        <w:tcW w:w="810" w:type="dxa"/>
                      </w:tcPr>
                      <w:p>
                        <w:pPr>
                          <w:pStyle w:val="TableParagraph"/>
                          <w:spacing w:line="141" w:lineRule="exact" w:before="26"/>
                          <w:ind w:left="239"/>
                          <w:rPr>
                            <w:sz w:val="12"/>
                          </w:rPr>
                        </w:pPr>
                        <w:r>
                          <w:rPr>
                            <w:w w:val="105"/>
                            <w:sz w:val="12"/>
                          </w:rPr>
                          <w:t>6.7%</w:t>
                        </w:r>
                      </w:p>
                    </w:tc>
                    <w:tc>
                      <w:tcPr>
                        <w:tcW w:w="890" w:type="dxa"/>
                      </w:tcPr>
                      <w:p>
                        <w:pPr>
                          <w:pStyle w:val="TableParagraph"/>
                          <w:spacing w:line="141" w:lineRule="exact" w:before="26"/>
                          <w:ind w:left="229"/>
                          <w:rPr>
                            <w:sz w:val="12"/>
                          </w:rPr>
                        </w:pPr>
                        <w:r>
                          <w:rPr>
                            <w:sz w:val="12"/>
                          </w:rPr>
                          <w:t>NR</w:t>
                        </w:r>
                      </w:p>
                    </w:tc>
                    <w:tc>
                      <w:tcPr>
                        <w:tcW w:w="693" w:type="dxa"/>
                      </w:tcPr>
                      <w:p>
                        <w:pPr>
                          <w:pStyle w:val="TableParagraph"/>
                          <w:spacing w:line="141" w:lineRule="exact" w:before="26"/>
                          <w:ind w:left="318"/>
                          <w:rPr>
                            <w:sz w:val="12"/>
                          </w:rPr>
                        </w:pPr>
                        <w:r>
                          <w:rPr>
                            <w:w w:val="105"/>
                            <w:sz w:val="12"/>
                          </w:rPr>
                          <w:t>6.7%</w:t>
                        </w:r>
                      </w:p>
                    </w:tc>
                  </w:tr>
                  <w:tr>
                    <w:trPr>
                      <w:trHeight w:val="162" w:hRule="atLeast"/>
                    </w:trPr>
                    <w:tc>
                      <w:tcPr>
                        <w:tcW w:w="1913" w:type="dxa"/>
                      </w:tcPr>
                      <w:p>
                        <w:pPr>
                          <w:pStyle w:val="TableParagraph"/>
                          <w:rPr>
                            <w:rFonts w:ascii="Times New Roman"/>
                            <w:sz w:val="10"/>
                          </w:rPr>
                        </w:pPr>
                      </w:p>
                    </w:tc>
                    <w:tc>
                      <w:tcPr>
                        <w:tcW w:w="714" w:type="dxa"/>
                      </w:tcPr>
                      <w:p>
                        <w:pPr>
                          <w:pStyle w:val="TableParagraph"/>
                          <w:spacing w:line="130" w:lineRule="exact" w:before="11"/>
                          <w:ind w:right="209"/>
                          <w:jc w:val="right"/>
                          <w:rPr>
                            <w:sz w:val="12"/>
                          </w:rPr>
                        </w:pPr>
                        <w:r>
                          <w:rPr>
                            <w:w w:val="125"/>
                            <w:sz w:val="12"/>
                          </w:rPr>
                          <w:t>45</w:t>
                        </w:r>
                      </w:p>
                    </w:tc>
                    <w:tc>
                      <w:tcPr>
                        <w:tcW w:w="543" w:type="dxa"/>
                      </w:tcPr>
                      <w:p>
                        <w:pPr>
                          <w:pStyle w:val="TableParagraph"/>
                          <w:spacing w:line="142" w:lineRule="exact"/>
                          <w:ind w:right="42"/>
                          <w:jc w:val="center"/>
                          <w:rPr>
                            <w:rFonts w:ascii="Arial"/>
                            <w:sz w:val="14"/>
                          </w:rPr>
                        </w:pPr>
                        <w:r>
                          <w:rPr>
                            <w:rFonts w:ascii="Arial"/>
                            <w:w w:val="97"/>
                            <w:sz w:val="14"/>
                          </w:rPr>
                          <w:t>a</w:t>
                        </w:r>
                      </w:p>
                    </w:tc>
                    <w:tc>
                      <w:tcPr>
                        <w:tcW w:w="363" w:type="dxa"/>
                      </w:tcPr>
                      <w:p>
                        <w:pPr>
                          <w:pStyle w:val="TableParagraph"/>
                          <w:rPr>
                            <w:rFonts w:ascii="Times New Roman"/>
                            <w:sz w:val="10"/>
                          </w:rPr>
                        </w:pPr>
                      </w:p>
                    </w:tc>
                    <w:tc>
                      <w:tcPr>
                        <w:tcW w:w="586" w:type="dxa"/>
                      </w:tcPr>
                      <w:p>
                        <w:pPr>
                          <w:pStyle w:val="TableParagraph"/>
                          <w:spacing w:line="131" w:lineRule="exact" w:before="11"/>
                          <w:ind w:right="143"/>
                          <w:jc w:val="center"/>
                          <w:rPr>
                            <w:rFonts w:ascii="Lucida Sans"/>
                            <w:sz w:val="12"/>
                          </w:rPr>
                        </w:pPr>
                        <w:r>
                          <w:rPr>
                            <w:rFonts w:ascii="Lucida Sans"/>
                            <w:w w:val="174"/>
                            <w:sz w:val="12"/>
                          </w:rPr>
                          <w:t>C</w:t>
                        </w:r>
                      </w:p>
                    </w:tc>
                    <w:tc>
                      <w:tcPr>
                        <w:tcW w:w="577" w:type="dxa"/>
                      </w:tcPr>
                      <w:p>
                        <w:pPr>
                          <w:pStyle w:val="TableParagraph"/>
                          <w:rPr>
                            <w:rFonts w:ascii="Times New Roman"/>
                            <w:sz w:val="10"/>
                          </w:rPr>
                        </w:pPr>
                      </w:p>
                    </w:tc>
                    <w:tc>
                      <w:tcPr>
                        <w:tcW w:w="950" w:type="dxa"/>
                      </w:tcPr>
                      <w:p>
                        <w:pPr>
                          <w:pStyle w:val="TableParagraph"/>
                          <w:spacing w:line="142" w:lineRule="exact"/>
                          <w:ind w:left="254"/>
                          <w:rPr>
                            <w:rFonts w:ascii="Arial"/>
                            <w:sz w:val="14"/>
                          </w:rPr>
                        </w:pPr>
                        <w:r>
                          <w:rPr>
                            <w:rFonts w:ascii="Arial"/>
                            <w:w w:val="97"/>
                            <w:sz w:val="14"/>
                          </w:rPr>
                          <w:t>a</w:t>
                        </w:r>
                      </w:p>
                    </w:tc>
                    <w:tc>
                      <w:tcPr>
                        <w:tcW w:w="1011" w:type="dxa"/>
                      </w:tcPr>
                      <w:p>
                        <w:pPr>
                          <w:pStyle w:val="TableParagraph"/>
                          <w:rPr>
                            <w:rFonts w:ascii="Times New Roman"/>
                            <w:sz w:val="10"/>
                          </w:rPr>
                        </w:pPr>
                      </w:p>
                    </w:tc>
                    <w:tc>
                      <w:tcPr>
                        <w:tcW w:w="1386" w:type="dxa"/>
                      </w:tcPr>
                      <w:p>
                        <w:pPr>
                          <w:pStyle w:val="TableParagraph"/>
                          <w:rPr>
                            <w:rFonts w:ascii="Times New Roman"/>
                            <w:sz w:val="10"/>
                          </w:rPr>
                        </w:pPr>
                      </w:p>
                    </w:tc>
                    <w:tc>
                      <w:tcPr>
                        <w:tcW w:w="1380" w:type="dxa"/>
                      </w:tcPr>
                      <w:p>
                        <w:pPr>
                          <w:pStyle w:val="TableParagraph"/>
                          <w:spacing w:line="131" w:lineRule="exact" w:before="11"/>
                          <w:ind w:right="307"/>
                          <w:jc w:val="right"/>
                          <w:rPr>
                            <w:rFonts w:ascii="Lucida Sans"/>
                            <w:sz w:val="12"/>
                          </w:rPr>
                        </w:pPr>
                        <w:r>
                          <w:rPr>
                            <w:rFonts w:ascii="Lucida Sans"/>
                            <w:w w:val="174"/>
                            <w:sz w:val="12"/>
                          </w:rPr>
                          <w:t>C</w:t>
                        </w:r>
                      </w:p>
                    </w:tc>
                    <w:tc>
                      <w:tcPr>
                        <w:tcW w:w="676" w:type="dxa"/>
                      </w:tcPr>
                      <w:p>
                        <w:pPr>
                          <w:pStyle w:val="TableParagraph"/>
                          <w:spacing w:line="130" w:lineRule="exact" w:before="11"/>
                          <w:ind w:left="310"/>
                          <w:rPr>
                            <w:sz w:val="12"/>
                          </w:rPr>
                        </w:pPr>
                        <w:r>
                          <w:rPr>
                            <w:w w:val="93"/>
                            <w:sz w:val="12"/>
                          </w:rPr>
                          <w:t>Z</w:t>
                        </w:r>
                      </w:p>
                    </w:tc>
                    <w:tc>
                      <w:tcPr>
                        <w:tcW w:w="727" w:type="dxa"/>
                      </w:tcPr>
                      <w:p>
                        <w:pPr>
                          <w:pStyle w:val="TableParagraph"/>
                          <w:spacing w:line="130" w:lineRule="exact" w:before="11"/>
                          <w:ind w:left="221"/>
                          <w:rPr>
                            <w:sz w:val="12"/>
                          </w:rPr>
                        </w:pPr>
                        <w:r>
                          <w:rPr>
                            <w:sz w:val="12"/>
                          </w:rPr>
                          <w:t>NR</w:t>
                        </w:r>
                      </w:p>
                    </w:tc>
                    <w:tc>
                      <w:tcPr>
                        <w:tcW w:w="810" w:type="dxa"/>
                      </w:tcPr>
                      <w:p>
                        <w:pPr>
                          <w:pStyle w:val="TableParagraph"/>
                          <w:spacing w:line="130" w:lineRule="exact" w:before="11"/>
                          <w:ind w:left="239"/>
                          <w:rPr>
                            <w:sz w:val="12"/>
                          </w:rPr>
                        </w:pPr>
                        <w:r>
                          <w:rPr>
                            <w:w w:val="105"/>
                            <w:sz w:val="12"/>
                          </w:rPr>
                          <w:t>2.2%</w:t>
                        </w:r>
                      </w:p>
                    </w:tc>
                    <w:tc>
                      <w:tcPr>
                        <w:tcW w:w="890" w:type="dxa"/>
                      </w:tcPr>
                      <w:p>
                        <w:pPr>
                          <w:pStyle w:val="TableParagraph"/>
                          <w:spacing w:line="130" w:lineRule="exact" w:before="11"/>
                          <w:ind w:left="229"/>
                          <w:rPr>
                            <w:sz w:val="12"/>
                          </w:rPr>
                        </w:pPr>
                        <w:r>
                          <w:rPr>
                            <w:sz w:val="12"/>
                          </w:rPr>
                          <w:t>NR</w:t>
                        </w:r>
                      </w:p>
                    </w:tc>
                    <w:tc>
                      <w:tcPr>
                        <w:tcW w:w="693" w:type="dxa"/>
                      </w:tcPr>
                      <w:p>
                        <w:pPr>
                          <w:pStyle w:val="TableParagraph"/>
                          <w:spacing w:line="130" w:lineRule="exact" w:before="11"/>
                          <w:ind w:left="318"/>
                          <w:rPr>
                            <w:sz w:val="12"/>
                          </w:rPr>
                        </w:pPr>
                        <w:r>
                          <w:rPr>
                            <w:w w:val="105"/>
                            <w:sz w:val="12"/>
                          </w:rPr>
                          <w:t>4.4%</w:t>
                        </w:r>
                      </w:p>
                    </w:tc>
                  </w:tr>
                  <w:tr>
                    <w:trPr>
                      <w:trHeight w:val="180" w:hRule="atLeast"/>
                    </w:trPr>
                    <w:tc>
                      <w:tcPr>
                        <w:tcW w:w="1913" w:type="dxa"/>
                      </w:tcPr>
                      <w:p>
                        <w:pPr>
                          <w:pStyle w:val="TableParagraph"/>
                          <w:spacing w:line="140" w:lineRule="exact" w:before="20"/>
                          <w:ind w:left="33"/>
                          <w:rPr>
                            <w:sz w:val="12"/>
                          </w:rPr>
                        </w:pPr>
                        <w:r>
                          <w:rPr>
                            <w:w w:val="115"/>
                            <w:sz w:val="12"/>
                          </w:rPr>
                          <w:t>Takayama et al., 2017 [</w:t>
                        </w:r>
                        <w:hyperlink w:history="true" w:anchor="_bookmark60">
                          <w:r>
                            <w:rPr>
                              <w:color w:val="007FAC"/>
                              <w:w w:val="115"/>
                              <w:sz w:val="12"/>
                            </w:rPr>
                            <w:t>49</w:t>
                          </w:r>
                        </w:hyperlink>
                        <w:r>
                          <w:rPr>
                            <w:w w:val="115"/>
                            <w:sz w:val="12"/>
                          </w:rPr>
                          <w:t>]</w:t>
                        </w:r>
                        <w:r>
                          <w:rPr>
                            <w:w w:val="115"/>
                            <w:sz w:val="12"/>
                            <w:vertAlign w:val="superscript"/>
                          </w:rPr>
                          <w:t>,</w:t>
                        </w:r>
                        <w:hyperlink w:history="true" w:anchor="_bookmark88">
                          <w:r>
                            <w:rPr>
                              <w:color w:val="007FAC"/>
                              <w:w w:val="115"/>
                              <w:sz w:val="12"/>
                              <w:vertAlign w:val="superscript"/>
                            </w:rPr>
                            <w:t>k</w:t>
                          </w:r>
                        </w:hyperlink>
                      </w:p>
                    </w:tc>
                    <w:tc>
                      <w:tcPr>
                        <w:tcW w:w="714" w:type="dxa"/>
                      </w:tcPr>
                      <w:p>
                        <w:pPr>
                          <w:pStyle w:val="TableParagraph"/>
                          <w:spacing w:line="140" w:lineRule="exact" w:before="20"/>
                          <w:ind w:right="209"/>
                          <w:jc w:val="right"/>
                          <w:rPr>
                            <w:sz w:val="12"/>
                          </w:rPr>
                        </w:pPr>
                        <w:r>
                          <w:rPr>
                            <w:w w:val="125"/>
                            <w:sz w:val="12"/>
                          </w:rPr>
                          <w:t>37</w:t>
                        </w:r>
                      </w:p>
                    </w:tc>
                    <w:tc>
                      <w:tcPr>
                        <w:tcW w:w="543" w:type="dxa"/>
                      </w:tcPr>
                      <w:p>
                        <w:pPr>
                          <w:pStyle w:val="TableParagraph"/>
                          <w:spacing w:line="156" w:lineRule="exact" w:before="4"/>
                          <w:ind w:right="42"/>
                          <w:jc w:val="center"/>
                          <w:rPr>
                            <w:rFonts w:ascii="Arial"/>
                            <w:sz w:val="14"/>
                          </w:rPr>
                        </w:pPr>
                        <w:r>
                          <w:rPr>
                            <w:rFonts w:ascii="Arial"/>
                            <w:w w:val="97"/>
                            <w:sz w:val="14"/>
                          </w:rPr>
                          <w:t>a</w:t>
                        </w:r>
                      </w:p>
                    </w:tc>
                    <w:tc>
                      <w:tcPr>
                        <w:tcW w:w="363" w:type="dxa"/>
                      </w:tcPr>
                      <w:p>
                        <w:pPr>
                          <w:pStyle w:val="TableParagraph"/>
                          <w:rPr>
                            <w:rFonts w:ascii="Times New Roman"/>
                            <w:sz w:val="12"/>
                          </w:rPr>
                        </w:pPr>
                      </w:p>
                    </w:tc>
                    <w:tc>
                      <w:tcPr>
                        <w:tcW w:w="586" w:type="dxa"/>
                      </w:tcPr>
                      <w:p>
                        <w:pPr>
                          <w:pStyle w:val="TableParagraph"/>
                          <w:spacing w:line="141" w:lineRule="exact" w:before="20"/>
                          <w:ind w:right="143"/>
                          <w:jc w:val="center"/>
                          <w:rPr>
                            <w:rFonts w:ascii="Lucida Sans"/>
                            <w:sz w:val="12"/>
                          </w:rPr>
                        </w:pPr>
                        <w:r>
                          <w:rPr>
                            <w:rFonts w:ascii="Lucida Sans"/>
                            <w:w w:val="174"/>
                            <w:sz w:val="12"/>
                          </w:rPr>
                          <w:t>C</w:t>
                        </w:r>
                      </w:p>
                    </w:tc>
                    <w:tc>
                      <w:tcPr>
                        <w:tcW w:w="577" w:type="dxa"/>
                      </w:tcPr>
                      <w:p>
                        <w:pPr>
                          <w:pStyle w:val="TableParagraph"/>
                          <w:rPr>
                            <w:rFonts w:ascii="Times New Roman"/>
                            <w:sz w:val="12"/>
                          </w:rPr>
                        </w:pPr>
                      </w:p>
                    </w:tc>
                    <w:tc>
                      <w:tcPr>
                        <w:tcW w:w="950" w:type="dxa"/>
                      </w:tcPr>
                      <w:p>
                        <w:pPr>
                          <w:pStyle w:val="TableParagraph"/>
                          <w:rPr>
                            <w:rFonts w:ascii="Times New Roman"/>
                            <w:sz w:val="12"/>
                          </w:rPr>
                        </w:pPr>
                      </w:p>
                    </w:tc>
                    <w:tc>
                      <w:tcPr>
                        <w:tcW w:w="1011" w:type="dxa"/>
                      </w:tcPr>
                      <w:p>
                        <w:pPr>
                          <w:pStyle w:val="TableParagraph"/>
                          <w:rPr>
                            <w:rFonts w:ascii="Times New Roman"/>
                            <w:sz w:val="12"/>
                          </w:rPr>
                        </w:pPr>
                      </w:p>
                    </w:tc>
                    <w:tc>
                      <w:tcPr>
                        <w:tcW w:w="1386" w:type="dxa"/>
                      </w:tcPr>
                      <w:p>
                        <w:pPr>
                          <w:pStyle w:val="TableParagraph"/>
                          <w:spacing w:line="141" w:lineRule="exact" w:before="20"/>
                          <w:ind w:left="316"/>
                          <w:rPr>
                            <w:rFonts w:ascii="Lucida Sans"/>
                            <w:sz w:val="12"/>
                          </w:rPr>
                        </w:pPr>
                        <w:r>
                          <w:rPr>
                            <w:rFonts w:ascii="Lucida Sans"/>
                            <w:w w:val="174"/>
                            <w:sz w:val="12"/>
                          </w:rPr>
                          <w:t>C</w:t>
                        </w:r>
                      </w:p>
                    </w:tc>
                    <w:tc>
                      <w:tcPr>
                        <w:tcW w:w="1380" w:type="dxa"/>
                      </w:tcPr>
                      <w:p>
                        <w:pPr>
                          <w:pStyle w:val="TableParagraph"/>
                          <w:spacing w:line="141" w:lineRule="exact" w:before="20"/>
                          <w:ind w:right="307"/>
                          <w:jc w:val="right"/>
                          <w:rPr>
                            <w:rFonts w:ascii="Lucida Sans"/>
                            <w:sz w:val="12"/>
                          </w:rPr>
                        </w:pPr>
                        <w:r>
                          <w:rPr>
                            <w:rFonts w:ascii="Lucida Sans"/>
                            <w:w w:val="174"/>
                            <w:sz w:val="12"/>
                          </w:rPr>
                          <w:t>C</w:t>
                        </w:r>
                      </w:p>
                    </w:tc>
                    <w:tc>
                      <w:tcPr>
                        <w:tcW w:w="676" w:type="dxa"/>
                      </w:tcPr>
                      <w:p>
                        <w:pPr>
                          <w:pStyle w:val="TableParagraph"/>
                          <w:rPr>
                            <w:rFonts w:ascii="Times New Roman"/>
                            <w:sz w:val="12"/>
                          </w:rPr>
                        </w:pPr>
                      </w:p>
                    </w:tc>
                    <w:tc>
                      <w:tcPr>
                        <w:tcW w:w="727" w:type="dxa"/>
                      </w:tcPr>
                      <w:p>
                        <w:pPr>
                          <w:pStyle w:val="TableParagraph"/>
                          <w:spacing w:line="140" w:lineRule="exact" w:before="20"/>
                          <w:ind w:right="157"/>
                          <w:jc w:val="right"/>
                          <w:rPr>
                            <w:sz w:val="12"/>
                          </w:rPr>
                        </w:pPr>
                        <w:r>
                          <w:rPr>
                            <w:w w:val="105"/>
                            <w:sz w:val="12"/>
                          </w:rPr>
                          <w:t>0.0%</w:t>
                        </w:r>
                      </w:p>
                    </w:tc>
                    <w:tc>
                      <w:tcPr>
                        <w:tcW w:w="810" w:type="dxa"/>
                      </w:tcPr>
                      <w:p>
                        <w:pPr>
                          <w:pStyle w:val="TableParagraph"/>
                          <w:spacing w:line="140" w:lineRule="exact" w:before="20"/>
                          <w:ind w:left="239"/>
                          <w:rPr>
                            <w:sz w:val="12"/>
                          </w:rPr>
                        </w:pPr>
                        <w:r>
                          <w:rPr>
                            <w:w w:val="105"/>
                            <w:sz w:val="12"/>
                          </w:rPr>
                          <w:t>0.0%</w:t>
                        </w:r>
                      </w:p>
                    </w:tc>
                    <w:tc>
                      <w:tcPr>
                        <w:tcW w:w="890" w:type="dxa"/>
                      </w:tcPr>
                      <w:p>
                        <w:pPr>
                          <w:pStyle w:val="TableParagraph"/>
                          <w:spacing w:line="140" w:lineRule="exact" w:before="20"/>
                          <w:ind w:left="229"/>
                          <w:rPr>
                            <w:sz w:val="12"/>
                          </w:rPr>
                        </w:pPr>
                        <w:r>
                          <w:rPr>
                            <w:sz w:val="12"/>
                          </w:rPr>
                          <w:t>NR</w:t>
                        </w:r>
                      </w:p>
                    </w:tc>
                    <w:tc>
                      <w:tcPr>
                        <w:tcW w:w="693" w:type="dxa"/>
                      </w:tcPr>
                      <w:p>
                        <w:pPr>
                          <w:pStyle w:val="TableParagraph"/>
                          <w:spacing w:line="140" w:lineRule="exact" w:before="20"/>
                          <w:ind w:left="237"/>
                          <w:rPr>
                            <w:sz w:val="12"/>
                          </w:rPr>
                        </w:pPr>
                        <w:r>
                          <w:rPr>
                            <w:sz w:val="12"/>
                          </w:rPr>
                          <w:t>NR</w:t>
                        </w:r>
                      </w:p>
                    </w:tc>
                  </w:tr>
                  <w:tr>
                    <w:trPr>
                      <w:trHeight w:val="171" w:hRule="atLeast"/>
                    </w:trPr>
                    <w:tc>
                      <w:tcPr>
                        <w:tcW w:w="1913" w:type="dxa"/>
                      </w:tcPr>
                      <w:p>
                        <w:pPr>
                          <w:pStyle w:val="TableParagraph"/>
                          <w:rPr>
                            <w:rFonts w:ascii="Times New Roman"/>
                            <w:sz w:val="10"/>
                          </w:rPr>
                        </w:pPr>
                      </w:p>
                    </w:tc>
                    <w:tc>
                      <w:tcPr>
                        <w:tcW w:w="714" w:type="dxa"/>
                      </w:tcPr>
                      <w:p>
                        <w:pPr>
                          <w:pStyle w:val="TableParagraph"/>
                          <w:spacing w:line="140" w:lineRule="exact" w:before="11"/>
                          <w:ind w:right="209"/>
                          <w:jc w:val="right"/>
                          <w:rPr>
                            <w:sz w:val="12"/>
                          </w:rPr>
                        </w:pPr>
                        <w:r>
                          <w:rPr>
                            <w:w w:val="125"/>
                            <w:sz w:val="12"/>
                          </w:rPr>
                          <w:t>34</w:t>
                        </w:r>
                      </w:p>
                    </w:tc>
                    <w:tc>
                      <w:tcPr>
                        <w:tcW w:w="543" w:type="dxa"/>
                      </w:tcPr>
                      <w:p>
                        <w:pPr>
                          <w:pStyle w:val="TableParagraph"/>
                          <w:spacing w:line="151" w:lineRule="exact"/>
                          <w:ind w:right="42"/>
                          <w:jc w:val="center"/>
                          <w:rPr>
                            <w:rFonts w:ascii="Arial"/>
                            <w:sz w:val="14"/>
                          </w:rPr>
                        </w:pPr>
                        <w:r>
                          <w:rPr>
                            <w:rFonts w:ascii="Arial"/>
                            <w:w w:val="97"/>
                            <w:sz w:val="14"/>
                          </w:rPr>
                          <w:t>a</w:t>
                        </w:r>
                      </w:p>
                    </w:tc>
                    <w:tc>
                      <w:tcPr>
                        <w:tcW w:w="363" w:type="dxa"/>
                      </w:tcPr>
                      <w:p>
                        <w:pPr>
                          <w:pStyle w:val="TableParagraph"/>
                          <w:rPr>
                            <w:rFonts w:ascii="Times New Roman"/>
                            <w:sz w:val="10"/>
                          </w:rPr>
                        </w:pPr>
                      </w:p>
                    </w:tc>
                    <w:tc>
                      <w:tcPr>
                        <w:tcW w:w="586" w:type="dxa"/>
                      </w:tcPr>
                      <w:p>
                        <w:pPr>
                          <w:pStyle w:val="TableParagraph"/>
                          <w:spacing w:line="141" w:lineRule="exact" w:before="10"/>
                          <w:ind w:right="143"/>
                          <w:jc w:val="center"/>
                          <w:rPr>
                            <w:rFonts w:ascii="Lucida Sans"/>
                            <w:sz w:val="12"/>
                          </w:rPr>
                        </w:pPr>
                        <w:r>
                          <w:rPr>
                            <w:rFonts w:ascii="Lucida Sans"/>
                            <w:w w:val="174"/>
                            <w:sz w:val="12"/>
                          </w:rPr>
                          <w:t>C</w:t>
                        </w:r>
                      </w:p>
                    </w:tc>
                    <w:tc>
                      <w:tcPr>
                        <w:tcW w:w="577" w:type="dxa"/>
                      </w:tcPr>
                      <w:p>
                        <w:pPr>
                          <w:pStyle w:val="TableParagraph"/>
                          <w:rPr>
                            <w:rFonts w:ascii="Times New Roman"/>
                            <w:sz w:val="10"/>
                          </w:rPr>
                        </w:pPr>
                      </w:p>
                    </w:tc>
                    <w:tc>
                      <w:tcPr>
                        <w:tcW w:w="950" w:type="dxa"/>
                      </w:tcPr>
                      <w:p>
                        <w:pPr>
                          <w:pStyle w:val="TableParagraph"/>
                          <w:spacing w:line="151" w:lineRule="exact"/>
                          <w:ind w:left="254"/>
                          <w:rPr>
                            <w:rFonts w:ascii="Arial"/>
                            <w:sz w:val="14"/>
                          </w:rPr>
                        </w:pPr>
                        <w:r>
                          <w:rPr>
                            <w:rFonts w:ascii="Arial"/>
                            <w:w w:val="97"/>
                            <w:sz w:val="14"/>
                          </w:rPr>
                          <w:t>a</w:t>
                        </w:r>
                      </w:p>
                    </w:tc>
                    <w:tc>
                      <w:tcPr>
                        <w:tcW w:w="1011" w:type="dxa"/>
                      </w:tcPr>
                      <w:p>
                        <w:pPr>
                          <w:pStyle w:val="TableParagraph"/>
                          <w:spacing w:line="151" w:lineRule="exact"/>
                          <w:ind w:left="485"/>
                          <w:rPr>
                            <w:rFonts w:ascii="Arial"/>
                            <w:sz w:val="14"/>
                          </w:rPr>
                        </w:pPr>
                        <w:r>
                          <w:rPr>
                            <w:rFonts w:ascii="Arial"/>
                            <w:w w:val="97"/>
                            <w:sz w:val="14"/>
                          </w:rPr>
                          <w:t>a</w:t>
                        </w:r>
                      </w:p>
                    </w:tc>
                    <w:tc>
                      <w:tcPr>
                        <w:tcW w:w="1386" w:type="dxa"/>
                      </w:tcPr>
                      <w:p>
                        <w:pPr>
                          <w:pStyle w:val="TableParagraph"/>
                          <w:rPr>
                            <w:rFonts w:ascii="Times New Roman"/>
                            <w:sz w:val="10"/>
                          </w:rPr>
                        </w:pPr>
                      </w:p>
                    </w:tc>
                    <w:tc>
                      <w:tcPr>
                        <w:tcW w:w="1380" w:type="dxa"/>
                      </w:tcPr>
                      <w:p>
                        <w:pPr>
                          <w:pStyle w:val="TableParagraph"/>
                          <w:spacing w:line="141" w:lineRule="exact" w:before="10"/>
                          <w:ind w:right="307"/>
                          <w:jc w:val="right"/>
                          <w:rPr>
                            <w:rFonts w:ascii="Lucida Sans"/>
                            <w:sz w:val="12"/>
                          </w:rPr>
                        </w:pPr>
                        <w:r>
                          <w:rPr>
                            <w:rFonts w:ascii="Lucida Sans"/>
                            <w:w w:val="174"/>
                            <w:sz w:val="12"/>
                          </w:rPr>
                          <w:t>C</w:t>
                        </w:r>
                      </w:p>
                    </w:tc>
                    <w:tc>
                      <w:tcPr>
                        <w:tcW w:w="676" w:type="dxa"/>
                      </w:tcPr>
                      <w:p>
                        <w:pPr>
                          <w:pStyle w:val="TableParagraph"/>
                          <w:spacing w:line="140" w:lineRule="exact" w:before="11"/>
                          <w:ind w:left="310"/>
                          <w:rPr>
                            <w:sz w:val="12"/>
                          </w:rPr>
                        </w:pPr>
                        <w:r>
                          <w:rPr>
                            <w:w w:val="110"/>
                            <w:sz w:val="12"/>
                          </w:rPr>
                          <w:t>SS</w:t>
                        </w:r>
                      </w:p>
                    </w:tc>
                    <w:tc>
                      <w:tcPr>
                        <w:tcW w:w="727" w:type="dxa"/>
                      </w:tcPr>
                      <w:p>
                        <w:pPr>
                          <w:pStyle w:val="TableParagraph"/>
                          <w:spacing w:line="140" w:lineRule="exact" w:before="11"/>
                          <w:ind w:right="157"/>
                          <w:jc w:val="right"/>
                          <w:rPr>
                            <w:sz w:val="12"/>
                          </w:rPr>
                        </w:pPr>
                        <w:r>
                          <w:rPr>
                            <w:w w:val="105"/>
                            <w:sz w:val="12"/>
                          </w:rPr>
                          <w:t>0.0%</w:t>
                        </w:r>
                      </w:p>
                    </w:tc>
                    <w:tc>
                      <w:tcPr>
                        <w:tcW w:w="810" w:type="dxa"/>
                      </w:tcPr>
                      <w:p>
                        <w:pPr>
                          <w:pStyle w:val="TableParagraph"/>
                          <w:spacing w:line="140" w:lineRule="exact" w:before="11"/>
                          <w:ind w:left="239"/>
                          <w:rPr>
                            <w:sz w:val="12"/>
                          </w:rPr>
                        </w:pPr>
                        <w:r>
                          <w:rPr>
                            <w:w w:val="105"/>
                            <w:sz w:val="12"/>
                          </w:rPr>
                          <w:t>0.0%</w:t>
                        </w:r>
                      </w:p>
                    </w:tc>
                    <w:tc>
                      <w:tcPr>
                        <w:tcW w:w="890" w:type="dxa"/>
                      </w:tcPr>
                      <w:p>
                        <w:pPr>
                          <w:pStyle w:val="TableParagraph"/>
                          <w:spacing w:line="140" w:lineRule="exact" w:before="11"/>
                          <w:ind w:left="229"/>
                          <w:rPr>
                            <w:sz w:val="12"/>
                          </w:rPr>
                        </w:pPr>
                        <w:r>
                          <w:rPr>
                            <w:sz w:val="12"/>
                          </w:rPr>
                          <w:t>NR</w:t>
                        </w:r>
                      </w:p>
                    </w:tc>
                    <w:tc>
                      <w:tcPr>
                        <w:tcW w:w="693" w:type="dxa"/>
                      </w:tcPr>
                      <w:p>
                        <w:pPr>
                          <w:pStyle w:val="TableParagraph"/>
                          <w:spacing w:line="140" w:lineRule="exact" w:before="11"/>
                          <w:ind w:left="237"/>
                          <w:rPr>
                            <w:sz w:val="12"/>
                          </w:rPr>
                        </w:pPr>
                        <w:r>
                          <w:rPr>
                            <w:sz w:val="12"/>
                          </w:rPr>
                          <w:t>NR</w:t>
                        </w:r>
                      </w:p>
                    </w:tc>
                  </w:tr>
                  <w:tr>
                    <w:trPr>
                      <w:trHeight w:val="165" w:hRule="atLeast"/>
                    </w:trPr>
                    <w:tc>
                      <w:tcPr>
                        <w:tcW w:w="1913" w:type="dxa"/>
                      </w:tcPr>
                      <w:p>
                        <w:pPr>
                          <w:pStyle w:val="TableParagraph"/>
                          <w:spacing w:line="134" w:lineRule="exact" w:before="11"/>
                          <w:ind w:left="33"/>
                          <w:rPr>
                            <w:sz w:val="12"/>
                          </w:rPr>
                        </w:pPr>
                        <w:r>
                          <w:rPr>
                            <w:w w:val="120"/>
                            <w:sz w:val="12"/>
                          </w:rPr>
                          <w:t>Lin et al., 2018 [</w:t>
                        </w:r>
                        <w:hyperlink w:history="true" w:anchor="_bookmark46">
                          <w:r>
                            <w:rPr>
                              <w:color w:val="007FAC"/>
                              <w:w w:val="120"/>
                              <w:sz w:val="12"/>
                            </w:rPr>
                            <w:t>35</w:t>
                          </w:r>
                        </w:hyperlink>
                        <w:r>
                          <w:rPr>
                            <w:w w:val="120"/>
                            <w:sz w:val="12"/>
                          </w:rPr>
                          <w:t>]</w:t>
                        </w:r>
                      </w:p>
                    </w:tc>
                    <w:tc>
                      <w:tcPr>
                        <w:tcW w:w="714" w:type="dxa"/>
                      </w:tcPr>
                      <w:p>
                        <w:pPr>
                          <w:pStyle w:val="TableParagraph"/>
                          <w:spacing w:line="134" w:lineRule="exact" w:before="11"/>
                          <w:ind w:right="209"/>
                          <w:jc w:val="right"/>
                          <w:rPr>
                            <w:sz w:val="12"/>
                          </w:rPr>
                        </w:pPr>
                        <w:r>
                          <w:rPr>
                            <w:w w:val="125"/>
                            <w:sz w:val="12"/>
                          </w:rPr>
                          <w:t>51</w:t>
                        </w:r>
                      </w:p>
                    </w:tc>
                    <w:tc>
                      <w:tcPr>
                        <w:tcW w:w="543" w:type="dxa"/>
                      </w:tcPr>
                      <w:p>
                        <w:pPr>
                          <w:pStyle w:val="TableParagraph"/>
                          <w:spacing w:line="135" w:lineRule="exact" w:before="10"/>
                          <w:ind w:left="25"/>
                          <w:jc w:val="center"/>
                          <w:rPr>
                            <w:rFonts w:ascii="Lucida Sans"/>
                            <w:sz w:val="12"/>
                          </w:rPr>
                        </w:pPr>
                        <w:r>
                          <w:rPr>
                            <w:rFonts w:ascii="Lucida Sans"/>
                            <w:w w:val="174"/>
                            <w:sz w:val="12"/>
                          </w:rPr>
                          <w:t>C</w:t>
                        </w:r>
                      </w:p>
                    </w:tc>
                    <w:tc>
                      <w:tcPr>
                        <w:tcW w:w="363" w:type="dxa"/>
                      </w:tcPr>
                      <w:p>
                        <w:pPr>
                          <w:pStyle w:val="TableParagraph"/>
                          <w:rPr>
                            <w:rFonts w:ascii="Times New Roman"/>
                            <w:sz w:val="10"/>
                          </w:rPr>
                        </w:pPr>
                      </w:p>
                    </w:tc>
                    <w:tc>
                      <w:tcPr>
                        <w:tcW w:w="586" w:type="dxa"/>
                      </w:tcPr>
                      <w:p>
                        <w:pPr>
                          <w:pStyle w:val="TableParagraph"/>
                          <w:spacing w:line="135" w:lineRule="exact" w:before="10"/>
                          <w:ind w:right="143"/>
                          <w:jc w:val="center"/>
                          <w:rPr>
                            <w:rFonts w:ascii="Lucida Sans"/>
                            <w:sz w:val="12"/>
                          </w:rPr>
                        </w:pPr>
                        <w:r>
                          <w:rPr>
                            <w:rFonts w:ascii="Lucida Sans"/>
                            <w:w w:val="174"/>
                            <w:sz w:val="12"/>
                          </w:rPr>
                          <w:t>C</w:t>
                        </w:r>
                      </w:p>
                    </w:tc>
                    <w:tc>
                      <w:tcPr>
                        <w:tcW w:w="577" w:type="dxa"/>
                      </w:tcPr>
                      <w:p>
                        <w:pPr>
                          <w:pStyle w:val="TableParagraph"/>
                          <w:rPr>
                            <w:rFonts w:ascii="Times New Roman"/>
                            <w:sz w:val="10"/>
                          </w:rPr>
                        </w:pPr>
                      </w:p>
                    </w:tc>
                    <w:tc>
                      <w:tcPr>
                        <w:tcW w:w="950" w:type="dxa"/>
                      </w:tcPr>
                      <w:p>
                        <w:pPr>
                          <w:pStyle w:val="TableParagraph"/>
                          <w:spacing w:line="135" w:lineRule="exact" w:before="10"/>
                          <w:ind w:left="254"/>
                          <w:rPr>
                            <w:rFonts w:ascii="Lucida Sans"/>
                            <w:sz w:val="12"/>
                          </w:rPr>
                        </w:pPr>
                        <w:r>
                          <w:rPr>
                            <w:rFonts w:ascii="Lucida Sans"/>
                            <w:w w:val="174"/>
                            <w:sz w:val="12"/>
                          </w:rPr>
                          <w:t>C</w:t>
                        </w:r>
                      </w:p>
                    </w:tc>
                    <w:tc>
                      <w:tcPr>
                        <w:tcW w:w="1011" w:type="dxa"/>
                      </w:tcPr>
                      <w:p>
                        <w:pPr>
                          <w:pStyle w:val="TableParagraph"/>
                          <w:rPr>
                            <w:rFonts w:ascii="Times New Roman"/>
                            <w:sz w:val="10"/>
                          </w:rPr>
                        </w:pPr>
                      </w:p>
                    </w:tc>
                    <w:tc>
                      <w:tcPr>
                        <w:tcW w:w="1386" w:type="dxa"/>
                      </w:tcPr>
                      <w:p>
                        <w:pPr>
                          <w:pStyle w:val="TableParagraph"/>
                          <w:spacing w:line="135" w:lineRule="exact" w:before="10"/>
                          <w:ind w:left="316"/>
                          <w:rPr>
                            <w:rFonts w:ascii="Lucida Sans"/>
                            <w:sz w:val="12"/>
                          </w:rPr>
                        </w:pPr>
                        <w:r>
                          <w:rPr>
                            <w:rFonts w:ascii="Lucida Sans"/>
                            <w:w w:val="174"/>
                            <w:sz w:val="12"/>
                          </w:rPr>
                          <w:t>C</w:t>
                        </w:r>
                      </w:p>
                    </w:tc>
                    <w:tc>
                      <w:tcPr>
                        <w:tcW w:w="1380" w:type="dxa"/>
                      </w:tcPr>
                      <w:p>
                        <w:pPr>
                          <w:pStyle w:val="TableParagraph"/>
                          <w:rPr>
                            <w:rFonts w:ascii="Times New Roman"/>
                            <w:sz w:val="10"/>
                          </w:rPr>
                        </w:pPr>
                      </w:p>
                    </w:tc>
                    <w:tc>
                      <w:tcPr>
                        <w:tcW w:w="676" w:type="dxa"/>
                      </w:tcPr>
                      <w:p>
                        <w:pPr>
                          <w:pStyle w:val="TableParagraph"/>
                          <w:rPr>
                            <w:rFonts w:ascii="Times New Roman"/>
                            <w:sz w:val="10"/>
                          </w:rPr>
                        </w:pPr>
                      </w:p>
                    </w:tc>
                    <w:tc>
                      <w:tcPr>
                        <w:tcW w:w="727" w:type="dxa"/>
                      </w:tcPr>
                      <w:p>
                        <w:pPr>
                          <w:pStyle w:val="TableParagraph"/>
                          <w:spacing w:line="134" w:lineRule="exact" w:before="11"/>
                          <w:ind w:right="157"/>
                          <w:jc w:val="right"/>
                          <w:rPr>
                            <w:sz w:val="12"/>
                          </w:rPr>
                        </w:pPr>
                        <w:r>
                          <w:rPr>
                            <w:w w:val="105"/>
                            <w:sz w:val="12"/>
                          </w:rPr>
                          <w:t>0.0%</w:t>
                        </w:r>
                      </w:p>
                    </w:tc>
                    <w:tc>
                      <w:tcPr>
                        <w:tcW w:w="810" w:type="dxa"/>
                      </w:tcPr>
                      <w:p>
                        <w:pPr>
                          <w:pStyle w:val="TableParagraph"/>
                          <w:spacing w:line="134" w:lineRule="exact" w:before="11"/>
                          <w:ind w:left="239"/>
                          <w:rPr>
                            <w:sz w:val="12"/>
                          </w:rPr>
                        </w:pPr>
                        <w:r>
                          <w:rPr>
                            <w:w w:val="105"/>
                            <w:sz w:val="12"/>
                          </w:rPr>
                          <w:t>3.9%</w:t>
                        </w:r>
                      </w:p>
                    </w:tc>
                    <w:tc>
                      <w:tcPr>
                        <w:tcW w:w="890" w:type="dxa"/>
                      </w:tcPr>
                      <w:p>
                        <w:pPr>
                          <w:pStyle w:val="TableParagraph"/>
                          <w:spacing w:line="134" w:lineRule="exact" w:before="11"/>
                          <w:ind w:left="229"/>
                          <w:rPr>
                            <w:sz w:val="12"/>
                          </w:rPr>
                        </w:pPr>
                        <w:r>
                          <w:rPr>
                            <w:sz w:val="12"/>
                          </w:rPr>
                          <w:t>NR</w:t>
                        </w:r>
                      </w:p>
                    </w:tc>
                    <w:tc>
                      <w:tcPr>
                        <w:tcW w:w="693" w:type="dxa"/>
                      </w:tcPr>
                      <w:p>
                        <w:pPr>
                          <w:pStyle w:val="TableParagraph"/>
                          <w:spacing w:line="134" w:lineRule="exact" w:before="11"/>
                          <w:ind w:left="237"/>
                          <w:rPr>
                            <w:sz w:val="12"/>
                          </w:rPr>
                        </w:pPr>
                        <w:r>
                          <w:rPr>
                            <w:sz w:val="12"/>
                          </w:rPr>
                          <w:t>NR</w:t>
                        </w:r>
                      </w:p>
                    </w:tc>
                  </w:tr>
                  <w:tr>
                    <w:trPr>
                      <w:trHeight w:val="161" w:hRule="atLeast"/>
                    </w:trPr>
                    <w:tc>
                      <w:tcPr>
                        <w:tcW w:w="1913" w:type="dxa"/>
                      </w:tcPr>
                      <w:p>
                        <w:pPr>
                          <w:pStyle w:val="TableParagraph"/>
                          <w:rPr>
                            <w:rFonts w:ascii="Times New Roman"/>
                            <w:sz w:val="10"/>
                          </w:rPr>
                        </w:pPr>
                      </w:p>
                    </w:tc>
                    <w:tc>
                      <w:tcPr>
                        <w:tcW w:w="714" w:type="dxa"/>
                      </w:tcPr>
                      <w:p>
                        <w:pPr>
                          <w:pStyle w:val="TableParagraph"/>
                          <w:spacing w:line="125" w:lineRule="exact" w:before="17"/>
                          <w:ind w:right="209"/>
                          <w:jc w:val="right"/>
                          <w:rPr>
                            <w:sz w:val="12"/>
                          </w:rPr>
                        </w:pPr>
                        <w:r>
                          <w:rPr>
                            <w:w w:val="125"/>
                            <w:sz w:val="12"/>
                          </w:rPr>
                          <w:t>51</w:t>
                        </w:r>
                      </w:p>
                    </w:tc>
                    <w:tc>
                      <w:tcPr>
                        <w:tcW w:w="543" w:type="dxa"/>
                      </w:tcPr>
                      <w:p>
                        <w:pPr>
                          <w:pStyle w:val="TableParagraph"/>
                          <w:spacing w:line="125" w:lineRule="exact" w:before="17"/>
                          <w:ind w:left="193" w:right="103"/>
                          <w:jc w:val="center"/>
                          <w:rPr>
                            <w:sz w:val="12"/>
                          </w:rPr>
                        </w:pPr>
                        <w:r>
                          <w:rPr>
                            <w:sz w:val="12"/>
                          </w:rPr>
                          <w:t>AM</w:t>
                        </w:r>
                      </w:p>
                    </w:tc>
                    <w:tc>
                      <w:tcPr>
                        <w:tcW w:w="363" w:type="dxa"/>
                      </w:tcPr>
                      <w:p>
                        <w:pPr>
                          <w:pStyle w:val="TableParagraph"/>
                          <w:rPr>
                            <w:rFonts w:ascii="Times New Roman"/>
                            <w:sz w:val="10"/>
                          </w:rPr>
                        </w:pPr>
                      </w:p>
                    </w:tc>
                    <w:tc>
                      <w:tcPr>
                        <w:tcW w:w="586" w:type="dxa"/>
                      </w:tcPr>
                      <w:p>
                        <w:pPr>
                          <w:pStyle w:val="TableParagraph"/>
                          <w:spacing w:line="125" w:lineRule="exact" w:before="17"/>
                          <w:ind w:left="130" w:right="208"/>
                          <w:jc w:val="center"/>
                          <w:rPr>
                            <w:sz w:val="12"/>
                          </w:rPr>
                        </w:pPr>
                        <w:r>
                          <w:rPr>
                            <w:sz w:val="12"/>
                          </w:rPr>
                          <w:t>AM</w:t>
                        </w:r>
                      </w:p>
                    </w:tc>
                    <w:tc>
                      <w:tcPr>
                        <w:tcW w:w="577" w:type="dxa"/>
                      </w:tcPr>
                      <w:p>
                        <w:pPr>
                          <w:pStyle w:val="TableParagraph"/>
                          <w:rPr>
                            <w:rFonts w:ascii="Times New Roman"/>
                            <w:sz w:val="10"/>
                          </w:rPr>
                        </w:pPr>
                      </w:p>
                    </w:tc>
                    <w:tc>
                      <w:tcPr>
                        <w:tcW w:w="950" w:type="dxa"/>
                      </w:tcPr>
                      <w:p>
                        <w:pPr>
                          <w:pStyle w:val="TableParagraph"/>
                          <w:spacing w:line="125" w:lineRule="exact" w:before="17"/>
                          <w:ind w:left="254"/>
                          <w:rPr>
                            <w:sz w:val="12"/>
                          </w:rPr>
                        </w:pPr>
                        <w:r>
                          <w:rPr>
                            <w:sz w:val="12"/>
                          </w:rPr>
                          <w:t>AM</w:t>
                        </w:r>
                      </w:p>
                    </w:tc>
                    <w:tc>
                      <w:tcPr>
                        <w:tcW w:w="1011" w:type="dxa"/>
                      </w:tcPr>
                      <w:p>
                        <w:pPr>
                          <w:pStyle w:val="TableParagraph"/>
                          <w:rPr>
                            <w:rFonts w:ascii="Times New Roman"/>
                            <w:sz w:val="10"/>
                          </w:rPr>
                        </w:pPr>
                      </w:p>
                    </w:tc>
                    <w:tc>
                      <w:tcPr>
                        <w:tcW w:w="1386" w:type="dxa"/>
                      </w:tcPr>
                      <w:p>
                        <w:pPr>
                          <w:pStyle w:val="TableParagraph"/>
                          <w:spacing w:line="126" w:lineRule="exact" w:before="16"/>
                          <w:ind w:left="316"/>
                          <w:rPr>
                            <w:rFonts w:ascii="Lucida Sans"/>
                            <w:sz w:val="12"/>
                          </w:rPr>
                        </w:pPr>
                        <w:r>
                          <w:rPr>
                            <w:rFonts w:ascii="Lucida Sans"/>
                            <w:w w:val="174"/>
                            <w:sz w:val="12"/>
                          </w:rPr>
                          <w:t>C</w:t>
                        </w:r>
                      </w:p>
                    </w:tc>
                    <w:tc>
                      <w:tcPr>
                        <w:tcW w:w="1380" w:type="dxa"/>
                      </w:tcPr>
                      <w:p>
                        <w:pPr>
                          <w:pStyle w:val="TableParagraph"/>
                          <w:rPr>
                            <w:rFonts w:ascii="Times New Roman"/>
                            <w:sz w:val="10"/>
                          </w:rPr>
                        </w:pPr>
                      </w:p>
                    </w:tc>
                    <w:tc>
                      <w:tcPr>
                        <w:tcW w:w="676" w:type="dxa"/>
                      </w:tcPr>
                      <w:p>
                        <w:pPr>
                          <w:pStyle w:val="TableParagraph"/>
                          <w:rPr>
                            <w:rFonts w:ascii="Times New Roman"/>
                            <w:sz w:val="10"/>
                          </w:rPr>
                        </w:pPr>
                      </w:p>
                    </w:tc>
                    <w:tc>
                      <w:tcPr>
                        <w:tcW w:w="727" w:type="dxa"/>
                      </w:tcPr>
                      <w:p>
                        <w:pPr>
                          <w:pStyle w:val="TableParagraph"/>
                          <w:spacing w:line="125" w:lineRule="exact" w:before="17"/>
                          <w:ind w:right="157"/>
                          <w:jc w:val="right"/>
                          <w:rPr>
                            <w:sz w:val="12"/>
                          </w:rPr>
                        </w:pPr>
                        <w:r>
                          <w:rPr>
                            <w:w w:val="105"/>
                            <w:sz w:val="12"/>
                          </w:rPr>
                          <w:t>0.0%</w:t>
                        </w:r>
                      </w:p>
                    </w:tc>
                    <w:tc>
                      <w:tcPr>
                        <w:tcW w:w="810" w:type="dxa"/>
                      </w:tcPr>
                      <w:p>
                        <w:pPr>
                          <w:pStyle w:val="TableParagraph"/>
                          <w:spacing w:line="125" w:lineRule="exact" w:before="17"/>
                          <w:ind w:left="239"/>
                          <w:rPr>
                            <w:sz w:val="12"/>
                          </w:rPr>
                        </w:pPr>
                        <w:r>
                          <w:rPr>
                            <w:w w:val="105"/>
                            <w:sz w:val="12"/>
                          </w:rPr>
                          <w:t>0.0%</w:t>
                        </w:r>
                      </w:p>
                    </w:tc>
                    <w:tc>
                      <w:tcPr>
                        <w:tcW w:w="890" w:type="dxa"/>
                      </w:tcPr>
                      <w:p>
                        <w:pPr>
                          <w:pStyle w:val="TableParagraph"/>
                          <w:spacing w:line="125" w:lineRule="exact" w:before="17"/>
                          <w:ind w:left="229"/>
                          <w:rPr>
                            <w:sz w:val="12"/>
                          </w:rPr>
                        </w:pPr>
                        <w:r>
                          <w:rPr>
                            <w:sz w:val="12"/>
                          </w:rPr>
                          <w:t>NR</w:t>
                        </w:r>
                      </w:p>
                    </w:tc>
                    <w:tc>
                      <w:tcPr>
                        <w:tcW w:w="693" w:type="dxa"/>
                      </w:tcPr>
                      <w:p>
                        <w:pPr>
                          <w:pStyle w:val="TableParagraph"/>
                          <w:spacing w:line="125" w:lineRule="exact" w:before="17"/>
                          <w:ind w:left="237"/>
                          <w:rPr>
                            <w:sz w:val="12"/>
                          </w:rPr>
                        </w:pPr>
                        <w:r>
                          <w:rPr>
                            <w:sz w:val="12"/>
                          </w:rPr>
                          <w:t>NR</w:t>
                        </w:r>
                      </w:p>
                    </w:tc>
                  </w:tr>
                  <w:tr>
                    <w:trPr>
                      <w:trHeight w:val="186" w:hRule="atLeast"/>
                    </w:trPr>
                    <w:tc>
                      <w:tcPr>
                        <w:tcW w:w="1913" w:type="dxa"/>
                      </w:tcPr>
                      <w:p>
                        <w:pPr>
                          <w:pStyle w:val="TableParagraph"/>
                          <w:spacing w:line="140" w:lineRule="exact" w:before="26"/>
                          <w:ind w:left="33"/>
                          <w:rPr>
                            <w:sz w:val="12"/>
                          </w:rPr>
                        </w:pPr>
                        <w:r>
                          <w:rPr>
                            <w:w w:val="115"/>
                            <w:sz w:val="12"/>
                          </w:rPr>
                          <w:t>Liu et al., 2018 [</w:t>
                        </w:r>
                        <w:hyperlink w:history="true" w:anchor="_bookmark55">
                          <w:r>
                            <w:rPr>
                              <w:color w:val="007FAC"/>
                              <w:w w:val="115"/>
                              <w:sz w:val="12"/>
                            </w:rPr>
                            <w:t>43</w:t>
                          </w:r>
                        </w:hyperlink>
                        <w:r>
                          <w:rPr>
                            <w:w w:val="115"/>
                            <w:sz w:val="12"/>
                          </w:rPr>
                          <w:t>]</w:t>
                        </w:r>
                        <w:r>
                          <w:rPr>
                            <w:w w:val="115"/>
                            <w:sz w:val="12"/>
                            <w:vertAlign w:val="superscript"/>
                          </w:rPr>
                          <w:t>,</w:t>
                        </w:r>
                        <w:hyperlink w:history="true" w:anchor="_bookmark87">
                          <w:r>
                            <w:rPr>
                              <w:color w:val="007FAC"/>
                              <w:w w:val="115"/>
                              <w:sz w:val="12"/>
                              <w:vertAlign w:val="superscript"/>
                            </w:rPr>
                            <w:t>l</w:t>
                          </w:r>
                        </w:hyperlink>
                      </w:p>
                    </w:tc>
                    <w:tc>
                      <w:tcPr>
                        <w:tcW w:w="714" w:type="dxa"/>
                      </w:tcPr>
                      <w:p>
                        <w:pPr>
                          <w:pStyle w:val="TableParagraph"/>
                          <w:spacing w:line="140" w:lineRule="exact" w:before="26"/>
                          <w:ind w:right="209"/>
                          <w:jc w:val="right"/>
                          <w:rPr>
                            <w:sz w:val="12"/>
                          </w:rPr>
                        </w:pPr>
                        <w:r>
                          <w:rPr>
                            <w:w w:val="125"/>
                            <w:sz w:val="12"/>
                          </w:rPr>
                          <w:t>80</w:t>
                        </w:r>
                      </w:p>
                    </w:tc>
                    <w:tc>
                      <w:tcPr>
                        <w:tcW w:w="543" w:type="dxa"/>
                      </w:tcPr>
                      <w:p>
                        <w:pPr>
                          <w:pStyle w:val="TableParagraph"/>
                          <w:spacing w:line="141" w:lineRule="exact" w:before="25"/>
                          <w:ind w:left="25"/>
                          <w:jc w:val="center"/>
                          <w:rPr>
                            <w:rFonts w:ascii="Lucida Sans"/>
                            <w:sz w:val="12"/>
                          </w:rPr>
                        </w:pPr>
                        <w:r>
                          <w:rPr>
                            <w:rFonts w:ascii="Lucida Sans"/>
                            <w:w w:val="174"/>
                            <w:sz w:val="12"/>
                          </w:rPr>
                          <w:t>C</w:t>
                        </w:r>
                      </w:p>
                    </w:tc>
                    <w:tc>
                      <w:tcPr>
                        <w:tcW w:w="363" w:type="dxa"/>
                      </w:tcPr>
                      <w:p>
                        <w:pPr>
                          <w:pStyle w:val="TableParagraph"/>
                          <w:rPr>
                            <w:rFonts w:ascii="Times New Roman"/>
                            <w:sz w:val="12"/>
                          </w:rPr>
                        </w:pPr>
                      </w:p>
                    </w:tc>
                    <w:tc>
                      <w:tcPr>
                        <w:tcW w:w="586" w:type="dxa"/>
                      </w:tcPr>
                      <w:p>
                        <w:pPr>
                          <w:pStyle w:val="TableParagraph"/>
                          <w:spacing w:line="141" w:lineRule="exact" w:before="25"/>
                          <w:ind w:right="143"/>
                          <w:jc w:val="center"/>
                          <w:rPr>
                            <w:rFonts w:ascii="Lucida Sans"/>
                            <w:sz w:val="12"/>
                          </w:rPr>
                        </w:pPr>
                        <w:r>
                          <w:rPr>
                            <w:rFonts w:ascii="Lucida Sans"/>
                            <w:w w:val="174"/>
                            <w:sz w:val="12"/>
                          </w:rPr>
                          <w:t>C</w:t>
                        </w:r>
                      </w:p>
                    </w:tc>
                    <w:tc>
                      <w:tcPr>
                        <w:tcW w:w="577" w:type="dxa"/>
                      </w:tcPr>
                      <w:p>
                        <w:pPr>
                          <w:pStyle w:val="TableParagraph"/>
                          <w:rPr>
                            <w:rFonts w:ascii="Times New Roman"/>
                            <w:sz w:val="12"/>
                          </w:rPr>
                        </w:pPr>
                      </w:p>
                    </w:tc>
                    <w:tc>
                      <w:tcPr>
                        <w:tcW w:w="950" w:type="dxa"/>
                      </w:tcPr>
                      <w:p>
                        <w:pPr>
                          <w:pStyle w:val="TableParagraph"/>
                          <w:spacing w:line="141" w:lineRule="exact" w:before="25"/>
                          <w:ind w:left="254"/>
                          <w:rPr>
                            <w:rFonts w:ascii="Lucida Sans"/>
                            <w:sz w:val="12"/>
                          </w:rPr>
                        </w:pPr>
                        <w:r>
                          <w:rPr>
                            <w:rFonts w:ascii="Lucida Sans"/>
                            <w:w w:val="174"/>
                            <w:sz w:val="12"/>
                          </w:rPr>
                          <w:t>C</w:t>
                        </w:r>
                      </w:p>
                    </w:tc>
                    <w:tc>
                      <w:tcPr>
                        <w:tcW w:w="1011" w:type="dxa"/>
                      </w:tcPr>
                      <w:p>
                        <w:pPr>
                          <w:pStyle w:val="TableParagraph"/>
                          <w:spacing w:line="156" w:lineRule="exact" w:before="10"/>
                          <w:ind w:left="485"/>
                          <w:rPr>
                            <w:rFonts w:ascii="Arial"/>
                            <w:sz w:val="14"/>
                          </w:rPr>
                        </w:pPr>
                        <w:r>
                          <w:rPr>
                            <w:rFonts w:ascii="Arial"/>
                            <w:w w:val="97"/>
                            <w:sz w:val="14"/>
                          </w:rPr>
                          <w:t>a</w:t>
                        </w:r>
                      </w:p>
                    </w:tc>
                    <w:tc>
                      <w:tcPr>
                        <w:tcW w:w="1386" w:type="dxa"/>
                      </w:tcPr>
                      <w:p>
                        <w:pPr>
                          <w:pStyle w:val="TableParagraph"/>
                          <w:rPr>
                            <w:rFonts w:ascii="Times New Roman"/>
                            <w:sz w:val="12"/>
                          </w:rPr>
                        </w:pPr>
                      </w:p>
                    </w:tc>
                    <w:tc>
                      <w:tcPr>
                        <w:tcW w:w="1380" w:type="dxa"/>
                      </w:tcPr>
                      <w:p>
                        <w:pPr>
                          <w:pStyle w:val="TableParagraph"/>
                          <w:rPr>
                            <w:rFonts w:ascii="Times New Roman"/>
                            <w:sz w:val="12"/>
                          </w:rPr>
                        </w:pPr>
                      </w:p>
                    </w:tc>
                    <w:tc>
                      <w:tcPr>
                        <w:tcW w:w="676" w:type="dxa"/>
                      </w:tcPr>
                      <w:p>
                        <w:pPr>
                          <w:pStyle w:val="TableParagraph"/>
                          <w:rPr>
                            <w:rFonts w:ascii="Times New Roman"/>
                            <w:sz w:val="12"/>
                          </w:rPr>
                        </w:pPr>
                      </w:p>
                    </w:tc>
                    <w:tc>
                      <w:tcPr>
                        <w:tcW w:w="727" w:type="dxa"/>
                      </w:tcPr>
                      <w:p>
                        <w:pPr>
                          <w:pStyle w:val="TableParagraph"/>
                          <w:spacing w:line="140" w:lineRule="exact" w:before="26"/>
                          <w:ind w:left="221"/>
                          <w:rPr>
                            <w:sz w:val="12"/>
                          </w:rPr>
                        </w:pPr>
                        <w:r>
                          <w:rPr>
                            <w:sz w:val="12"/>
                          </w:rPr>
                          <w:t>NR</w:t>
                        </w:r>
                      </w:p>
                    </w:tc>
                    <w:tc>
                      <w:tcPr>
                        <w:tcW w:w="810" w:type="dxa"/>
                      </w:tcPr>
                      <w:p>
                        <w:pPr>
                          <w:pStyle w:val="TableParagraph"/>
                          <w:spacing w:line="140" w:lineRule="exact" w:before="26"/>
                          <w:ind w:left="239"/>
                          <w:rPr>
                            <w:sz w:val="12"/>
                          </w:rPr>
                        </w:pPr>
                        <w:r>
                          <w:rPr>
                            <w:w w:val="105"/>
                            <w:sz w:val="12"/>
                          </w:rPr>
                          <w:t>1.3%</w:t>
                        </w:r>
                      </w:p>
                    </w:tc>
                    <w:tc>
                      <w:tcPr>
                        <w:tcW w:w="890" w:type="dxa"/>
                      </w:tcPr>
                      <w:p>
                        <w:pPr>
                          <w:pStyle w:val="TableParagraph"/>
                          <w:spacing w:line="140" w:lineRule="exact" w:before="26"/>
                          <w:ind w:left="229"/>
                          <w:rPr>
                            <w:sz w:val="12"/>
                          </w:rPr>
                        </w:pPr>
                        <w:r>
                          <w:rPr>
                            <w:sz w:val="12"/>
                          </w:rPr>
                          <w:t>NR</w:t>
                        </w:r>
                      </w:p>
                    </w:tc>
                    <w:tc>
                      <w:tcPr>
                        <w:tcW w:w="693" w:type="dxa"/>
                      </w:tcPr>
                      <w:p>
                        <w:pPr>
                          <w:pStyle w:val="TableParagraph"/>
                          <w:spacing w:line="140" w:lineRule="exact" w:before="26"/>
                          <w:ind w:left="318"/>
                          <w:rPr>
                            <w:sz w:val="12"/>
                          </w:rPr>
                        </w:pPr>
                        <w:r>
                          <w:rPr>
                            <w:w w:val="105"/>
                            <w:sz w:val="12"/>
                          </w:rPr>
                          <w:t>1.3%</w:t>
                        </w:r>
                      </w:p>
                    </w:tc>
                  </w:tr>
                  <w:tr>
                    <w:trPr>
                      <w:trHeight w:val="165" w:hRule="atLeast"/>
                    </w:trPr>
                    <w:tc>
                      <w:tcPr>
                        <w:tcW w:w="1913" w:type="dxa"/>
                      </w:tcPr>
                      <w:p>
                        <w:pPr>
                          <w:pStyle w:val="TableParagraph"/>
                          <w:rPr>
                            <w:rFonts w:ascii="Times New Roman"/>
                            <w:sz w:val="10"/>
                          </w:rPr>
                        </w:pPr>
                      </w:p>
                    </w:tc>
                    <w:tc>
                      <w:tcPr>
                        <w:tcW w:w="714" w:type="dxa"/>
                      </w:tcPr>
                      <w:p>
                        <w:pPr>
                          <w:pStyle w:val="TableParagraph"/>
                          <w:spacing w:line="134" w:lineRule="exact" w:before="11"/>
                          <w:ind w:right="209"/>
                          <w:jc w:val="right"/>
                          <w:rPr>
                            <w:sz w:val="12"/>
                          </w:rPr>
                        </w:pPr>
                        <w:r>
                          <w:rPr>
                            <w:w w:val="125"/>
                            <w:sz w:val="12"/>
                          </w:rPr>
                          <w:t>100</w:t>
                        </w:r>
                      </w:p>
                    </w:tc>
                    <w:tc>
                      <w:tcPr>
                        <w:tcW w:w="543" w:type="dxa"/>
                      </w:tcPr>
                      <w:p>
                        <w:pPr>
                          <w:pStyle w:val="TableParagraph"/>
                          <w:spacing w:line="135" w:lineRule="exact" w:before="10"/>
                          <w:ind w:left="25"/>
                          <w:jc w:val="center"/>
                          <w:rPr>
                            <w:rFonts w:ascii="Lucida Sans"/>
                            <w:sz w:val="12"/>
                          </w:rPr>
                        </w:pPr>
                        <w:r>
                          <w:rPr>
                            <w:rFonts w:ascii="Lucida Sans"/>
                            <w:w w:val="174"/>
                            <w:sz w:val="12"/>
                          </w:rPr>
                          <w:t>C</w:t>
                        </w:r>
                      </w:p>
                    </w:tc>
                    <w:tc>
                      <w:tcPr>
                        <w:tcW w:w="363" w:type="dxa"/>
                      </w:tcPr>
                      <w:p>
                        <w:pPr>
                          <w:pStyle w:val="TableParagraph"/>
                          <w:rPr>
                            <w:rFonts w:ascii="Times New Roman"/>
                            <w:sz w:val="10"/>
                          </w:rPr>
                        </w:pPr>
                      </w:p>
                    </w:tc>
                    <w:tc>
                      <w:tcPr>
                        <w:tcW w:w="586" w:type="dxa"/>
                      </w:tcPr>
                      <w:p>
                        <w:pPr>
                          <w:pStyle w:val="TableParagraph"/>
                          <w:spacing w:line="135" w:lineRule="exact" w:before="10"/>
                          <w:ind w:right="143"/>
                          <w:jc w:val="center"/>
                          <w:rPr>
                            <w:rFonts w:ascii="Lucida Sans"/>
                            <w:sz w:val="12"/>
                          </w:rPr>
                        </w:pPr>
                        <w:r>
                          <w:rPr>
                            <w:rFonts w:ascii="Lucida Sans"/>
                            <w:w w:val="174"/>
                            <w:sz w:val="12"/>
                          </w:rPr>
                          <w:t>C</w:t>
                        </w:r>
                      </w:p>
                    </w:tc>
                    <w:tc>
                      <w:tcPr>
                        <w:tcW w:w="577" w:type="dxa"/>
                      </w:tcPr>
                      <w:p>
                        <w:pPr>
                          <w:pStyle w:val="TableParagraph"/>
                          <w:rPr>
                            <w:rFonts w:ascii="Times New Roman"/>
                            <w:sz w:val="10"/>
                          </w:rPr>
                        </w:pPr>
                      </w:p>
                    </w:tc>
                    <w:tc>
                      <w:tcPr>
                        <w:tcW w:w="950" w:type="dxa"/>
                      </w:tcPr>
                      <w:p>
                        <w:pPr>
                          <w:pStyle w:val="TableParagraph"/>
                          <w:spacing w:line="134" w:lineRule="exact" w:before="11"/>
                          <w:ind w:left="254"/>
                          <w:rPr>
                            <w:sz w:val="12"/>
                          </w:rPr>
                        </w:pPr>
                        <w:r>
                          <w:rPr>
                            <w:sz w:val="12"/>
                          </w:rPr>
                          <w:t>AM</w:t>
                        </w:r>
                      </w:p>
                    </w:tc>
                    <w:tc>
                      <w:tcPr>
                        <w:tcW w:w="1011" w:type="dxa"/>
                      </w:tcPr>
                      <w:p>
                        <w:pPr>
                          <w:pStyle w:val="TableParagraph"/>
                          <w:spacing w:line="134" w:lineRule="exact" w:before="11"/>
                          <w:ind w:left="485"/>
                          <w:rPr>
                            <w:sz w:val="12"/>
                          </w:rPr>
                        </w:pPr>
                        <w:r>
                          <w:rPr>
                            <w:sz w:val="12"/>
                          </w:rPr>
                          <w:t>AM</w:t>
                        </w:r>
                      </w:p>
                    </w:tc>
                    <w:tc>
                      <w:tcPr>
                        <w:tcW w:w="1386" w:type="dxa"/>
                      </w:tcPr>
                      <w:p>
                        <w:pPr>
                          <w:pStyle w:val="TableParagraph"/>
                          <w:rPr>
                            <w:rFonts w:ascii="Times New Roman"/>
                            <w:sz w:val="10"/>
                          </w:rPr>
                        </w:pPr>
                      </w:p>
                    </w:tc>
                    <w:tc>
                      <w:tcPr>
                        <w:tcW w:w="1380" w:type="dxa"/>
                      </w:tcPr>
                      <w:p>
                        <w:pPr>
                          <w:pStyle w:val="TableParagraph"/>
                          <w:rPr>
                            <w:rFonts w:ascii="Times New Roman"/>
                            <w:sz w:val="10"/>
                          </w:rPr>
                        </w:pPr>
                      </w:p>
                    </w:tc>
                    <w:tc>
                      <w:tcPr>
                        <w:tcW w:w="676" w:type="dxa"/>
                      </w:tcPr>
                      <w:p>
                        <w:pPr>
                          <w:pStyle w:val="TableParagraph"/>
                          <w:rPr>
                            <w:rFonts w:ascii="Times New Roman"/>
                            <w:sz w:val="10"/>
                          </w:rPr>
                        </w:pPr>
                      </w:p>
                    </w:tc>
                    <w:tc>
                      <w:tcPr>
                        <w:tcW w:w="727" w:type="dxa"/>
                      </w:tcPr>
                      <w:p>
                        <w:pPr>
                          <w:pStyle w:val="TableParagraph"/>
                          <w:spacing w:line="134" w:lineRule="exact" w:before="11"/>
                          <w:ind w:left="221"/>
                          <w:rPr>
                            <w:sz w:val="12"/>
                          </w:rPr>
                        </w:pPr>
                        <w:r>
                          <w:rPr>
                            <w:sz w:val="12"/>
                          </w:rPr>
                          <w:t>NR</w:t>
                        </w:r>
                      </w:p>
                    </w:tc>
                    <w:tc>
                      <w:tcPr>
                        <w:tcW w:w="810" w:type="dxa"/>
                      </w:tcPr>
                      <w:p>
                        <w:pPr>
                          <w:pStyle w:val="TableParagraph"/>
                          <w:spacing w:line="134" w:lineRule="exact" w:before="11"/>
                          <w:ind w:left="239"/>
                          <w:rPr>
                            <w:sz w:val="12"/>
                          </w:rPr>
                        </w:pPr>
                        <w:r>
                          <w:rPr>
                            <w:w w:val="105"/>
                            <w:sz w:val="12"/>
                          </w:rPr>
                          <w:t>0.0%</w:t>
                        </w:r>
                      </w:p>
                    </w:tc>
                    <w:tc>
                      <w:tcPr>
                        <w:tcW w:w="890" w:type="dxa"/>
                      </w:tcPr>
                      <w:p>
                        <w:pPr>
                          <w:pStyle w:val="TableParagraph"/>
                          <w:spacing w:line="134" w:lineRule="exact" w:before="11"/>
                          <w:ind w:left="229"/>
                          <w:rPr>
                            <w:sz w:val="12"/>
                          </w:rPr>
                        </w:pPr>
                        <w:r>
                          <w:rPr>
                            <w:sz w:val="12"/>
                          </w:rPr>
                          <w:t>NR</w:t>
                        </w:r>
                      </w:p>
                    </w:tc>
                    <w:tc>
                      <w:tcPr>
                        <w:tcW w:w="693" w:type="dxa"/>
                      </w:tcPr>
                      <w:p>
                        <w:pPr>
                          <w:pStyle w:val="TableParagraph"/>
                          <w:spacing w:line="134" w:lineRule="exact" w:before="11"/>
                          <w:ind w:left="318"/>
                          <w:rPr>
                            <w:sz w:val="12"/>
                          </w:rPr>
                        </w:pPr>
                        <w:r>
                          <w:rPr>
                            <w:w w:val="105"/>
                            <w:sz w:val="12"/>
                          </w:rPr>
                          <w:t>0.0%</w:t>
                        </w:r>
                      </w:p>
                    </w:tc>
                  </w:tr>
                  <w:tr>
                    <w:trPr>
                      <w:trHeight w:val="197" w:hRule="atLeast"/>
                    </w:trPr>
                    <w:tc>
                      <w:tcPr>
                        <w:tcW w:w="1913" w:type="dxa"/>
                      </w:tcPr>
                      <w:p>
                        <w:pPr>
                          <w:pStyle w:val="TableParagraph"/>
                          <w:spacing w:line="147" w:lineRule="exact" w:before="17"/>
                          <w:ind w:left="33"/>
                          <w:rPr>
                            <w:sz w:val="12"/>
                          </w:rPr>
                        </w:pPr>
                        <w:r>
                          <w:rPr>
                            <w:w w:val="120"/>
                            <w:sz w:val="12"/>
                          </w:rPr>
                          <w:t>Gamba et al., 2019 [</w:t>
                        </w:r>
                        <w:hyperlink w:history="true" w:anchor="_bookmark38">
                          <w:r>
                            <w:rPr>
                              <w:color w:val="007FAC"/>
                              <w:w w:val="120"/>
                              <w:sz w:val="12"/>
                            </w:rPr>
                            <w:t>27</w:t>
                          </w:r>
                        </w:hyperlink>
                        <w:r>
                          <w:rPr>
                            <w:w w:val="120"/>
                            <w:sz w:val="12"/>
                          </w:rPr>
                          <w:t>]</w:t>
                        </w:r>
                      </w:p>
                    </w:tc>
                    <w:tc>
                      <w:tcPr>
                        <w:tcW w:w="714" w:type="dxa"/>
                      </w:tcPr>
                      <w:p>
                        <w:pPr>
                          <w:pStyle w:val="TableParagraph"/>
                          <w:spacing w:line="147" w:lineRule="exact" w:before="17"/>
                          <w:ind w:right="209"/>
                          <w:jc w:val="right"/>
                          <w:rPr>
                            <w:sz w:val="12"/>
                          </w:rPr>
                        </w:pPr>
                        <w:r>
                          <w:rPr>
                            <w:w w:val="125"/>
                            <w:sz w:val="12"/>
                          </w:rPr>
                          <w:t>44</w:t>
                        </w:r>
                      </w:p>
                    </w:tc>
                    <w:tc>
                      <w:tcPr>
                        <w:tcW w:w="543" w:type="dxa"/>
                      </w:tcPr>
                      <w:p>
                        <w:pPr>
                          <w:pStyle w:val="TableParagraph"/>
                          <w:spacing w:before="16"/>
                          <w:ind w:left="25"/>
                          <w:jc w:val="center"/>
                          <w:rPr>
                            <w:rFonts w:ascii="Lucida Sans"/>
                            <w:sz w:val="12"/>
                          </w:rPr>
                        </w:pPr>
                        <w:r>
                          <w:rPr>
                            <w:rFonts w:ascii="Lucida Sans"/>
                            <w:w w:val="174"/>
                            <w:sz w:val="12"/>
                          </w:rPr>
                          <w:t>C</w:t>
                        </w:r>
                      </w:p>
                    </w:tc>
                    <w:tc>
                      <w:tcPr>
                        <w:tcW w:w="363" w:type="dxa"/>
                      </w:tcPr>
                      <w:p>
                        <w:pPr>
                          <w:pStyle w:val="TableParagraph"/>
                          <w:rPr>
                            <w:rFonts w:ascii="Times New Roman"/>
                            <w:sz w:val="12"/>
                          </w:rPr>
                        </w:pPr>
                      </w:p>
                    </w:tc>
                    <w:tc>
                      <w:tcPr>
                        <w:tcW w:w="586" w:type="dxa"/>
                      </w:tcPr>
                      <w:p>
                        <w:pPr>
                          <w:pStyle w:val="TableParagraph"/>
                          <w:spacing w:before="16"/>
                          <w:ind w:right="143"/>
                          <w:jc w:val="center"/>
                          <w:rPr>
                            <w:rFonts w:ascii="Lucida Sans"/>
                            <w:sz w:val="12"/>
                          </w:rPr>
                        </w:pPr>
                        <w:r>
                          <w:rPr>
                            <w:rFonts w:ascii="Lucida Sans"/>
                            <w:w w:val="174"/>
                            <w:sz w:val="12"/>
                          </w:rPr>
                          <w:t>C</w:t>
                        </w:r>
                      </w:p>
                    </w:tc>
                    <w:tc>
                      <w:tcPr>
                        <w:tcW w:w="577" w:type="dxa"/>
                      </w:tcPr>
                      <w:p>
                        <w:pPr>
                          <w:pStyle w:val="TableParagraph"/>
                          <w:rPr>
                            <w:rFonts w:ascii="Times New Roman"/>
                            <w:sz w:val="12"/>
                          </w:rPr>
                        </w:pPr>
                      </w:p>
                    </w:tc>
                    <w:tc>
                      <w:tcPr>
                        <w:tcW w:w="950" w:type="dxa"/>
                      </w:tcPr>
                      <w:p>
                        <w:pPr>
                          <w:pStyle w:val="TableParagraph"/>
                          <w:rPr>
                            <w:rFonts w:ascii="Times New Roman"/>
                            <w:sz w:val="12"/>
                          </w:rPr>
                        </w:pPr>
                      </w:p>
                    </w:tc>
                    <w:tc>
                      <w:tcPr>
                        <w:tcW w:w="1011" w:type="dxa"/>
                      </w:tcPr>
                      <w:p>
                        <w:pPr>
                          <w:pStyle w:val="TableParagraph"/>
                          <w:rPr>
                            <w:rFonts w:ascii="Times New Roman"/>
                            <w:sz w:val="12"/>
                          </w:rPr>
                        </w:pPr>
                      </w:p>
                    </w:tc>
                    <w:tc>
                      <w:tcPr>
                        <w:tcW w:w="1386" w:type="dxa"/>
                      </w:tcPr>
                      <w:p>
                        <w:pPr>
                          <w:pStyle w:val="TableParagraph"/>
                          <w:spacing w:before="16"/>
                          <w:ind w:left="316"/>
                          <w:rPr>
                            <w:rFonts w:ascii="Lucida Sans"/>
                            <w:sz w:val="12"/>
                          </w:rPr>
                        </w:pPr>
                        <w:r>
                          <w:rPr>
                            <w:rFonts w:ascii="Lucida Sans"/>
                            <w:w w:val="174"/>
                            <w:sz w:val="12"/>
                          </w:rPr>
                          <w:t>C</w:t>
                        </w:r>
                      </w:p>
                    </w:tc>
                    <w:tc>
                      <w:tcPr>
                        <w:tcW w:w="1380" w:type="dxa"/>
                      </w:tcPr>
                      <w:p>
                        <w:pPr>
                          <w:pStyle w:val="TableParagraph"/>
                          <w:rPr>
                            <w:rFonts w:ascii="Times New Roman"/>
                            <w:sz w:val="12"/>
                          </w:rPr>
                        </w:pPr>
                      </w:p>
                    </w:tc>
                    <w:tc>
                      <w:tcPr>
                        <w:tcW w:w="676" w:type="dxa"/>
                      </w:tcPr>
                      <w:p>
                        <w:pPr>
                          <w:pStyle w:val="TableParagraph"/>
                          <w:rPr>
                            <w:rFonts w:ascii="Times New Roman"/>
                            <w:sz w:val="12"/>
                          </w:rPr>
                        </w:pPr>
                      </w:p>
                    </w:tc>
                    <w:tc>
                      <w:tcPr>
                        <w:tcW w:w="727" w:type="dxa"/>
                      </w:tcPr>
                      <w:p>
                        <w:pPr>
                          <w:pStyle w:val="TableParagraph"/>
                          <w:spacing w:line="147" w:lineRule="exact" w:before="17"/>
                          <w:ind w:left="221"/>
                          <w:rPr>
                            <w:sz w:val="12"/>
                          </w:rPr>
                        </w:pPr>
                        <w:r>
                          <w:rPr>
                            <w:sz w:val="12"/>
                          </w:rPr>
                          <w:t>0%</w:t>
                        </w:r>
                      </w:p>
                    </w:tc>
                    <w:tc>
                      <w:tcPr>
                        <w:tcW w:w="810" w:type="dxa"/>
                      </w:tcPr>
                      <w:p>
                        <w:pPr>
                          <w:pStyle w:val="TableParagraph"/>
                          <w:spacing w:line="147" w:lineRule="exact" w:before="17"/>
                          <w:ind w:right="228"/>
                          <w:jc w:val="right"/>
                          <w:rPr>
                            <w:sz w:val="12"/>
                          </w:rPr>
                        </w:pPr>
                        <w:r>
                          <w:rPr>
                            <w:w w:val="105"/>
                            <w:sz w:val="12"/>
                          </w:rPr>
                          <w:t>2.30%</w:t>
                        </w:r>
                      </w:p>
                    </w:tc>
                    <w:tc>
                      <w:tcPr>
                        <w:tcW w:w="890" w:type="dxa"/>
                      </w:tcPr>
                      <w:p>
                        <w:pPr>
                          <w:pStyle w:val="TableParagraph"/>
                          <w:spacing w:line="147" w:lineRule="exact" w:before="17"/>
                          <w:ind w:left="229"/>
                          <w:rPr>
                            <w:sz w:val="12"/>
                          </w:rPr>
                        </w:pPr>
                        <w:r>
                          <w:rPr>
                            <w:sz w:val="12"/>
                          </w:rPr>
                          <w:t>NR</w:t>
                        </w:r>
                      </w:p>
                    </w:tc>
                    <w:tc>
                      <w:tcPr>
                        <w:tcW w:w="693" w:type="dxa"/>
                      </w:tcPr>
                      <w:p>
                        <w:pPr>
                          <w:pStyle w:val="TableParagraph"/>
                          <w:spacing w:line="147" w:lineRule="exact" w:before="17"/>
                          <w:ind w:left="318"/>
                          <w:rPr>
                            <w:sz w:val="12"/>
                          </w:rPr>
                        </w:pPr>
                        <w:r>
                          <w:rPr>
                            <w:w w:val="110"/>
                            <w:sz w:val="12"/>
                          </w:rPr>
                          <w:t>2.30%</w:t>
                        </w:r>
                      </w:p>
                    </w:tc>
                  </w:tr>
                  <w:tr>
                    <w:trPr>
                      <w:trHeight w:val="172" w:hRule="atLeast"/>
                    </w:trPr>
                    <w:tc>
                      <w:tcPr>
                        <w:tcW w:w="1913" w:type="dxa"/>
                      </w:tcPr>
                      <w:p>
                        <w:pPr>
                          <w:pStyle w:val="TableParagraph"/>
                          <w:rPr>
                            <w:rFonts w:ascii="Times New Roman"/>
                            <w:sz w:val="10"/>
                          </w:rPr>
                        </w:pPr>
                      </w:p>
                    </w:tc>
                    <w:tc>
                      <w:tcPr>
                        <w:tcW w:w="714" w:type="dxa"/>
                      </w:tcPr>
                      <w:p>
                        <w:pPr>
                          <w:pStyle w:val="TableParagraph"/>
                          <w:spacing w:line="139" w:lineRule="exact"/>
                          <w:ind w:right="209"/>
                          <w:jc w:val="right"/>
                          <w:rPr>
                            <w:sz w:val="12"/>
                          </w:rPr>
                        </w:pPr>
                        <w:r>
                          <w:rPr>
                            <w:w w:val="125"/>
                            <w:sz w:val="12"/>
                          </w:rPr>
                          <w:t>41</w:t>
                        </w:r>
                      </w:p>
                    </w:tc>
                    <w:tc>
                      <w:tcPr>
                        <w:tcW w:w="543" w:type="dxa"/>
                      </w:tcPr>
                      <w:p>
                        <w:pPr>
                          <w:pStyle w:val="TableParagraph"/>
                          <w:rPr>
                            <w:rFonts w:ascii="Times New Roman"/>
                            <w:sz w:val="10"/>
                          </w:rPr>
                        </w:pPr>
                      </w:p>
                    </w:tc>
                    <w:tc>
                      <w:tcPr>
                        <w:tcW w:w="363" w:type="dxa"/>
                      </w:tcPr>
                      <w:p>
                        <w:pPr>
                          <w:pStyle w:val="TableParagraph"/>
                          <w:spacing w:line="139" w:lineRule="exact"/>
                          <w:ind w:right="25"/>
                          <w:jc w:val="center"/>
                          <w:rPr>
                            <w:sz w:val="12"/>
                          </w:rPr>
                        </w:pPr>
                        <w:r>
                          <w:rPr>
                            <w:w w:val="99"/>
                            <w:sz w:val="12"/>
                          </w:rPr>
                          <w:t>Q</w:t>
                        </w:r>
                      </w:p>
                    </w:tc>
                    <w:tc>
                      <w:tcPr>
                        <w:tcW w:w="586" w:type="dxa"/>
                      </w:tcPr>
                      <w:p>
                        <w:pPr>
                          <w:pStyle w:val="TableParagraph"/>
                          <w:rPr>
                            <w:rFonts w:ascii="Times New Roman"/>
                            <w:sz w:val="10"/>
                          </w:rPr>
                        </w:pPr>
                      </w:p>
                    </w:tc>
                    <w:tc>
                      <w:tcPr>
                        <w:tcW w:w="577" w:type="dxa"/>
                      </w:tcPr>
                      <w:p>
                        <w:pPr>
                          <w:pStyle w:val="TableParagraph"/>
                          <w:spacing w:line="139" w:lineRule="exact"/>
                          <w:ind w:left="227"/>
                          <w:rPr>
                            <w:sz w:val="12"/>
                          </w:rPr>
                        </w:pPr>
                        <w:r>
                          <w:rPr>
                            <w:w w:val="99"/>
                            <w:sz w:val="12"/>
                          </w:rPr>
                          <w:t>Q</w:t>
                        </w:r>
                      </w:p>
                    </w:tc>
                    <w:tc>
                      <w:tcPr>
                        <w:tcW w:w="950" w:type="dxa"/>
                      </w:tcPr>
                      <w:p>
                        <w:pPr>
                          <w:pStyle w:val="TableParagraph"/>
                          <w:rPr>
                            <w:rFonts w:ascii="Times New Roman"/>
                            <w:sz w:val="10"/>
                          </w:rPr>
                        </w:pPr>
                      </w:p>
                    </w:tc>
                    <w:tc>
                      <w:tcPr>
                        <w:tcW w:w="1011" w:type="dxa"/>
                      </w:tcPr>
                      <w:p>
                        <w:pPr>
                          <w:pStyle w:val="TableParagraph"/>
                          <w:rPr>
                            <w:rFonts w:ascii="Times New Roman"/>
                            <w:sz w:val="10"/>
                          </w:rPr>
                        </w:pPr>
                      </w:p>
                    </w:tc>
                    <w:tc>
                      <w:tcPr>
                        <w:tcW w:w="1386" w:type="dxa"/>
                      </w:tcPr>
                      <w:p>
                        <w:pPr>
                          <w:pStyle w:val="TableParagraph"/>
                          <w:spacing w:line="132" w:lineRule="exact"/>
                          <w:ind w:left="316"/>
                          <w:rPr>
                            <w:rFonts w:ascii="Lucida Sans"/>
                            <w:sz w:val="12"/>
                          </w:rPr>
                        </w:pPr>
                        <w:r>
                          <w:rPr>
                            <w:rFonts w:ascii="Lucida Sans"/>
                            <w:w w:val="174"/>
                            <w:sz w:val="12"/>
                          </w:rPr>
                          <w:t>C</w:t>
                        </w:r>
                      </w:p>
                    </w:tc>
                    <w:tc>
                      <w:tcPr>
                        <w:tcW w:w="2783" w:type="dxa"/>
                        <w:gridSpan w:val="3"/>
                      </w:tcPr>
                      <w:p>
                        <w:pPr>
                          <w:pStyle w:val="TableParagraph"/>
                          <w:spacing w:line="139" w:lineRule="exact"/>
                          <w:ind w:right="345"/>
                          <w:jc w:val="right"/>
                          <w:rPr>
                            <w:sz w:val="12"/>
                          </w:rPr>
                        </w:pPr>
                        <w:r>
                          <w:rPr>
                            <w:w w:val="95"/>
                            <w:sz w:val="12"/>
                          </w:rPr>
                          <w:t>0%</w:t>
                        </w:r>
                      </w:p>
                    </w:tc>
                    <w:tc>
                      <w:tcPr>
                        <w:tcW w:w="810" w:type="dxa"/>
                      </w:tcPr>
                      <w:p>
                        <w:pPr>
                          <w:pStyle w:val="TableParagraph"/>
                          <w:spacing w:line="139" w:lineRule="exact"/>
                          <w:ind w:right="228"/>
                          <w:jc w:val="right"/>
                          <w:rPr>
                            <w:sz w:val="12"/>
                          </w:rPr>
                        </w:pPr>
                        <w:r>
                          <w:rPr>
                            <w:w w:val="105"/>
                            <w:sz w:val="12"/>
                          </w:rPr>
                          <w:t>7.50%</w:t>
                        </w:r>
                      </w:p>
                    </w:tc>
                    <w:tc>
                      <w:tcPr>
                        <w:tcW w:w="1583" w:type="dxa"/>
                        <w:gridSpan w:val="2"/>
                      </w:tcPr>
                      <w:p>
                        <w:pPr>
                          <w:pStyle w:val="TableParagraph"/>
                          <w:tabs>
                            <w:tab w:pos="1127" w:val="left" w:leader="none"/>
                          </w:tabs>
                          <w:spacing w:line="139" w:lineRule="exact"/>
                          <w:ind w:left="229"/>
                          <w:rPr>
                            <w:sz w:val="12"/>
                          </w:rPr>
                        </w:pPr>
                        <w:r>
                          <w:rPr>
                            <w:sz w:val="12"/>
                          </w:rPr>
                          <w:t>NR</w:t>
                          <w:tab/>
                          <w:t>5%</w:t>
                        </w:r>
                      </w:p>
                    </w:tc>
                  </w:tr>
                </w:tbl>
                <w:p>
                  <w:pPr>
                    <w:pStyle w:val="BodyText"/>
                  </w:pPr>
                </w:p>
              </w:txbxContent>
            </v:textbox>
            <w10:wrap type="none"/>
          </v:shape>
        </w:pict>
      </w:r>
      <w:r>
        <w:rPr>
          <w:sz w:val="12"/>
        </w:rPr>
        <w:t>1.1% NR NR NR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4"/>
        </w:rPr>
      </w:pPr>
    </w:p>
    <w:p>
      <w:pPr>
        <w:spacing w:after="0"/>
        <w:rPr>
          <w:sz w:val="24"/>
        </w:rPr>
        <w:sectPr>
          <w:type w:val="continuous"/>
          <w:pgSz w:w="15880" w:h="11910" w:orient="landscape"/>
          <w:pgMar w:top="840" w:bottom="360" w:left="520" w:right="1100"/>
        </w:sectPr>
      </w:pPr>
    </w:p>
    <w:p>
      <w:pPr>
        <w:spacing w:line="276" w:lineRule="auto" w:before="109"/>
        <w:ind w:left="782" w:right="0" w:hanging="160"/>
        <w:jc w:val="left"/>
        <w:rPr>
          <w:sz w:val="12"/>
        </w:rPr>
      </w:pPr>
      <w:r>
        <w:rPr>
          <w:w w:val="115"/>
          <w:sz w:val="12"/>
        </w:rPr>
        <w:t>Sakdinakiattikoon and Tanavalee, 2019 [</w:t>
      </w:r>
      <w:hyperlink w:history="true" w:anchor="_bookmark40">
        <w:r>
          <w:rPr>
            <w:color w:val="007FAC"/>
            <w:w w:val="115"/>
            <w:sz w:val="12"/>
          </w:rPr>
          <w:t>29</w:t>
        </w:r>
      </w:hyperlink>
      <w:r>
        <w:rPr>
          <w:w w:val="115"/>
          <w:sz w:val="12"/>
        </w:rPr>
        <w:t>]</w:t>
      </w:r>
      <w:r>
        <w:rPr>
          <w:w w:val="115"/>
          <w:sz w:val="12"/>
          <w:vertAlign w:val="superscript"/>
        </w:rPr>
        <w:t>,</w:t>
      </w:r>
      <w:hyperlink w:history="true" w:anchor="_bookmark86">
        <w:r>
          <w:rPr>
            <w:color w:val="007FAC"/>
            <w:w w:val="115"/>
            <w:sz w:val="12"/>
            <w:vertAlign w:val="superscript"/>
          </w:rPr>
          <w:t>m</w:t>
        </w:r>
      </w:hyperlink>
    </w:p>
    <w:p>
      <w:pPr>
        <w:spacing w:line="276" w:lineRule="auto" w:before="0"/>
        <w:ind w:left="782" w:right="0" w:hanging="160"/>
        <w:jc w:val="left"/>
        <w:rPr>
          <w:sz w:val="12"/>
        </w:rPr>
      </w:pPr>
      <w:r>
        <w:rPr/>
        <w:pict>
          <v:shape style="position:absolute;margin-left:55.47665pt;margin-top:14.012716pt;width:647.7pt;height:20.7pt;mso-position-horizontal-relative:page;mso-position-vertical-relative:paragraph;z-index:25171558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66"/>
                    <w:gridCol w:w="560"/>
                    <w:gridCol w:w="705"/>
                    <w:gridCol w:w="1367"/>
                    <w:gridCol w:w="1609"/>
                    <w:gridCol w:w="1322"/>
                    <w:gridCol w:w="1674"/>
                    <w:gridCol w:w="1430"/>
                    <w:gridCol w:w="773"/>
                    <w:gridCol w:w="900"/>
                    <w:gridCol w:w="551"/>
                  </w:tblGrid>
                  <w:tr>
                    <w:trPr>
                      <w:trHeight w:val="216" w:hRule="atLeast"/>
                    </w:trPr>
                    <w:tc>
                      <w:tcPr>
                        <w:tcW w:w="2066" w:type="dxa"/>
                      </w:tcPr>
                      <w:p>
                        <w:pPr>
                          <w:pStyle w:val="TableParagraph"/>
                          <w:spacing w:line="134" w:lineRule="exact" w:before="62"/>
                          <w:ind w:left="33"/>
                          <w:rPr>
                            <w:sz w:val="12"/>
                          </w:rPr>
                        </w:pPr>
                        <w:r>
                          <w:rPr>
                            <w:w w:val="115"/>
                            <w:sz w:val="12"/>
                          </w:rPr>
                          <w:t>Sundaram et al., 2019 [</w:t>
                        </w:r>
                        <w:hyperlink w:history="true" w:anchor="_bookmark41">
                          <w:r>
                            <w:rPr>
                              <w:color w:val="007FAC"/>
                              <w:w w:val="115"/>
                              <w:sz w:val="12"/>
                            </w:rPr>
                            <w:t>30</w:t>
                          </w:r>
                        </w:hyperlink>
                        <w:r>
                          <w:rPr>
                            <w:w w:val="115"/>
                            <w:sz w:val="12"/>
                          </w:rPr>
                          <w:t>,</w:t>
                        </w:r>
                        <w:hyperlink w:history="true" w:anchor="_bookmark73">
                          <w:r>
                            <w:rPr>
                              <w:color w:val="007FAC"/>
                              <w:w w:val="115"/>
                              <w:sz w:val="12"/>
                            </w:rPr>
                            <w:t>67</w:t>
                          </w:r>
                        </w:hyperlink>
                        <w:r>
                          <w:rPr>
                            <w:w w:val="115"/>
                            <w:sz w:val="12"/>
                          </w:rPr>
                          <w:t>]</w:t>
                        </w:r>
                        <w:r>
                          <w:rPr>
                            <w:w w:val="115"/>
                            <w:sz w:val="12"/>
                            <w:vertAlign w:val="superscript"/>
                          </w:rPr>
                          <w:t>,</w:t>
                        </w:r>
                        <w:hyperlink w:history="true" w:anchor="_bookmark85">
                          <w:r>
                            <w:rPr>
                              <w:color w:val="007FAC"/>
                              <w:w w:val="115"/>
                              <w:sz w:val="12"/>
                              <w:vertAlign w:val="superscript"/>
                            </w:rPr>
                            <w:t>n</w:t>
                          </w:r>
                        </w:hyperlink>
                      </w:p>
                    </w:tc>
                    <w:tc>
                      <w:tcPr>
                        <w:tcW w:w="560" w:type="dxa"/>
                      </w:tcPr>
                      <w:p>
                        <w:pPr>
                          <w:pStyle w:val="TableParagraph"/>
                          <w:spacing w:line="134" w:lineRule="exact" w:before="62"/>
                          <w:ind w:left="197"/>
                          <w:rPr>
                            <w:sz w:val="12"/>
                          </w:rPr>
                        </w:pPr>
                        <w:r>
                          <w:rPr>
                            <w:w w:val="125"/>
                            <w:sz w:val="12"/>
                          </w:rPr>
                          <w:t>30</w:t>
                        </w:r>
                      </w:p>
                    </w:tc>
                    <w:tc>
                      <w:tcPr>
                        <w:tcW w:w="705" w:type="dxa"/>
                      </w:tcPr>
                      <w:p>
                        <w:pPr>
                          <w:pStyle w:val="TableParagraph"/>
                          <w:spacing w:line="135" w:lineRule="exact" w:before="61"/>
                          <w:ind w:left="212"/>
                          <w:rPr>
                            <w:rFonts w:ascii="Lucida Sans"/>
                            <w:sz w:val="12"/>
                          </w:rPr>
                        </w:pPr>
                        <w:r>
                          <w:rPr>
                            <w:rFonts w:ascii="Lucida Sans"/>
                            <w:w w:val="174"/>
                            <w:sz w:val="12"/>
                          </w:rPr>
                          <w:t>C</w:t>
                        </w:r>
                      </w:p>
                    </w:tc>
                    <w:tc>
                      <w:tcPr>
                        <w:tcW w:w="1367" w:type="dxa"/>
                      </w:tcPr>
                      <w:p>
                        <w:pPr>
                          <w:pStyle w:val="TableParagraph"/>
                          <w:spacing w:line="135" w:lineRule="exact" w:before="61"/>
                          <w:ind w:left="350"/>
                          <w:rPr>
                            <w:rFonts w:ascii="Lucida Sans"/>
                            <w:sz w:val="12"/>
                          </w:rPr>
                        </w:pPr>
                        <w:r>
                          <w:rPr>
                            <w:rFonts w:ascii="Lucida Sans"/>
                            <w:w w:val="174"/>
                            <w:sz w:val="12"/>
                          </w:rPr>
                          <w:t>C</w:t>
                        </w:r>
                      </w:p>
                    </w:tc>
                    <w:tc>
                      <w:tcPr>
                        <w:tcW w:w="1609" w:type="dxa"/>
                      </w:tcPr>
                      <w:p>
                        <w:pPr>
                          <w:pStyle w:val="TableParagraph"/>
                          <w:spacing w:line="134" w:lineRule="exact" w:before="62"/>
                          <w:ind w:left="208"/>
                          <w:jc w:val="center"/>
                          <w:rPr>
                            <w:sz w:val="12"/>
                          </w:rPr>
                        </w:pPr>
                        <w:r>
                          <w:rPr>
                            <w:w w:val="109"/>
                            <w:sz w:val="12"/>
                          </w:rPr>
                          <w:t>S</w:t>
                        </w:r>
                      </w:p>
                    </w:tc>
                    <w:tc>
                      <w:tcPr>
                        <w:tcW w:w="1322" w:type="dxa"/>
                      </w:tcPr>
                      <w:p>
                        <w:pPr>
                          <w:pStyle w:val="TableParagraph"/>
                          <w:rPr>
                            <w:rFonts w:ascii="Times New Roman"/>
                            <w:sz w:val="12"/>
                          </w:rPr>
                        </w:pPr>
                      </w:p>
                    </w:tc>
                    <w:tc>
                      <w:tcPr>
                        <w:tcW w:w="1674" w:type="dxa"/>
                      </w:tcPr>
                      <w:p>
                        <w:pPr>
                          <w:pStyle w:val="TableParagraph"/>
                          <w:spacing w:line="135" w:lineRule="exact" w:before="61"/>
                          <w:ind w:left="510"/>
                          <w:rPr>
                            <w:rFonts w:ascii="Lucida Sans"/>
                            <w:sz w:val="12"/>
                          </w:rPr>
                        </w:pPr>
                        <w:r>
                          <w:rPr>
                            <w:rFonts w:ascii="Lucida Sans"/>
                            <w:w w:val="174"/>
                            <w:sz w:val="12"/>
                          </w:rPr>
                          <w:t>C</w:t>
                        </w:r>
                      </w:p>
                    </w:tc>
                    <w:tc>
                      <w:tcPr>
                        <w:tcW w:w="1430" w:type="dxa"/>
                      </w:tcPr>
                      <w:p>
                        <w:pPr>
                          <w:pStyle w:val="TableParagraph"/>
                          <w:spacing w:line="134" w:lineRule="exact" w:before="62"/>
                          <w:ind w:right="252"/>
                          <w:jc w:val="right"/>
                          <w:rPr>
                            <w:sz w:val="12"/>
                          </w:rPr>
                        </w:pPr>
                        <w:r>
                          <w:rPr>
                            <w:w w:val="95"/>
                            <w:sz w:val="12"/>
                          </w:rPr>
                          <w:t>0%</w:t>
                        </w:r>
                      </w:p>
                    </w:tc>
                    <w:tc>
                      <w:tcPr>
                        <w:tcW w:w="773" w:type="dxa"/>
                      </w:tcPr>
                      <w:p>
                        <w:pPr>
                          <w:pStyle w:val="TableParagraph"/>
                          <w:spacing w:line="134" w:lineRule="exact" w:before="62"/>
                          <w:ind w:left="252"/>
                          <w:rPr>
                            <w:sz w:val="12"/>
                          </w:rPr>
                        </w:pPr>
                        <w:r>
                          <w:rPr>
                            <w:sz w:val="12"/>
                          </w:rPr>
                          <w:t>3%</w:t>
                        </w:r>
                      </w:p>
                    </w:tc>
                    <w:tc>
                      <w:tcPr>
                        <w:tcW w:w="900" w:type="dxa"/>
                      </w:tcPr>
                      <w:p>
                        <w:pPr>
                          <w:pStyle w:val="TableParagraph"/>
                          <w:spacing w:line="134" w:lineRule="exact" w:before="62"/>
                          <w:ind w:left="359"/>
                          <w:rPr>
                            <w:sz w:val="12"/>
                          </w:rPr>
                        </w:pPr>
                        <w:r>
                          <w:rPr>
                            <w:sz w:val="12"/>
                          </w:rPr>
                          <w:t>NR</w:t>
                        </w:r>
                      </w:p>
                    </w:tc>
                    <w:tc>
                      <w:tcPr>
                        <w:tcW w:w="551" w:type="dxa"/>
                      </w:tcPr>
                      <w:p>
                        <w:pPr>
                          <w:pStyle w:val="TableParagraph"/>
                          <w:spacing w:line="134" w:lineRule="exact" w:before="62"/>
                          <w:ind w:right="34"/>
                          <w:jc w:val="right"/>
                          <w:rPr>
                            <w:sz w:val="12"/>
                          </w:rPr>
                        </w:pPr>
                        <w:r>
                          <w:rPr>
                            <w:w w:val="95"/>
                            <w:sz w:val="12"/>
                          </w:rPr>
                          <w:t>3%</w:t>
                        </w:r>
                      </w:p>
                    </w:tc>
                  </w:tr>
                  <w:tr>
                    <w:trPr>
                      <w:trHeight w:val="197" w:hRule="atLeast"/>
                    </w:trPr>
                    <w:tc>
                      <w:tcPr>
                        <w:tcW w:w="2066" w:type="dxa"/>
                      </w:tcPr>
                      <w:p>
                        <w:pPr>
                          <w:pStyle w:val="TableParagraph"/>
                          <w:rPr>
                            <w:rFonts w:ascii="Times New Roman"/>
                            <w:sz w:val="12"/>
                          </w:rPr>
                        </w:pPr>
                      </w:p>
                    </w:tc>
                    <w:tc>
                      <w:tcPr>
                        <w:tcW w:w="560" w:type="dxa"/>
                      </w:tcPr>
                      <w:p>
                        <w:pPr>
                          <w:pStyle w:val="TableParagraph"/>
                          <w:spacing w:line="147" w:lineRule="exact" w:before="17"/>
                          <w:ind w:left="197"/>
                          <w:rPr>
                            <w:sz w:val="12"/>
                          </w:rPr>
                        </w:pPr>
                        <w:r>
                          <w:rPr>
                            <w:w w:val="125"/>
                            <w:sz w:val="12"/>
                          </w:rPr>
                          <w:t>30</w:t>
                        </w:r>
                      </w:p>
                    </w:tc>
                    <w:tc>
                      <w:tcPr>
                        <w:tcW w:w="705" w:type="dxa"/>
                      </w:tcPr>
                      <w:p>
                        <w:pPr>
                          <w:pStyle w:val="TableParagraph"/>
                          <w:spacing w:before="16"/>
                          <w:ind w:left="212"/>
                          <w:rPr>
                            <w:rFonts w:ascii="Lucida Sans"/>
                            <w:sz w:val="12"/>
                          </w:rPr>
                        </w:pPr>
                        <w:r>
                          <w:rPr>
                            <w:rFonts w:ascii="Lucida Sans"/>
                            <w:w w:val="174"/>
                            <w:sz w:val="12"/>
                          </w:rPr>
                          <w:t>C</w:t>
                        </w:r>
                      </w:p>
                    </w:tc>
                    <w:tc>
                      <w:tcPr>
                        <w:tcW w:w="1367" w:type="dxa"/>
                      </w:tcPr>
                      <w:p>
                        <w:pPr>
                          <w:pStyle w:val="TableParagraph"/>
                          <w:spacing w:before="16"/>
                          <w:ind w:left="350"/>
                          <w:rPr>
                            <w:rFonts w:ascii="Lucida Sans"/>
                            <w:sz w:val="12"/>
                          </w:rPr>
                        </w:pPr>
                        <w:r>
                          <w:rPr>
                            <w:rFonts w:ascii="Lucida Sans"/>
                            <w:w w:val="174"/>
                            <w:sz w:val="12"/>
                          </w:rPr>
                          <w:t>C</w:t>
                        </w:r>
                      </w:p>
                    </w:tc>
                    <w:tc>
                      <w:tcPr>
                        <w:tcW w:w="1609" w:type="dxa"/>
                      </w:tcPr>
                      <w:p>
                        <w:pPr>
                          <w:pStyle w:val="TableParagraph"/>
                          <w:rPr>
                            <w:rFonts w:ascii="Times New Roman"/>
                            <w:sz w:val="12"/>
                          </w:rPr>
                        </w:pPr>
                      </w:p>
                    </w:tc>
                    <w:tc>
                      <w:tcPr>
                        <w:tcW w:w="1322" w:type="dxa"/>
                      </w:tcPr>
                      <w:p>
                        <w:pPr>
                          <w:pStyle w:val="TableParagraph"/>
                          <w:spacing w:before="16"/>
                          <w:ind w:left="156"/>
                          <w:jc w:val="center"/>
                          <w:rPr>
                            <w:rFonts w:ascii="Lucida Sans"/>
                            <w:sz w:val="12"/>
                          </w:rPr>
                        </w:pPr>
                        <w:r>
                          <w:rPr>
                            <w:rFonts w:ascii="Lucida Sans"/>
                            <w:w w:val="174"/>
                            <w:sz w:val="12"/>
                          </w:rPr>
                          <w:t>C</w:t>
                        </w:r>
                      </w:p>
                    </w:tc>
                    <w:tc>
                      <w:tcPr>
                        <w:tcW w:w="1674" w:type="dxa"/>
                      </w:tcPr>
                      <w:p>
                        <w:pPr>
                          <w:pStyle w:val="TableParagraph"/>
                          <w:rPr>
                            <w:rFonts w:ascii="Times New Roman"/>
                            <w:sz w:val="12"/>
                          </w:rPr>
                        </w:pPr>
                      </w:p>
                    </w:tc>
                    <w:tc>
                      <w:tcPr>
                        <w:tcW w:w="1430" w:type="dxa"/>
                      </w:tcPr>
                      <w:p>
                        <w:pPr>
                          <w:pStyle w:val="TableParagraph"/>
                          <w:spacing w:line="147" w:lineRule="exact" w:before="17"/>
                          <w:ind w:right="252"/>
                          <w:jc w:val="right"/>
                          <w:rPr>
                            <w:sz w:val="12"/>
                          </w:rPr>
                        </w:pPr>
                        <w:r>
                          <w:rPr>
                            <w:w w:val="95"/>
                            <w:sz w:val="12"/>
                          </w:rPr>
                          <w:t>0%</w:t>
                        </w:r>
                      </w:p>
                    </w:tc>
                    <w:tc>
                      <w:tcPr>
                        <w:tcW w:w="773" w:type="dxa"/>
                      </w:tcPr>
                      <w:p>
                        <w:pPr>
                          <w:pStyle w:val="TableParagraph"/>
                          <w:spacing w:line="147" w:lineRule="exact" w:before="17"/>
                          <w:ind w:left="252"/>
                          <w:rPr>
                            <w:sz w:val="12"/>
                          </w:rPr>
                        </w:pPr>
                        <w:r>
                          <w:rPr>
                            <w:sz w:val="12"/>
                          </w:rPr>
                          <w:t>0%</w:t>
                        </w:r>
                      </w:p>
                    </w:tc>
                    <w:tc>
                      <w:tcPr>
                        <w:tcW w:w="900" w:type="dxa"/>
                      </w:tcPr>
                      <w:p>
                        <w:pPr>
                          <w:pStyle w:val="TableParagraph"/>
                          <w:spacing w:line="147" w:lineRule="exact" w:before="17"/>
                          <w:ind w:left="359"/>
                          <w:rPr>
                            <w:sz w:val="12"/>
                          </w:rPr>
                        </w:pPr>
                        <w:r>
                          <w:rPr>
                            <w:sz w:val="12"/>
                          </w:rPr>
                          <w:t>NR</w:t>
                        </w:r>
                      </w:p>
                    </w:tc>
                    <w:tc>
                      <w:tcPr>
                        <w:tcW w:w="551" w:type="dxa"/>
                      </w:tcPr>
                      <w:p>
                        <w:pPr>
                          <w:pStyle w:val="TableParagraph"/>
                          <w:spacing w:line="147" w:lineRule="exact" w:before="17"/>
                          <w:ind w:right="34"/>
                          <w:jc w:val="right"/>
                          <w:rPr>
                            <w:sz w:val="12"/>
                          </w:rPr>
                        </w:pPr>
                        <w:r>
                          <w:rPr>
                            <w:w w:val="95"/>
                            <w:sz w:val="12"/>
                          </w:rPr>
                          <w:t>0%</w:t>
                        </w:r>
                      </w:p>
                    </w:tc>
                  </w:tr>
                </w:tbl>
                <w:p>
                  <w:pPr>
                    <w:pStyle w:val="BodyText"/>
                  </w:pPr>
                </w:p>
              </w:txbxContent>
            </v:textbox>
            <w10:wrap type="none"/>
          </v:shape>
        </w:pict>
      </w:r>
      <w:r>
        <w:rPr>
          <w:w w:val="115"/>
          <w:sz w:val="12"/>
        </w:rPr>
        <w:t>Yuenyongviwat et al., </w:t>
      </w:r>
      <w:r>
        <w:rPr>
          <w:w w:val="120"/>
          <w:sz w:val="12"/>
        </w:rPr>
        <w:t>2019 [</w:t>
      </w:r>
      <w:hyperlink w:history="true" w:anchor="_bookmark62">
        <w:r>
          <w:rPr>
            <w:color w:val="007FAC"/>
            <w:w w:val="120"/>
            <w:sz w:val="12"/>
          </w:rPr>
          <w:t>51</w:t>
        </w:r>
      </w:hyperlink>
      <w:r>
        <w:rPr>
          <w:w w:val="120"/>
          <w:sz w:val="12"/>
        </w:rPr>
        <w:t>]</w:t>
      </w:r>
    </w:p>
    <w:p>
      <w:pPr>
        <w:pStyle w:val="BodyText"/>
        <w:spacing w:before="11"/>
        <w:rPr>
          <w:sz w:val="4"/>
        </w:rPr>
      </w:pPr>
      <w:r>
        <w:rPr/>
        <w:br w:type="column"/>
      </w:r>
      <w:r>
        <w:rPr>
          <w:sz w:val="4"/>
        </w:rPr>
      </w:r>
    </w:p>
    <w:tbl>
      <w:tblPr>
        <w:tblW w:w="0" w:type="auto"/>
        <w:jc w:val="left"/>
        <w:tblInd w:w="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7"/>
        <w:gridCol w:w="906"/>
        <w:gridCol w:w="586"/>
        <w:gridCol w:w="577"/>
        <w:gridCol w:w="671"/>
        <w:gridCol w:w="2333"/>
        <w:gridCol w:w="2394"/>
        <w:gridCol w:w="637"/>
        <w:gridCol w:w="772"/>
        <w:gridCol w:w="927"/>
        <w:gridCol w:w="523"/>
      </w:tblGrid>
      <w:tr>
        <w:trPr>
          <w:trHeight w:val="197" w:hRule="atLeast"/>
        </w:trPr>
        <w:tc>
          <w:tcPr>
            <w:tcW w:w="397" w:type="dxa"/>
          </w:tcPr>
          <w:p>
            <w:pPr>
              <w:pStyle w:val="TableParagraph"/>
              <w:spacing w:line="129" w:lineRule="exact" w:before="48"/>
              <w:ind w:left="33"/>
              <w:rPr>
                <w:sz w:val="12"/>
              </w:rPr>
            </w:pPr>
            <w:r>
              <w:rPr>
                <w:w w:val="125"/>
                <w:sz w:val="12"/>
              </w:rPr>
              <w:t>30</w:t>
            </w:r>
          </w:p>
        </w:tc>
        <w:tc>
          <w:tcPr>
            <w:tcW w:w="906" w:type="dxa"/>
          </w:tcPr>
          <w:p>
            <w:pPr>
              <w:pStyle w:val="TableParagraph"/>
              <w:spacing w:line="129" w:lineRule="exact" w:before="48"/>
              <w:ind w:left="211"/>
              <w:rPr>
                <w:sz w:val="12"/>
              </w:rPr>
            </w:pPr>
            <w:r>
              <w:rPr>
                <w:sz w:val="12"/>
              </w:rPr>
              <w:t>AM</w:t>
            </w:r>
          </w:p>
        </w:tc>
        <w:tc>
          <w:tcPr>
            <w:tcW w:w="586" w:type="dxa"/>
          </w:tcPr>
          <w:p>
            <w:pPr>
              <w:pStyle w:val="TableParagraph"/>
              <w:spacing w:line="129" w:lineRule="exact" w:before="48"/>
              <w:ind w:left="147"/>
              <w:rPr>
                <w:sz w:val="12"/>
              </w:rPr>
            </w:pPr>
            <w:r>
              <w:rPr>
                <w:sz w:val="12"/>
              </w:rPr>
              <w:t>AM</w:t>
            </w:r>
          </w:p>
        </w:tc>
        <w:tc>
          <w:tcPr>
            <w:tcW w:w="577" w:type="dxa"/>
          </w:tcPr>
          <w:p>
            <w:pPr>
              <w:pStyle w:val="TableParagraph"/>
              <w:rPr>
                <w:rFonts w:ascii="Times New Roman"/>
                <w:sz w:val="12"/>
              </w:rPr>
            </w:pPr>
          </w:p>
        </w:tc>
        <w:tc>
          <w:tcPr>
            <w:tcW w:w="671" w:type="dxa"/>
          </w:tcPr>
          <w:p>
            <w:pPr>
              <w:pStyle w:val="TableParagraph"/>
              <w:spacing w:line="129" w:lineRule="exact" w:before="48"/>
              <w:ind w:left="254"/>
              <w:rPr>
                <w:sz w:val="12"/>
              </w:rPr>
            </w:pPr>
            <w:r>
              <w:rPr>
                <w:sz w:val="12"/>
              </w:rPr>
              <w:t>AM</w:t>
            </w:r>
          </w:p>
        </w:tc>
        <w:tc>
          <w:tcPr>
            <w:tcW w:w="2333" w:type="dxa"/>
          </w:tcPr>
          <w:p>
            <w:pPr>
              <w:pStyle w:val="TableParagraph"/>
              <w:rPr>
                <w:rFonts w:ascii="Times New Roman"/>
                <w:sz w:val="12"/>
              </w:rPr>
            </w:pPr>
          </w:p>
        </w:tc>
        <w:tc>
          <w:tcPr>
            <w:tcW w:w="2394" w:type="dxa"/>
          </w:tcPr>
          <w:p>
            <w:pPr>
              <w:pStyle w:val="TableParagraph"/>
              <w:spacing w:line="129" w:lineRule="exact" w:before="48"/>
              <w:ind w:right="224"/>
              <w:jc w:val="right"/>
              <w:rPr>
                <w:sz w:val="12"/>
              </w:rPr>
            </w:pPr>
            <w:r>
              <w:rPr>
                <w:w w:val="95"/>
                <w:sz w:val="12"/>
              </w:rPr>
              <w:t>LS</w:t>
            </w:r>
          </w:p>
        </w:tc>
        <w:tc>
          <w:tcPr>
            <w:tcW w:w="637" w:type="dxa"/>
          </w:tcPr>
          <w:p>
            <w:pPr>
              <w:pStyle w:val="TableParagraph"/>
              <w:spacing w:line="129" w:lineRule="exact" w:before="48"/>
              <w:ind w:left="202" w:right="226"/>
              <w:jc w:val="center"/>
              <w:rPr>
                <w:sz w:val="12"/>
              </w:rPr>
            </w:pPr>
            <w:r>
              <w:rPr>
                <w:sz w:val="12"/>
              </w:rPr>
              <w:t>0%</w:t>
            </w:r>
          </w:p>
        </w:tc>
        <w:tc>
          <w:tcPr>
            <w:tcW w:w="772" w:type="dxa"/>
          </w:tcPr>
          <w:p>
            <w:pPr>
              <w:pStyle w:val="TableParagraph"/>
              <w:spacing w:line="129" w:lineRule="exact" w:before="48"/>
              <w:ind w:left="254"/>
              <w:rPr>
                <w:sz w:val="12"/>
              </w:rPr>
            </w:pPr>
            <w:r>
              <w:rPr>
                <w:sz w:val="12"/>
              </w:rPr>
              <w:t>0%</w:t>
            </w:r>
          </w:p>
        </w:tc>
        <w:tc>
          <w:tcPr>
            <w:tcW w:w="927" w:type="dxa"/>
          </w:tcPr>
          <w:p>
            <w:pPr>
              <w:pStyle w:val="TableParagraph"/>
              <w:spacing w:line="129" w:lineRule="exact" w:before="48"/>
              <w:ind w:left="335" w:right="306"/>
              <w:jc w:val="center"/>
              <w:rPr>
                <w:sz w:val="12"/>
              </w:rPr>
            </w:pPr>
            <w:r>
              <w:rPr>
                <w:w w:val="105"/>
                <w:sz w:val="12"/>
              </w:rPr>
              <w:t>10%</w:t>
            </w:r>
          </w:p>
        </w:tc>
        <w:tc>
          <w:tcPr>
            <w:tcW w:w="523" w:type="dxa"/>
          </w:tcPr>
          <w:p>
            <w:pPr>
              <w:pStyle w:val="TableParagraph"/>
              <w:spacing w:line="129" w:lineRule="exact" w:before="48"/>
              <w:ind w:right="30"/>
              <w:jc w:val="right"/>
              <w:rPr>
                <w:sz w:val="12"/>
              </w:rPr>
            </w:pPr>
            <w:r>
              <w:rPr>
                <w:w w:val="95"/>
                <w:sz w:val="12"/>
              </w:rPr>
              <w:t>0%</w:t>
            </w:r>
          </w:p>
        </w:tc>
      </w:tr>
      <w:tr>
        <w:trPr>
          <w:trHeight w:val="197" w:hRule="atLeast"/>
        </w:trPr>
        <w:tc>
          <w:tcPr>
            <w:tcW w:w="397" w:type="dxa"/>
          </w:tcPr>
          <w:p>
            <w:pPr>
              <w:pStyle w:val="TableParagraph"/>
              <w:spacing w:line="147" w:lineRule="exact" w:before="22"/>
              <w:ind w:left="33"/>
              <w:rPr>
                <w:sz w:val="12"/>
              </w:rPr>
            </w:pPr>
            <w:r>
              <w:rPr>
                <w:w w:val="125"/>
                <w:sz w:val="12"/>
              </w:rPr>
              <w:t>30</w:t>
            </w:r>
          </w:p>
        </w:tc>
        <w:tc>
          <w:tcPr>
            <w:tcW w:w="906" w:type="dxa"/>
          </w:tcPr>
          <w:p>
            <w:pPr>
              <w:pStyle w:val="TableParagraph"/>
              <w:spacing w:line="147" w:lineRule="exact" w:before="22"/>
              <w:ind w:right="146"/>
              <w:jc w:val="right"/>
              <w:rPr>
                <w:sz w:val="12"/>
              </w:rPr>
            </w:pPr>
            <w:r>
              <w:rPr>
                <w:w w:val="99"/>
                <w:sz w:val="12"/>
              </w:rPr>
              <w:t>Q</w:t>
            </w:r>
          </w:p>
        </w:tc>
        <w:tc>
          <w:tcPr>
            <w:tcW w:w="586" w:type="dxa"/>
          </w:tcPr>
          <w:p>
            <w:pPr>
              <w:pStyle w:val="TableParagraph"/>
              <w:rPr>
                <w:rFonts w:ascii="Times New Roman"/>
                <w:sz w:val="12"/>
              </w:rPr>
            </w:pPr>
          </w:p>
        </w:tc>
        <w:tc>
          <w:tcPr>
            <w:tcW w:w="577" w:type="dxa"/>
          </w:tcPr>
          <w:p>
            <w:pPr>
              <w:pStyle w:val="TableParagraph"/>
              <w:spacing w:line="147" w:lineRule="exact" w:before="22"/>
              <w:ind w:right="26"/>
              <w:jc w:val="center"/>
              <w:rPr>
                <w:sz w:val="12"/>
              </w:rPr>
            </w:pPr>
            <w:r>
              <w:rPr>
                <w:w w:val="99"/>
                <w:sz w:val="12"/>
              </w:rPr>
              <w:t>Q</w:t>
            </w:r>
          </w:p>
        </w:tc>
        <w:tc>
          <w:tcPr>
            <w:tcW w:w="671" w:type="dxa"/>
          </w:tcPr>
          <w:p>
            <w:pPr>
              <w:pStyle w:val="TableParagraph"/>
              <w:rPr>
                <w:rFonts w:ascii="Times New Roman"/>
                <w:sz w:val="12"/>
              </w:rPr>
            </w:pPr>
          </w:p>
        </w:tc>
        <w:tc>
          <w:tcPr>
            <w:tcW w:w="2333" w:type="dxa"/>
          </w:tcPr>
          <w:p>
            <w:pPr>
              <w:pStyle w:val="TableParagraph"/>
              <w:spacing w:line="147" w:lineRule="exact" w:before="22"/>
              <w:ind w:left="204"/>
              <w:rPr>
                <w:sz w:val="12"/>
              </w:rPr>
            </w:pPr>
            <w:r>
              <w:rPr>
                <w:w w:val="99"/>
                <w:sz w:val="12"/>
              </w:rPr>
              <w:t>Q</w:t>
            </w:r>
          </w:p>
        </w:tc>
        <w:tc>
          <w:tcPr>
            <w:tcW w:w="2394" w:type="dxa"/>
          </w:tcPr>
          <w:p>
            <w:pPr>
              <w:pStyle w:val="TableParagraph"/>
              <w:spacing w:line="147" w:lineRule="exact" w:before="22"/>
              <w:ind w:right="224"/>
              <w:jc w:val="right"/>
              <w:rPr>
                <w:sz w:val="12"/>
              </w:rPr>
            </w:pPr>
            <w:r>
              <w:rPr>
                <w:w w:val="95"/>
                <w:sz w:val="12"/>
              </w:rPr>
              <w:t>LS</w:t>
            </w:r>
          </w:p>
        </w:tc>
        <w:tc>
          <w:tcPr>
            <w:tcW w:w="637" w:type="dxa"/>
          </w:tcPr>
          <w:p>
            <w:pPr>
              <w:pStyle w:val="TableParagraph"/>
              <w:spacing w:line="147" w:lineRule="exact" w:before="22"/>
              <w:ind w:left="202" w:right="226"/>
              <w:jc w:val="center"/>
              <w:rPr>
                <w:sz w:val="12"/>
              </w:rPr>
            </w:pPr>
            <w:r>
              <w:rPr>
                <w:w w:val="105"/>
                <w:sz w:val="12"/>
              </w:rPr>
              <w:t>0%</w:t>
            </w:r>
          </w:p>
        </w:tc>
        <w:tc>
          <w:tcPr>
            <w:tcW w:w="772" w:type="dxa"/>
          </w:tcPr>
          <w:p>
            <w:pPr>
              <w:pStyle w:val="TableParagraph"/>
              <w:spacing w:line="147" w:lineRule="exact" w:before="22"/>
              <w:ind w:left="254"/>
              <w:rPr>
                <w:sz w:val="12"/>
              </w:rPr>
            </w:pPr>
            <w:r>
              <w:rPr>
                <w:w w:val="105"/>
                <w:sz w:val="12"/>
              </w:rPr>
              <w:t>0%</w:t>
            </w:r>
          </w:p>
        </w:tc>
        <w:tc>
          <w:tcPr>
            <w:tcW w:w="927" w:type="dxa"/>
          </w:tcPr>
          <w:p>
            <w:pPr>
              <w:pStyle w:val="TableParagraph"/>
              <w:spacing w:line="147" w:lineRule="exact" w:before="22"/>
              <w:ind w:left="342" w:right="237"/>
              <w:jc w:val="center"/>
              <w:rPr>
                <w:sz w:val="12"/>
              </w:rPr>
            </w:pPr>
            <w:r>
              <w:rPr>
                <w:w w:val="105"/>
                <w:sz w:val="12"/>
              </w:rPr>
              <w:t>7%</w:t>
            </w:r>
          </w:p>
        </w:tc>
        <w:tc>
          <w:tcPr>
            <w:tcW w:w="523" w:type="dxa"/>
          </w:tcPr>
          <w:p>
            <w:pPr>
              <w:pStyle w:val="TableParagraph"/>
              <w:spacing w:line="147" w:lineRule="exact" w:before="22"/>
              <w:ind w:right="30"/>
              <w:jc w:val="right"/>
              <w:rPr>
                <w:sz w:val="12"/>
              </w:rPr>
            </w:pPr>
            <w:r>
              <w:rPr>
                <w:sz w:val="12"/>
              </w:rPr>
              <w:t>0%</w:t>
            </w:r>
          </w:p>
        </w:tc>
      </w:tr>
    </w:tbl>
    <w:p>
      <w:pPr>
        <w:tabs>
          <w:tab w:pos="1227" w:val="left" w:leader="none"/>
          <w:tab w:pos="2069" w:val="left" w:leader="none"/>
          <w:tab w:pos="3339" w:val="left" w:leader="none"/>
          <w:tab w:pos="4519" w:val="left" w:leader="none"/>
          <w:tab w:pos="8122" w:val="left" w:leader="none"/>
          <w:tab w:pos="8791" w:val="left" w:leader="none"/>
        </w:tabs>
        <w:spacing w:before="0"/>
        <w:ind w:left="576" w:right="0" w:firstLine="0"/>
        <w:jc w:val="left"/>
        <w:rPr>
          <w:sz w:val="12"/>
        </w:rPr>
      </w:pPr>
      <w:r>
        <w:rPr>
          <w:w w:val="120"/>
          <w:sz w:val="12"/>
        </w:rPr>
        <w:t>151</w:t>
        <w:tab/>
        <w:t>AM</w:t>
        <w:tab/>
        <w:t>AM</w:t>
        <w:tab/>
      </w:r>
      <w:r>
        <w:rPr>
          <w:rFonts w:ascii="Lucida Sans"/>
          <w:w w:val="145"/>
          <w:sz w:val="12"/>
        </w:rPr>
        <w:t>C</w:t>
        <w:tab/>
      </w:r>
      <w:r>
        <w:rPr>
          <w:rFonts w:ascii="Arial"/>
          <w:w w:val="120"/>
          <w:sz w:val="14"/>
        </w:rPr>
        <w:t>a</w:t>
        <w:tab/>
      </w:r>
      <w:r>
        <w:rPr>
          <w:w w:val="120"/>
          <w:sz w:val="12"/>
        </w:rPr>
        <w:t>SS</w:t>
        <w:tab/>
        <w:t>0.66%</w:t>
      </w:r>
    </w:p>
    <w:p>
      <w:pPr>
        <w:tabs>
          <w:tab w:pos="1227" w:val="left" w:leader="none"/>
          <w:tab w:pos="2069" w:val="left" w:leader="none"/>
          <w:tab w:pos="8122" w:val="left" w:leader="none"/>
          <w:tab w:pos="8709" w:val="left" w:leader="none"/>
        </w:tabs>
        <w:spacing w:before="22"/>
        <w:ind w:left="576" w:right="0" w:firstLine="0"/>
        <w:jc w:val="left"/>
        <w:rPr>
          <w:sz w:val="12"/>
        </w:rPr>
      </w:pPr>
      <w:r>
        <w:rPr/>
        <w:pict>
          <v:shape style="position:absolute;margin-left:607.097534pt;margin-top:-9.610137pt;width:97.15pt;height:19.75pt;mso-position-horizontal-relative:page;mso-position-vertical-relative:paragraph;z-index:25171456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
                    <w:gridCol w:w="768"/>
                    <w:gridCol w:w="571"/>
                  </w:tblGrid>
                  <w:tr>
                    <w:trPr>
                      <w:trHeight w:val="197" w:hRule="atLeast"/>
                    </w:trPr>
                    <w:tc>
                      <w:tcPr>
                        <w:tcW w:w="603" w:type="dxa"/>
                      </w:tcPr>
                      <w:p>
                        <w:pPr>
                          <w:pStyle w:val="TableParagraph"/>
                          <w:spacing w:line="134" w:lineRule="exact" w:before="43"/>
                          <w:ind w:left="33"/>
                          <w:rPr>
                            <w:sz w:val="12"/>
                          </w:rPr>
                        </w:pPr>
                        <w:r>
                          <w:rPr>
                            <w:w w:val="110"/>
                            <w:sz w:val="12"/>
                          </w:rPr>
                          <w:t>1.32%</w:t>
                        </w:r>
                      </w:p>
                    </w:tc>
                    <w:tc>
                      <w:tcPr>
                        <w:tcW w:w="768" w:type="dxa"/>
                      </w:tcPr>
                      <w:p>
                        <w:pPr>
                          <w:pStyle w:val="TableParagraph"/>
                          <w:spacing w:line="134" w:lineRule="exact" w:before="43"/>
                          <w:ind w:left="229"/>
                          <w:rPr>
                            <w:sz w:val="12"/>
                          </w:rPr>
                        </w:pPr>
                        <w:r>
                          <w:rPr>
                            <w:sz w:val="12"/>
                          </w:rPr>
                          <w:t>NR</w:t>
                        </w:r>
                      </w:p>
                    </w:tc>
                    <w:tc>
                      <w:tcPr>
                        <w:tcW w:w="571" w:type="dxa"/>
                      </w:tcPr>
                      <w:p>
                        <w:pPr>
                          <w:pStyle w:val="TableParagraph"/>
                          <w:spacing w:line="134" w:lineRule="exact" w:before="43"/>
                          <w:ind w:right="31"/>
                          <w:jc w:val="right"/>
                          <w:rPr>
                            <w:sz w:val="12"/>
                          </w:rPr>
                        </w:pPr>
                        <w:r>
                          <w:rPr>
                            <w:w w:val="95"/>
                            <w:sz w:val="12"/>
                          </w:rPr>
                          <w:t>NR</w:t>
                        </w:r>
                      </w:p>
                    </w:tc>
                  </w:tr>
                  <w:tr>
                    <w:trPr>
                      <w:trHeight w:val="197" w:hRule="atLeast"/>
                    </w:trPr>
                    <w:tc>
                      <w:tcPr>
                        <w:tcW w:w="603" w:type="dxa"/>
                      </w:tcPr>
                      <w:p>
                        <w:pPr>
                          <w:pStyle w:val="TableParagraph"/>
                          <w:spacing w:line="147" w:lineRule="exact" w:before="17"/>
                          <w:ind w:left="33"/>
                          <w:rPr>
                            <w:sz w:val="12"/>
                          </w:rPr>
                        </w:pPr>
                        <w:r>
                          <w:rPr>
                            <w:w w:val="110"/>
                            <w:sz w:val="12"/>
                          </w:rPr>
                          <w:t>1.46%</w:t>
                        </w:r>
                      </w:p>
                    </w:tc>
                    <w:tc>
                      <w:tcPr>
                        <w:tcW w:w="768" w:type="dxa"/>
                      </w:tcPr>
                      <w:p>
                        <w:pPr>
                          <w:pStyle w:val="TableParagraph"/>
                          <w:spacing w:line="147" w:lineRule="exact" w:before="17"/>
                          <w:ind w:left="229"/>
                          <w:rPr>
                            <w:sz w:val="12"/>
                          </w:rPr>
                        </w:pPr>
                        <w:r>
                          <w:rPr>
                            <w:sz w:val="12"/>
                          </w:rPr>
                          <w:t>NR</w:t>
                        </w:r>
                      </w:p>
                    </w:tc>
                    <w:tc>
                      <w:tcPr>
                        <w:tcW w:w="571" w:type="dxa"/>
                      </w:tcPr>
                      <w:p>
                        <w:pPr>
                          <w:pStyle w:val="TableParagraph"/>
                          <w:spacing w:line="147" w:lineRule="exact" w:before="17"/>
                          <w:ind w:right="31"/>
                          <w:jc w:val="right"/>
                          <w:rPr>
                            <w:sz w:val="12"/>
                          </w:rPr>
                        </w:pPr>
                        <w:r>
                          <w:rPr>
                            <w:w w:val="95"/>
                            <w:sz w:val="12"/>
                          </w:rPr>
                          <w:t>NR</w:t>
                        </w:r>
                      </w:p>
                    </w:tc>
                  </w:tr>
                </w:tbl>
                <w:p>
                  <w:pPr>
                    <w:pStyle w:val="BodyText"/>
                  </w:pPr>
                </w:p>
              </w:txbxContent>
            </v:textbox>
            <w10:wrap type="none"/>
          </v:shape>
        </w:pict>
      </w:r>
      <w:r>
        <w:rPr>
          <w:w w:val="110"/>
          <w:sz w:val="12"/>
        </w:rPr>
        <w:t>137</w:t>
        <w:tab/>
        <w:t>AM</w:t>
        <w:tab/>
        <w:t>AM</w:t>
        <w:tab/>
        <w:t>SS</w:t>
        <w:tab/>
        <w:t>0%</w:t>
      </w:r>
    </w:p>
    <w:p>
      <w:pPr>
        <w:spacing w:after="0"/>
        <w:jc w:val="left"/>
        <w:rPr>
          <w:sz w:val="12"/>
        </w:rPr>
        <w:sectPr>
          <w:type w:val="continuous"/>
          <w:pgSz w:w="15880" w:h="11910" w:orient="landscape"/>
          <w:pgMar w:top="840" w:bottom="360" w:left="520" w:right="1100"/>
          <w:cols w:num="2" w:equalWidth="0">
            <w:col w:w="2161" w:space="40"/>
            <w:col w:w="12059"/>
          </w:cols>
        </w:sectPr>
      </w:pPr>
    </w:p>
    <w:p>
      <w:pPr>
        <w:pStyle w:val="BodyText"/>
        <w:spacing w:before="8"/>
        <w:rPr>
          <w:sz w:val="18"/>
        </w:rPr>
      </w:pPr>
    </w:p>
    <w:p>
      <w:pPr>
        <w:spacing w:after="0"/>
        <w:rPr>
          <w:sz w:val="18"/>
        </w:rPr>
        <w:sectPr>
          <w:type w:val="continuous"/>
          <w:pgSz w:w="15880" w:h="11910" w:orient="landscape"/>
          <w:pgMar w:top="840" w:bottom="360" w:left="520" w:right="1100"/>
        </w:sectPr>
      </w:pPr>
    </w:p>
    <w:p>
      <w:pPr>
        <w:spacing w:line="278" w:lineRule="auto" w:before="110"/>
        <w:ind w:left="782" w:right="-7" w:hanging="160"/>
        <w:jc w:val="left"/>
        <w:rPr>
          <w:sz w:val="12"/>
        </w:rPr>
      </w:pPr>
      <w:r>
        <w:rPr>
          <w:w w:val="115"/>
          <w:sz w:val="12"/>
        </w:rPr>
        <w:t>Akdogan and Atilla, 2020 [</w:t>
      </w:r>
      <w:hyperlink w:history="true" w:anchor="_bookmark65">
        <w:r>
          <w:rPr>
            <w:color w:val="007FAC"/>
            <w:w w:val="115"/>
            <w:sz w:val="12"/>
          </w:rPr>
          <w:t>54</w:t>
        </w:r>
      </w:hyperlink>
      <w:r>
        <w:rPr>
          <w:w w:val="115"/>
          <w:sz w:val="12"/>
        </w:rPr>
        <w:t>]</w:t>
      </w:r>
      <w:r>
        <w:rPr>
          <w:w w:val="115"/>
          <w:sz w:val="12"/>
          <w:vertAlign w:val="superscript"/>
        </w:rPr>
        <w:t>,</w:t>
      </w:r>
      <w:hyperlink w:history="true" w:anchor="_bookmark84">
        <w:r>
          <w:rPr>
            <w:color w:val="007FAC"/>
            <w:w w:val="115"/>
            <w:sz w:val="12"/>
            <w:vertAlign w:val="superscript"/>
          </w:rPr>
          <w:t>o</w:t>
        </w:r>
      </w:hyperlink>
    </w:p>
    <w:p>
      <w:pPr>
        <w:spacing w:line="147" w:lineRule="exact" w:before="0"/>
        <w:ind w:left="622" w:right="0" w:firstLine="0"/>
        <w:jc w:val="left"/>
        <w:rPr>
          <w:sz w:val="12"/>
        </w:rPr>
      </w:pPr>
      <w:r>
        <w:rPr>
          <w:w w:val="120"/>
          <w:sz w:val="12"/>
        </w:rPr>
        <w:t>Anderson, 2020 [</w:t>
      </w:r>
      <w:hyperlink w:history="true" w:anchor="_bookmark64">
        <w:r>
          <w:rPr>
            <w:color w:val="007FAC"/>
            <w:w w:val="120"/>
            <w:sz w:val="12"/>
          </w:rPr>
          <w:t>52</w:t>
        </w:r>
      </w:hyperlink>
      <w:r>
        <w:rPr>
          <w:w w:val="120"/>
          <w:sz w:val="12"/>
        </w:rPr>
        <w:t>]</w:t>
      </w:r>
    </w:p>
    <w:p>
      <w:pPr>
        <w:pStyle w:val="BodyText"/>
      </w:pPr>
      <w:r>
        <w:rPr/>
        <w:br w:type="column"/>
      </w:r>
      <w:r>
        <w:rPr/>
      </w:r>
    </w:p>
    <w:p>
      <w:pPr>
        <w:pStyle w:val="BodyText"/>
      </w:pPr>
    </w:p>
    <w:p>
      <w:pPr>
        <w:pStyle w:val="BodyText"/>
        <w:spacing w:before="5"/>
        <w:rPr>
          <w:sz w:val="22"/>
        </w:rPr>
      </w:pPr>
    </w:p>
    <w:p>
      <w:pPr>
        <w:spacing w:before="0"/>
        <w:ind w:left="622" w:right="0" w:firstLine="0"/>
        <w:jc w:val="left"/>
        <w:rPr>
          <w:sz w:val="12"/>
        </w:rPr>
      </w:pPr>
      <w:r>
        <w:rPr/>
        <w:pict>
          <v:shape style="position:absolute;margin-left:738.212219pt;margin-top:-9.863112pt;width:9.85pt;height:17.4pt;mso-position-horizontal-relative:page;mso-position-vertical-relative:paragraph;z-index:251708416" type="#_x0000_t202" filled="false" stroked="false">
            <v:textbox inset="0,0,0,0" style="layout-flow:vertical">
              <w:txbxContent>
                <w:p>
                  <w:pPr>
                    <w:spacing w:before="29"/>
                    <w:ind w:left="20" w:right="0" w:firstLine="0"/>
                    <w:jc w:val="left"/>
                    <w:rPr>
                      <w:sz w:val="12"/>
                    </w:rPr>
                  </w:pPr>
                  <w:r>
                    <w:rPr>
                      <w:w w:val="115"/>
                      <w:sz w:val="12"/>
                    </w:rPr>
                    <w:t>10.e3</w:t>
                  </w:r>
                </w:p>
              </w:txbxContent>
            </v:textbox>
            <w10:wrap type="none"/>
          </v:shape>
        </w:pict>
      </w:r>
      <w:r>
        <w:rPr/>
        <w:pict>
          <v:shape style="position:absolute;margin-left:163.193100pt;margin-top:-30.439075pt;width:541.050pt;height:28.95pt;mso-position-horizontal-relative:page;mso-position-vertical-relative:paragraph;z-index:25171660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3"/>
                    <w:gridCol w:w="476"/>
                    <w:gridCol w:w="430"/>
                    <w:gridCol w:w="519"/>
                    <w:gridCol w:w="946"/>
                    <w:gridCol w:w="1348"/>
                    <w:gridCol w:w="1283"/>
                    <w:gridCol w:w="997"/>
                    <w:gridCol w:w="1091"/>
                    <w:gridCol w:w="1025"/>
                    <w:gridCol w:w="893"/>
                    <w:gridCol w:w="768"/>
                    <w:gridCol w:w="571"/>
                  </w:tblGrid>
                  <w:tr>
                    <w:trPr>
                      <w:trHeight w:val="203" w:hRule="atLeast"/>
                    </w:trPr>
                    <w:tc>
                      <w:tcPr>
                        <w:tcW w:w="473" w:type="dxa"/>
                      </w:tcPr>
                      <w:p>
                        <w:pPr>
                          <w:pStyle w:val="TableParagraph"/>
                          <w:spacing w:line="141" w:lineRule="exact" w:before="43"/>
                          <w:ind w:left="33"/>
                          <w:rPr>
                            <w:sz w:val="12"/>
                          </w:rPr>
                        </w:pPr>
                        <w:r>
                          <w:rPr>
                            <w:w w:val="125"/>
                            <w:sz w:val="12"/>
                          </w:rPr>
                          <w:t>135</w:t>
                        </w:r>
                      </w:p>
                    </w:tc>
                    <w:tc>
                      <w:tcPr>
                        <w:tcW w:w="476" w:type="dxa"/>
                      </w:tcPr>
                      <w:p>
                        <w:pPr>
                          <w:pStyle w:val="TableParagraph"/>
                          <w:spacing w:line="157" w:lineRule="exact" w:before="27"/>
                          <w:ind w:left="211"/>
                          <w:rPr>
                            <w:rFonts w:ascii="Arial"/>
                            <w:sz w:val="14"/>
                          </w:rPr>
                        </w:pPr>
                        <w:r>
                          <w:rPr>
                            <w:rFonts w:ascii="Arial"/>
                            <w:w w:val="97"/>
                            <w:sz w:val="14"/>
                          </w:rPr>
                          <w:t>a</w:t>
                        </w:r>
                      </w:p>
                    </w:tc>
                    <w:tc>
                      <w:tcPr>
                        <w:tcW w:w="430" w:type="dxa"/>
                      </w:tcPr>
                      <w:p>
                        <w:pPr>
                          <w:pStyle w:val="TableParagraph"/>
                          <w:rPr>
                            <w:rFonts w:ascii="Times New Roman"/>
                            <w:sz w:val="12"/>
                          </w:rPr>
                        </w:pPr>
                      </w:p>
                    </w:tc>
                    <w:tc>
                      <w:tcPr>
                        <w:tcW w:w="519" w:type="dxa"/>
                      </w:tcPr>
                      <w:p>
                        <w:pPr>
                          <w:pStyle w:val="TableParagraph"/>
                          <w:spacing w:line="157" w:lineRule="exact" w:before="27"/>
                          <w:ind w:left="147"/>
                          <w:rPr>
                            <w:rFonts w:ascii="Arial"/>
                            <w:sz w:val="14"/>
                          </w:rPr>
                        </w:pPr>
                        <w:r>
                          <w:rPr>
                            <w:rFonts w:ascii="Arial"/>
                            <w:w w:val="97"/>
                            <w:sz w:val="14"/>
                          </w:rPr>
                          <w:t>a</w:t>
                        </w:r>
                      </w:p>
                    </w:tc>
                    <w:tc>
                      <w:tcPr>
                        <w:tcW w:w="946" w:type="dxa"/>
                      </w:tcPr>
                      <w:p>
                        <w:pPr>
                          <w:pStyle w:val="TableParagraph"/>
                          <w:rPr>
                            <w:rFonts w:ascii="Times New Roman"/>
                            <w:sz w:val="12"/>
                          </w:rPr>
                        </w:pPr>
                      </w:p>
                    </w:tc>
                    <w:tc>
                      <w:tcPr>
                        <w:tcW w:w="1348" w:type="dxa"/>
                      </w:tcPr>
                      <w:p>
                        <w:pPr>
                          <w:pStyle w:val="TableParagraph"/>
                          <w:rPr>
                            <w:rFonts w:ascii="Times New Roman"/>
                            <w:sz w:val="12"/>
                          </w:rPr>
                        </w:pPr>
                      </w:p>
                    </w:tc>
                    <w:tc>
                      <w:tcPr>
                        <w:tcW w:w="1283" w:type="dxa"/>
                      </w:tcPr>
                      <w:p>
                        <w:pPr>
                          <w:pStyle w:val="TableParagraph"/>
                          <w:spacing w:before="42"/>
                          <w:ind w:right="508"/>
                          <w:jc w:val="right"/>
                          <w:rPr>
                            <w:rFonts w:ascii="Lucida Sans"/>
                            <w:sz w:val="12"/>
                          </w:rPr>
                        </w:pPr>
                        <w:r>
                          <w:rPr>
                            <w:rFonts w:ascii="Lucida Sans"/>
                            <w:w w:val="174"/>
                            <w:sz w:val="12"/>
                          </w:rPr>
                          <w:t>C</w:t>
                        </w:r>
                      </w:p>
                    </w:tc>
                    <w:tc>
                      <w:tcPr>
                        <w:tcW w:w="997" w:type="dxa"/>
                      </w:tcPr>
                      <w:p>
                        <w:pPr>
                          <w:pStyle w:val="TableParagraph"/>
                          <w:rPr>
                            <w:rFonts w:ascii="Times New Roman"/>
                            <w:sz w:val="12"/>
                          </w:rPr>
                        </w:pPr>
                      </w:p>
                    </w:tc>
                    <w:tc>
                      <w:tcPr>
                        <w:tcW w:w="1091" w:type="dxa"/>
                      </w:tcPr>
                      <w:p>
                        <w:pPr>
                          <w:pStyle w:val="TableParagraph"/>
                          <w:spacing w:line="141" w:lineRule="exact" w:before="43"/>
                          <w:ind w:left="341"/>
                          <w:rPr>
                            <w:sz w:val="12"/>
                          </w:rPr>
                        </w:pPr>
                        <w:r>
                          <w:rPr>
                            <w:w w:val="93"/>
                            <w:sz w:val="12"/>
                          </w:rPr>
                          <w:t>A</w:t>
                        </w:r>
                      </w:p>
                    </w:tc>
                    <w:tc>
                      <w:tcPr>
                        <w:tcW w:w="1025" w:type="dxa"/>
                      </w:tcPr>
                      <w:p>
                        <w:pPr>
                          <w:pStyle w:val="TableParagraph"/>
                          <w:spacing w:line="141" w:lineRule="exact" w:before="43"/>
                          <w:ind w:right="241"/>
                          <w:jc w:val="right"/>
                          <w:rPr>
                            <w:sz w:val="12"/>
                          </w:rPr>
                        </w:pPr>
                        <w:r>
                          <w:rPr>
                            <w:sz w:val="12"/>
                          </w:rPr>
                          <w:t>NR</w:t>
                        </w:r>
                      </w:p>
                    </w:tc>
                    <w:tc>
                      <w:tcPr>
                        <w:tcW w:w="893" w:type="dxa"/>
                      </w:tcPr>
                      <w:p>
                        <w:pPr>
                          <w:pStyle w:val="TableParagraph"/>
                          <w:spacing w:line="141" w:lineRule="exact" w:before="43"/>
                          <w:ind w:right="228"/>
                          <w:jc w:val="right"/>
                          <w:rPr>
                            <w:sz w:val="12"/>
                          </w:rPr>
                        </w:pPr>
                        <w:r>
                          <w:rPr>
                            <w:w w:val="105"/>
                            <w:sz w:val="12"/>
                          </w:rPr>
                          <w:t>2.20%</w:t>
                        </w:r>
                      </w:p>
                    </w:tc>
                    <w:tc>
                      <w:tcPr>
                        <w:tcW w:w="768" w:type="dxa"/>
                      </w:tcPr>
                      <w:p>
                        <w:pPr>
                          <w:pStyle w:val="TableParagraph"/>
                          <w:spacing w:line="141" w:lineRule="exact" w:before="43"/>
                          <w:ind w:left="229"/>
                          <w:rPr>
                            <w:sz w:val="12"/>
                          </w:rPr>
                        </w:pPr>
                        <w:r>
                          <w:rPr>
                            <w:sz w:val="12"/>
                          </w:rPr>
                          <w:t>NR</w:t>
                        </w:r>
                      </w:p>
                    </w:tc>
                    <w:tc>
                      <w:tcPr>
                        <w:tcW w:w="571" w:type="dxa"/>
                      </w:tcPr>
                      <w:p>
                        <w:pPr>
                          <w:pStyle w:val="TableParagraph"/>
                          <w:spacing w:line="141" w:lineRule="exact" w:before="43"/>
                          <w:ind w:right="31"/>
                          <w:jc w:val="right"/>
                          <w:rPr>
                            <w:sz w:val="12"/>
                          </w:rPr>
                        </w:pPr>
                        <w:r>
                          <w:rPr>
                            <w:w w:val="95"/>
                            <w:sz w:val="12"/>
                          </w:rPr>
                          <w:t>NR</w:t>
                        </w:r>
                      </w:p>
                    </w:tc>
                  </w:tr>
                  <w:tr>
                    <w:trPr>
                      <w:trHeight w:val="171" w:hRule="atLeast"/>
                    </w:trPr>
                    <w:tc>
                      <w:tcPr>
                        <w:tcW w:w="473" w:type="dxa"/>
                      </w:tcPr>
                      <w:p>
                        <w:pPr>
                          <w:pStyle w:val="TableParagraph"/>
                          <w:spacing w:line="140" w:lineRule="exact" w:before="11"/>
                          <w:ind w:left="33"/>
                          <w:rPr>
                            <w:sz w:val="12"/>
                          </w:rPr>
                        </w:pPr>
                        <w:r>
                          <w:rPr>
                            <w:w w:val="125"/>
                            <w:sz w:val="12"/>
                          </w:rPr>
                          <w:t>139</w:t>
                        </w:r>
                      </w:p>
                    </w:tc>
                    <w:tc>
                      <w:tcPr>
                        <w:tcW w:w="476" w:type="dxa"/>
                      </w:tcPr>
                      <w:p>
                        <w:pPr>
                          <w:pStyle w:val="TableParagraph"/>
                          <w:spacing w:line="152" w:lineRule="exact"/>
                          <w:ind w:left="211"/>
                          <w:rPr>
                            <w:rFonts w:ascii="Arial"/>
                            <w:sz w:val="14"/>
                          </w:rPr>
                        </w:pPr>
                        <w:r>
                          <w:rPr>
                            <w:rFonts w:ascii="Arial"/>
                            <w:w w:val="97"/>
                            <w:sz w:val="14"/>
                          </w:rPr>
                          <w:t>a</w:t>
                        </w:r>
                      </w:p>
                    </w:tc>
                    <w:tc>
                      <w:tcPr>
                        <w:tcW w:w="430" w:type="dxa"/>
                      </w:tcPr>
                      <w:p>
                        <w:pPr>
                          <w:pStyle w:val="TableParagraph"/>
                          <w:rPr>
                            <w:rFonts w:ascii="Times New Roman"/>
                            <w:sz w:val="10"/>
                          </w:rPr>
                        </w:pPr>
                      </w:p>
                    </w:tc>
                    <w:tc>
                      <w:tcPr>
                        <w:tcW w:w="519" w:type="dxa"/>
                      </w:tcPr>
                      <w:p>
                        <w:pPr>
                          <w:pStyle w:val="TableParagraph"/>
                          <w:spacing w:line="152" w:lineRule="exact"/>
                          <w:ind w:left="147"/>
                          <w:rPr>
                            <w:rFonts w:ascii="Arial"/>
                            <w:sz w:val="14"/>
                          </w:rPr>
                        </w:pPr>
                        <w:r>
                          <w:rPr>
                            <w:rFonts w:ascii="Arial"/>
                            <w:w w:val="97"/>
                            <w:sz w:val="14"/>
                          </w:rPr>
                          <w:t>a</w:t>
                        </w:r>
                      </w:p>
                    </w:tc>
                    <w:tc>
                      <w:tcPr>
                        <w:tcW w:w="946" w:type="dxa"/>
                      </w:tcPr>
                      <w:p>
                        <w:pPr>
                          <w:pStyle w:val="TableParagraph"/>
                          <w:rPr>
                            <w:rFonts w:ascii="Times New Roman"/>
                            <w:sz w:val="10"/>
                          </w:rPr>
                        </w:pPr>
                      </w:p>
                    </w:tc>
                    <w:tc>
                      <w:tcPr>
                        <w:tcW w:w="1348" w:type="dxa"/>
                      </w:tcPr>
                      <w:p>
                        <w:pPr>
                          <w:pStyle w:val="TableParagraph"/>
                          <w:rPr>
                            <w:rFonts w:ascii="Times New Roman"/>
                            <w:sz w:val="10"/>
                          </w:rPr>
                        </w:pPr>
                      </w:p>
                    </w:tc>
                    <w:tc>
                      <w:tcPr>
                        <w:tcW w:w="1283" w:type="dxa"/>
                      </w:tcPr>
                      <w:p>
                        <w:pPr>
                          <w:pStyle w:val="TableParagraph"/>
                          <w:spacing w:line="141" w:lineRule="exact" w:before="11"/>
                          <w:ind w:right="508"/>
                          <w:jc w:val="right"/>
                          <w:rPr>
                            <w:rFonts w:ascii="Lucida Sans"/>
                            <w:sz w:val="12"/>
                          </w:rPr>
                        </w:pPr>
                        <w:r>
                          <w:rPr>
                            <w:rFonts w:ascii="Lucida Sans"/>
                            <w:w w:val="174"/>
                            <w:sz w:val="12"/>
                          </w:rPr>
                          <w:t>C</w:t>
                        </w:r>
                      </w:p>
                    </w:tc>
                    <w:tc>
                      <w:tcPr>
                        <w:tcW w:w="997" w:type="dxa"/>
                      </w:tcPr>
                      <w:p>
                        <w:pPr>
                          <w:pStyle w:val="TableParagraph"/>
                          <w:rPr>
                            <w:rFonts w:ascii="Times New Roman"/>
                            <w:sz w:val="10"/>
                          </w:rPr>
                        </w:pPr>
                      </w:p>
                    </w:tc>
                    <w:tc>
                      <w:tcPr>
                        <w:tcW w:w="1091" w:type="dxa"/>
                      </w:tcPr>
                      <w:p>
                        <w:pPr>
                          <w:pStyle w:val="TableParagraph"/>
                          <w:spacing w:line="141" w:lineRule="exact" w:before="11"/>
                          <w:ind w:left="341"/>
                          <w:rPr>
                            <w:rFonts w:ascii="Lucida Sans"/>
                            <w:sz w:val="12"/>
                          </w:rPr>
                        </w:pPr>
                        <w:r>
                          <w:rPr>
                            <w:rFonts w:ascii="Lucida Sans"/>
                            <w:w w:val="174"/>
                            <w:sz w:val="12"/>
                          </w:rPr>
                          <w:t>C</w:t>
                        </w:r>
                      </w:p>
                    </w:tc>
                    <w:tc>
                      <w:tcPr>
                        <w:tcW w:w="1025" w:type="dxa"/>
                      </w:tcPr>
                      <w:p>
                        <w:pPr>
                          <w:pStyle w:val="TableParagraph"/>
                          <w:spacing w:line="140" w:lineRule="exact" w:before="11"/>
                          <w:ind w:right="241"/>
                          <w:jc w:val="right"/>
                          <w:rPr>
                            <w:sz w:val="12"/>
                          </w:rPr>
                        </w:pPr>
                        <w:r>
                          <w:rPr>
                            <w:w w:val="95"/>
                            <w:sz w:val="12"/>
                          </w:rPr>
                          <w:t>NR</w:t>
                        </w:r>
                      </w:p>
                    </w:tc>
                    <w:tc>
                      <w:tcPr>
                        <w:tcW w:w="893" w:type="dxa"/>
                      </w:tcPr>
                      <w:p>
                        <w:pPr>
                          <w:pStyle w:val="TableParagraph"/>
                          <w:spacing w:line="140" w:lineRule="exact" w:before="11"/>
                          <w:ind w:right="228"/>
                          <w:jc w:val="right"/>
                          <w:rPr>
                            <w:sz w:val="12"/>
                          </w:rPr>
                        </w:pPr>
                        <w:r>
                          <w:rPr>
                            <w:w w:val="105"/>
                            <w:sz w:val="12"/>
                          </w:rPr>
                          <w:t>3.70%</w:t>
                        </w:r>
                      </w:p>
                    </w:tc>
                    <w:tc>
                      <w:tcPr>
                        <w:tcW w:w="768" w:type="dxa"/>
                      </w:tcPr>
                      <w:p>
                        <w:pPr>
                          <w:pStyle w:val="TableParagraph"/>
                          <w:spacing w:line="140" w:lineRule="exact" w:before="11"/>
                          <w:ind w:left="229"/>
                          <w:rPr>
                            <w:sz w:val="12"/>
                          </w:rPr>
                        </w:pPr>
                        <w:r>
                          <w:rPr>
                            <w:sz w:val="12"/>
                          </w:rPr>
                          <w:t>NR</w:t>
                        </w:r>
                      </w:p>
                    </w:tc>
                    <w:tc>
                      <w:tcPr>
                        <w:tcW w:w="571" w:type="dxa"/>
                      </w:tcPr>
                      <w:p>
                        <w:pPr>
                          <w:pStyle w:val="TableParagraph"/>
                          <w:spacing w:line="140" w:lineRule="exact" w:before="11"/>
                          <w:ind w:right="31"/>
                          <w:jc w:val="right"/>
                          <w:rPr>
                            <w:sz w:val="12"/>
                          </w:rPr>
                        </w:pPr>
                        <w:r>
                          <w:rPr>
                            <w:w w:val="95"/>
                            <w:sz w:val="12"/>
                          </w:rPr>
                          <w:t>NR</w:t>
                        </w:r>
                      </w:p>
                    </w:tc>
                  </w:tr>
                  <w:tr>
                    <w:trPr>
                      <w:trHeight w:val="203" w:hRule="atLeast"/>
                    </w:trPr>
                    <w:tc>
                      <w:tcPr>
                        <w:tcW w:w="473" w:type="dxa"/>
                      </w:tcPr>
                      <w:p>
                        <w:pPr>
                          <w:pStyle w:val="TableParagraph"/>
                          <w:rPr>
                            <w:rFonts w:ascii="Times New Roman"/>
                            <w:sz w:val="12"/>
                          </w:rPr>
                        </w:pPr>
                      </w:p>
                    </w:tc>
                    <w:tc>
                      <w:tcPr>
                        <w:tcW w:w="476" w:type="dxa"/>
                      </w:tcPr>
                      <w:p>
                        <w:pPr>
                          <w:pStyle w:val="TableParagraph"/>
                          <w:rPr>
                            <w:rFonts w:ascii="Times New Roman"/>
                            <w:sz w:val="12"/>
                          </w:rPr>
                        </w:pPr>
                      </w:p>
                    </w:tc>
                    <w:tc>
                      <w:tcPr>
                        <w:tcW w:w="430" w:type="dxa"/>
                      </w:tcPr>
                      <w:p>
                        <w:pPr>
                          <w:pStyle w:val="TableParagraph"/>
                          <w:spacing w:before="11"/>
                          <w:ind w:left="39"/>
                          <w:jc w:val="center"/>
                          <w:rPr>
                            <w:sz w:val="12"/>
                          </w:rPr>
                        </w:pPr>
                        <w:r>
                          <w:rPr>
                            <w:w w:val="99"/>
                            <w:sz w:val="12"/>
                          </w:rPr>
                          <w:t>Q</w:t>
                        </w:r>
                      </w:p>
                    </w:tc>
                    <w:tc>
                      <w:tcPr>
                        <w:tcW w:w="519" w:type="dxa"/>
                      </w:tcPr>
                      <w:p>
                        <w:pPr>
                          <w:pStyle w:val="TableParagraph"/>
                          <w:rPr>
                            <w:rFonts w:ascii="Times New Roman"/>
                            <w:sz w:val="12"/>
                          </w:rPr>
                        </w:pPr>
                      </w:p>
                    </w:tc>
                    <w:tc>
                      <w:tcPr>
                        <w:tcW w:w="946" w:type="dxa"/>
                      </w:tcPr>
                      <w:p>
                        <w:pPr>
                          <w:pStyle w:val="TableParagraph"/>
                          <w:spacing w:line="156" w:lineRule="exact"/>
                          <w:ind w:left="294"/>
                          <w:rPr>
                            <w:rFonts w:ascii="Arial"/>
                            <w:sz w:val="14"/>
                          </w:rPr>
                        </w:pPr>
                        <w:r>
                          <w:rPr>
                            <w:rFonts w:ascii="Arial"/>
                            <w:w w:val="97"/>
                            <w:sz w:val="14"/>
                          </w:rPr>
                          <w:t>a</w:t>
                        </w:r>
                      </w:p>
                    </w:tc>
                    <w:tc>
                      <w:tcPr>
                        <w:tcW w:w="1348" w:type="dxa"/>
                      </w:tcPr>
                      <w:p>
                        <w:pPr>
                          <w:pStyle w:val="TableParagraph"/>
                          <w:spacing w:before="10"/>
                          <w:ind w:right="53"/>
                          <w:jc w:val="center"/>
                          <w:rPr>
                            <w:rFonts w:ascii="Lucida Sans"/>
                            <w:sz w:val="12"/>
                          </w:rPr>
                        </w:pPr>
                        <w:r>
                          <w:rPr>
                            <w:rFonts w:ascii="Lucida Sans"/>
                            <w:w w:val="174"/>
                            <w:sz w:val="12"/>
                          </w:rPr>
                          <w:t>C</w:t>
                        </w:r>
                      </w:p>
                    </w:tc>
                    <w:tc>
                      <w:tcPr>
                        <w:tcW w:w="1283" w:type="dxa"/>
                      </w:tcPr>
                      <w:p>
                        <w:pPr>
                          <w:pStyle w:val="TableParagraph"/>
                          <w:rPr>
                            <w:rFonts w:ascii="Times New Roman"/>
                            <w:sz w:val="12"/>
                          </w:rPr>
                        </w:pPr>
                      </w:p>
                    </w:tc>
                    <w:tc>
                      <w:tcPr>
                        <w:tcW w:w="997" w:type="dxa"/>
                      </w:tcPr>
                      <w:p>
                        <w:pPr>
                          <w:pStyle w:val="TableParagraph"/>
                          <w:spacing w:before="10"/>
                          <w:ind w:left="167"/>
                          <w:jc w:val="center"/>
                          <w:rPr>
                            <w:rFonts w:ascii="Lucida Sans"/>
                            <w:sz w:val="12"/>
                          </w:rPr>
                        </w:pPr>
                        <w:r>
                          <w:rPr>
                            <w:rFonts w:ascii="Lucida Sans"/>
                            <w:w w:val="174"/>
                            <w:sz w:val="12"/>
                          </w:rPr>
                          <w:t>C</w:t>
                        </w:r>
                      </w:p>
                    </w:tc>
                    <w:tc>
                      <w:tcPr>
                        <w:tcW w:w="1091" w:type="dxa"/>
                      </w:tcPr>
                      <w:p>
                        <w:pPr>
                          <w:pStyle w:val="TableParagraph"/>
                          <w:rPr>
                            <w:rFonts w:ascii="Times New Roman"/>
                            <w:sz w:val="12"/>
                          </w:rPr>
                        </w:pPr>
                      </w:p>
                    </w:tc>
                    <w:tc>
                      <w:tcPr>
                        <w:tcW w:w="1025" w:type="dxa"/>
                      </w:tcPr>
                      <w:p>
                        <w:pPr>
                          <w:pStyle w:val="TableParagraph"/>
                          <w:spacing w:before="11"/>
                          <w:ind w:right="262"/>
                          <w:jc w:val="right"/>
                          <w:rPr>
                            <w:sz w:val="12"/>
                          </w:rPr>
                        </w:pPr>
                        <w:r>
                          <w:rPr>
                            <w:w w:val="95"/>
                            <w:sz w:val="12"/>
                          </w:rPr>
                          <w:t>0%</w:t>
                        </w:r>
                      </w:p>
                    </w:tc>
                    <w:tc>
                      <w:tcPr>
                        <w:tcW w:w="893" w:type="dxa"/>
                      </w:tcPr>
                      <w:p>
                        <w:pPr>
                          <w:pStyle w:val="TableParagraph"/>
                          <w:spacing w:before="11"/>
                          <w:ind w:left="242"/>
                          <w:rPr>
                            <w:sz w:val="12"/>
                          </w:rPr>
                        </w:pPr>
                        <w:r>
                          <w:rPr>
                            <w:sz w:val="12"/>
                          </w:rPr>
                          <w:t>0%</w:t>
                        </w:r>
                      </w:p>
                    </w:tc>
                    <w:tc>
                      <w:tcPr>
                        <w:tcW w:w="768" w:type="dxa"/>
                      </w:tcPr>
                      <w:p>
                        <w:pPr>
                          <w:pStyle w:val="TableParagraph"/>
                          <w:spacing w:before="11"/>
                          <w:ind w:left="229"/>
                          <w:rPr>
                            <w:sz w:val="12"/>
                          </w:rPr>
                        </w:pPr>
                        <w:r>
                          <w:rPr>
                            <w:sz w:val="12"/>
                          </w:rPr>
                          <w:t>NR</w:t>
                        </w:r>
                      </w:p>
                    </w:tc>
                    <w:tc>
                      <w:tcPr>
                        <w:tcW w:w="571" w:type="dxa"/>
                      </w:tcPr>
                      <w:p>
                        <w:pPr>
                          <w:pStyle w:val="TableParagraph"/>
                          <w:spacing w:before="11"/>
                          <w:ind w:right="51"/>
                          <w:jc w:val="right"/>
                          <w:rPr>
                            <w:sz w:val="12"/>
                          </w:rPr>
                        </w:pPr>
                        <w:r>
                          <w:rPr>
                            <w:w w:val="95"/>
                            <w:sz w:val="12"/>
                          </w:rPr>
                          <w:t>0%</w:t>
                        </w:r>
                      </w:p>
                    </w:tc>
                  </w:tr>
                </w:tbl>
                <w:p>
                  <w:pPr>
                    <w:pStyle w:val="BodyText"/>
                  </w:pPr>
                </w:p>
              </w:txbxContent>
            </v:textbox>
            <w10:wrap type="none"/>
          </v:shape>
        </w:pict>
      </w:r>
      <w:r>
        <w:rPr>
          <w:w w:val="120"/>
          <w:sz w:val="12"/>
        </w:rPr>
        <w:t>(</w:t>
      </w:r>
      <w:r>
        <w:rPr>
          <w:i/>
          <w:w w:val="120"/>
          <w:sz w:val="12"/>
        </w:rPr>
        <w:t>continued on next page</w:t>
      </w:r>
      <w:r>
        <w:rPr>
          <w:w w:val="120"/>
          <w:sz w:val="12"/>
        </w:rPr>
        <w:t>)</w:t>
      </w:r>
    </w:p>
    <w:p>
      <w:pPr>
        <w:spacing w:after="0"/>
        <w:jc w:val="left"/>
        <w:rPr>
          <w:sz w:val="12"/>
        </w:rPr>
        <w:sectPr>
          <w:type w:val="continuous"/>
          <w:pgSz w:w="15880" w:h="11910" w:orient="landscape"/>
          <w:pgMar w:top="840" w:bottom="360" w:left="520" w:right="1100"/>
          <w:cols w:num="2" w:equalWidth="0">
            <w:col w:w="2195" w:space="9738"/>
            <w:col w:w="2327"/>
          </w:cols>
        </w:sectPr>
      </w:pPr>
    </w:p>
    <w:p>
      <w:pPr>
        <w:rPr>
          <w:sz w:val="2"/>
          <w:szCs w:val="2"/>
        </w:rPr>
      </w:pPr>
      <w:r>
        <w:rPr/>
        <w:pict>
          <v:group style="position:absolute;margin-left:767.622009pt;margin-top:42.52pt;width:15.6pt;height:520pt;mso-position-horizontal-relative:page;mso-position-vertical-relative:page;z-index:251706368" coordorigin="15352,850" coordsize="312,10400">
            <v:rect style="position:absolute;left:15352;top:850;width:312;height:10400" filled="true" fillcolor="#c1c3c5" stroked="false">
              <v:fill type="solid"/>
            </v:rect>
            <v:shape style="position:absolute;left:15408;top:4502;width:211;height:2589" coordorigin="15409,4502" coordsize="211,2589" path="m15475,6967l15475,6927,15454,6930,15433,6942,15416,6968,15409,7012,15410,7032,15419,7058,15438,7081,15443,7083,15443,7009,15446,6987,15455,6974,15465,6968,15475,6967xm15619,7007l15613,6967,15597,6944,15577,6932,15558,6930,15531,6935,15514,6949,15505,6970,15499,6993,15494,7015,15490,7029,15485,7041,15479,7048,15469,7051,15456,7047,15448,7037,15444,7024,15443,7009,15443,7083,15474,7091,15497,7087,15512,7075,15522,7058,15528,7039,15540,6990,15542,6982,15545,6969,15561,6969,15572,6972,15579,6980,15583,6991,15585,7004,15585,7075,15596,7069,15613,7045,15619,7007xm15585,7075l15585,7004,15581,7025,15573,7037,15563,7043,15554,7045,15554,7085,15575,7081,15585,7075xm15475,6781l15475,6741,15454,6744,15433,6756,15416,6782,15409,6826,15410,6846,15419,6872,15438,6895,15443,6897,15443,6823,15446,6801,15455,6789,15465,6783,15475,6781xm15619,6821l15613,6781,15597,6758,15577,6747,15558,6744,15531,6749,15514,6763,15505,6784,15499,6807,15494,6829,15490,6843,15485,6855,15479,6862,15469,6865,15456,6861,15448,6852,15444,6838,15443,6823,15443,6897,15474,6905,15497,6901,15512,6889,15522,6873,15528,6853,15540,6804,15542,6796,15545,6783,15561,6783,15572,6786,15579,6794,15583,6806,15585,6818,15585,6890,15596,6883,15613,6859,15619,6821xm15585,6890l15585,6818,15581,6839,15573,6852,15563,6857,15554,6859,15554,6899,15575,6895,15585,6890xm15614,6713l15614,6565,15414,6565,15414,6717,15449,6717,15449,6606,15501,6606,15501,6704,15536,6704,15536,6606,15578,6606,15578,6713,15614,6713xm15614,6466l15614,6365,15414,6365,15414,6406,15492,6406,15492,6518,15495,6517,15504,6509,15510,6498,15517,6512,15526,6520,15526,6406,15579,6406,15579,6524,15592,6518,15607,6499,15614,6466xm15492,6518l15492,6449,15490,6467,15483,6477,15472,6481,15454,6482,15440,6482,15430,6483,15421,6484,15414,6486,15414,6533,15419,6533,15422,6527,15429,6525,15440,6524,15459,6524,15481,6522,15492,6518xm15579,6524l15579,6483,15564,6487,15553,6487,15540,6485,15532,6479,15527,6469,15526,6455,15526,6520,15528,6521,15541,6527,15557,6529,15573,6527,15579,6524xm15614,6271l15614,6179,15414,6179,15414,6221,15486,6221,15486,6269,15493,6302,15511,6321,15520,6325,15520,6221,15579,6221,15579,6327,15597,6316,15609,6297,15614,6271xm15579,6327l15579,6254,15578,6271,15573,6282,15564,6289,15552,6291,15543,6291,15533,6287,15524,6278,15520,6260,15520,6325,15532,6330,15550,6333,15576,6329,15579,6327xm15614,5928l15614,5884,15414,5884,15414,5923,15556,5923,15556,5961,15614,5928xm15556,5961l15556,5924,15414,6005,15414,6047,15474,6047,15474,6008,15556,5961xm15614,6047l15614,6008,15474,6008,15474,6047,15614,6047xm15614,5849l15614,5807,15414,5807,15414,5849,15614,5849xm15614,5678l15614,5531,15414,5531,15414,5683,15449,5683,15449,5572,15501,5572,15501,5670,15536,5670,15536,5572,15578,5572,15578,5678,15614,5678xm15614,5405l15614,5363,15414,5363,15414,5504,15450,5504,15450,5405,15614,5405xm15619,5246l15613,5209,15593,5180,15560,5161,15513,5154,15468,5160,15435,5179,15415,5208,15409,5245,15414,5279,15429,5304,15445,5316,15445,5246,15450,5223,15465,5208,15487,5199,15513,5196,15548,5201,15569,5213,15580,5230,15583,5246,15583,5319,15595,5310,15612,5284,15619,5246xm15482,5332l15482,5290,15466,5284,15454,5275,15447,5262,15445,5246,15445,5316,15452,5322,15482,5332xm15583,5319l15583,5246,15579,5267,15570,5280,15559,5287,15548,5290,15548,5332,15572,5326,15583,5319xm15614,5126l15614,5084,15414,5084,15414,5126,15614,5126xm15578,5004l15578,4962,15414,4962,15414,5004,15578,5004xm15614,5064l15614,4901,15578,4901,15578,5064,15614,5064xm15614,4820l15614,4718,15414,4718,15414,4759,15492,4759,15492,4872,15495,4871,15504,4863,15510,4852,15517,4865,15526,4873,15526,4759,15579,4759,15579,4877,15592,4871,15607,4852,15614,4820xm15492,4872l15492,4803,15490,4821,15483,4831,15472,4834,15454,4835,15440,4836,15430,4836,15421,4838,15414,4840,15414,4886,15419,4886,15422,4881,15429,4878,15440,4877,15459,4877,15481,4875,15492,4872xm15579,4877l15579,4836,15564,4841,15553,4841,15540,4839,15532,4833,15527,4823,15526,4808,15526,4873,15528,4875,15541,4881,15557,4883,15573,4880,15579,4877xm15614,4622l15614,4574,15414,4502,15414,4547,15455,4560,15455,4678,15489,4666,15489,4572,15569,4597,15569,4638,15614,4622xm15455,4678l15455,4634,15414,4647,15414,4693,15455,4678xm15569,4638l15569,4598,15489,4623,15489,4666,15569,4638xe" filled="true" fillcolor="#ffffff" stroked="false">
              <v:path arrowok="t"/>
              <v:fill type="solid"/>
            </v:shape>
            <w10:wrap type="none"/>
          </v:group>
        </w:pict>
      </w:r>
      <w:r>
        <w:rPr/>
        <w:pict>
          <v:shape style="position:absolute;margin-left:2.48584pt;margin-top:118.893997pt;width:16.8pt;height:357.5pt;mso-position-horizontal-relative:page;mso-position-vertical-relative:page;z-index:251709440"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p>
      <w:pPr>
        <w:spacing w:after="0"/>
        <w:rPr>
          <w:sz w:val="2"/>
          <w:szCs w:val="2"/>
        </w:rPr>
        <w:sectPr>
          <w:type w:val="continuous"/>
          <w:pgSz w:w="15880" w:h="11910" w:orient="landscape"/>
          <w:pgMar w:top="840" w:bottom="360" w:left="520" w:right="1100"/>
        </w:sectPr>
      </w:pPr>
    </w:p>
    <w:p>
      <w:pPr>
        <w:pStyle w:val="BodyText"/>
        <w:rPr>
          <w:sz w:val="20"/>
        </w:rPr>
      </w:pPr>
    </w:p>
    <w:p>
      <w:pPr>
        <w:pStyle w:val="BodyText"/>
        <w:spacing w:before="8"/>
        <w:rPr>
          <w:sz w:val="21"/>
        </w:rPr>
      </w:pPr>
    </w:p>
    <w:p>
      <w:pPr>
        <w:spacing w:after="0"/>
        <w:rPr>
          <w:sz w:val="21"/>
        </w:rPr>
        <w:sectPr>
          <w:headerReference w:type="default" r:id="rId105"/>
          <w:footerReference w:type="default" r:id="rId106"/>
          <w:pgSz w:w="15880" w:h="11910" w:orient="landscape"/>
          <w:pgMar w:header="0" w:footer="0" w:top="0" w:bottom="0" w:left="520" w:right="1100"/>
        </w:sectPr>
      </w:pPr>
    </w:p>
    <w:p>
      <w:pPr>
        <w:spacing w:before="111"/>
        <w:ind w:left="503" w:right="0" w:firstLine="0"/>
        <w:jc w:val="left"/>
        <w:rPr>
          <w:sz w:val="12"/>
        </w:rPr>
      </w:pPr>
      <w:r>
        <w:rPr/>
        <w:pict>
          <v:line style="position:absolute;mso-position-horizontal-relative:page;mso-position-vertical-relative:paragraph;z-index:251721728" from="51.194pt,16.500696pt" to="732.983pt,16.500696pt" stroked="true" strokeweight=".51pt" strokecolor="#000000">
            <v:stroke dashstyle="solid"/>
            <w10:wrap type="none"/>
          </v:line>
        </w:pict>
      </w:r>
      <w:bookmarkStart w:name="_bookmark98" w:id="124"/>
      <w:bookmarkEnd w:id="124"/>
      <w:r>
        <w:rPr/>
      </w:r>
      <w:bookmarkStart w:name="_bookmark97" w:id="125"/>
      <w:bookmarkEnd w:id="125"/>
      <w:r>
        <w:rPr/>
      </w:r>
      <w:bookmarkStart w:name="_bookmark96" w:id="126"/>
      <w:bookmarkEnd w:id="126"/>
      <w:r>
        <w:rPr/>
      </w:r>
      <w:bookmarkStart w:name="_bookmark95" w:id="127"/>
      <w:bookmarkEnd w:id="127"/>
      <w:r>
        <w:rPr/>
      </w:r>
      <w:bookmarkStart w:name="_bookmark94" w:id="128"/>
      <w:bookmarkEnd w:id="128"/>
      <w:r>
        <w:rPr/>
      </w:r>
      <w:bookmarkStart w:name="_bookmark93" w:id="129"/>
      <w:bookmarkEnd w:id="129"/>
      <w:r>
        <w:rPr/>
      </w:r>
      <w:bookmarkStart w:name="_bookmark92" w:id="130"/>
      <w:bookmarkEnd w:id="130"/>
      <w:r>
        <w:rPr/>
      </w:r>
      <w:bookmarkStart w:name="_bookmark91" w:id="131"/>
      <w:bookmarkEnd w:id="131"/>
      <w:r>
        <w:rPr/>
      </w:r>
      <w:bookmarkStart w:name="_bookmark90" w:id="132"/>
      <w:bookmarkEnd w:id="132"/>
      <w:r>
        <w:rPr/>
      </w:r>
      <w:bookmarkStart w:name="_bookmark89" w:id="133"/>
      <w:bookmarkEnd w:id="133"/>
      <w:r>
        <w:rPr/>
      </w:r>
      <w:bookmarkStart w:name="_bookmark88" w:id="134"/>
      <w:bookmarkEnd w:id="134"/>
      <w:r>
        <w:rPr/>
      </w:r>
      <w:bookmarkStart w:name="_bookmark87" w:id="135"/>
      <w:bookmarkEnd w:id="135"/>
      <w:r>
        <w:rPr/>
      </w:r>
      <w:bookmarkStart w:name="_bookmark86" w:id="136"/>
      <w:bookmarkEnd w:id="136"/>
      <w:r>
        <w:rPr/>
      </w:r>
      <w:bookmarkStart w:name="_bookmark85" w:id="137"/>
      <w:bookmarkEnd w:id="137"/>
      <w:r>
        <w:rPr/>
      </w:r>
      <w:bookmarkStart w:name="_bookmark84" w:id="138"/>
      <w:bookmarkEnd w:id="138"/>
      <w:r>
        <w:rPr/>
      </w:r>
      <w:r>
        <w:rPr>
          <w:w w:val="120"/>
          <w:sz w:val="12"/>
        </w:rPr>
        <w:t>Supplement Table 3 (</w:t>
      </w:r>
      <w:r>
        <w:rPr>
          <w:i/>
          <w:w w:val="120"/>
          <w:sz w:val="12"/>
        </w:rPr>
        <w:t>continued </w:t>
      </w:r>
      <w:r>
        <w:rPr>
          <w:w w:val="120"/>
          <w:sz w:val="12"/>
        </w:rPr>
        <w:t>)</w:t>
      </w:r>
    </w:p>
    <w:p>
      <w:pPr>
        <w:tabs>
          <w:tab w:pos="2701" w:val="left" w:leader="none"/>
        </w:tabs>
        <w:spacing w:before="133"/>
        <w:ind w:left="622" w:right="0" w:firstLine="0"/>
        <w:jc w:val="left"/>
        <w:rPr>
          <w:sz w:val="12"/>
        </w:rPr>
      </w:pPr>
      <w:r>
        <w:rPr>
          <w:w w:val="110"/>
          <w:sz w:val="12"/>
        </w:rPr>
        <w:t>Study</w:t>
        <w:tab/>
      </w:r>
      <w:r>
        <w:rPr>
          <w:spacing w:val="-4"/>
          <w:w w:val="110"/>
          <w:sz w:val="12"/>
        </w:rPr>
        <w:t>Sample</w:t>
      </w:r>
    </w:p>
    <w:p>
      <w:pPr>
        <w:pStyle w:val="BodyText"/>
      </w:pPr>
      <w:r>
        <w:rPr/>
        <w:br w:type="column"/>
      </w:r>
      <w:r>
        <w:rPr/>
      </w:r>
    </w:p>
    <w:p>
      <w:pPr>
        <w:pStyle w:val="BodyText"/>
        <w:spacing w:before="8"/>
        <w:rPr>
          <w:sz w:val="15"/>
        </w:rPr>
      </w:pPr>
    </w:p>
    <w:p>
      <w:pPr>
        <w:tabs>
          <w:tab w:pos="1084" w:val="left" w:leader="none"/>
          <w:tab w:pos="2354" w:val="left" w:leader="none"/>
          <w:tab w:pos="3535" w:val="left" w:leader="none"/>
          <w:tab w:pos="7724" w:val="left" w:leader="none"/>
          <w:tab w:pos="9268" w:val="left" w:leader="none"/>
        </w:tabs>
        <w:spacing w:before="0"/>
        <w:ind w:left="242" w:right="0" w:firstLine="0"/>
        <w:jc w:val="left"/>
        <w:rPr>
          <w:sz w:val="12"/>
        </w:rPr>
      </w:pPr>
      <w:r>
        <w:rPr/>
        <w:pict>
          <v:line style="position:absolute;mso-position-horizontal-relative:page;mso-position-vertical-relative:paragraph;z-index:251722752" from="362.040985pt,9.986241pt" to="559.388985pt,9.986241pt" stroked="true" strokeweight=".51pt" strokecolor="#000000">
            <v:stroke dashstyle="solid"/>
            <w10:wrap type="none"/>
          </v:line>
        </w:pict>
      </w:r>
      <w:r>
        <w:rPr>
          <w:w w:val="110"/>
          <w:sz w:val="12"/>
        </w:rPr>
        <w:t>Fascia</w:t>
        <w:tab/>
        <w:t>Subcutaneous</w:t>
        <w:tab/>
        <w:t>Subcuticular</w:t>
        <w:tab/>
        <w:t>Skin</w:t>
        <w:tab/>
        <w:t>SSI</w:t>
        <w:tab/>
      </w:r>
      <w:r>
        <w:rPr>
          <w:spacing w:val="-3"/>
          <w:w w:val="110"/>
          <w:sz w:val="12"/>
        </w:rPr>
        <w:t>Prolonged</w:t>
      </w:r>
    </w:p>
    <w:p>
      <w:pPr>
        <w:pStyle w:val="BodyText"/>
      </w:pPr>
      <w:r>
        <w:rPr/>
        <w:br w:type="column"/>
      </w:r>
      <w:r>
        <w:rPr/>
      </w:r>
    </w:p>
    <w:p>
      <w:pPr>
        <w:pStyle w:val="BodyText"/>
        <w:spacing w:before="8"/>
        <w:rPr>
          <w:sz w:val="15"/>
        </w:rPr>
      </w:pPr>
    </w:p>
    <w:p>
      <w:pPr>
        <w:spacing w:before="0"/>
        <w:ind w:left="242" w:right="0" w:firstLine="0"/>
        <w:jc w:val="left"/>
        <w:rPr>
          <w:sz w:val="12"/>
        </w:rPr>
      </w:pPr>
      <w:r>
        <w:rPr/>
        <w:pict>
          <v:shape style="position:absolute;margin-left:738.212219pt;margin-top:-14.00389pt;width:9.85pt;height:17.350pt;mso-position-horizontal-relative:page;mso-position-vertical-relative:paragraph;z-index:251724800" type="#_x0000_t202" filled="false" stroked="false">
            <v:textbox inset="0,0,0,0" style="layout-flow:vertical">
              <w:txbxContent>
                <w:p>
                  <w:pPr>
                    <w:spacing w:before="29"/>
                    <w:ind w:left="20" w:right="0" w:firstLine="0"/>
                    <w:jc w:val="left"/>
                    <w:rPr>
                      <w:sz w:val="12"/>
                    </w:rPr>
                  </w:pPr>
                  <w:r>
                    <w:rPr>
                      <w:w w:val="115"/>
                      <w:sz w:val="12"/>
                    </w:rPr>
                    <w:t>10.e4</w:t>
                  </w:r>
                </w:p>
              </w:txbxContent>
            </v:textbox>
            <w10:wrap type="none"/>
          </v:shape>
        </w:pict>
      </w:r>
      <w:r>
        <w:rPr>
          <w:w w:val="110"/>
          <w:sz w:val="12"/>
        </w:rPr>
        <w:t>Wound</w:t>
      </w:r>
    </w:p>
    <w:p>
      <w:pPr>
        <w:spacing w:after="0"/>
        <w:jc w:val="left"/>
        <w:rPr>
          <w:sz w:val="12"/>
        </w:rPr>
        <w:sectPr>
          <w:type w:val="continuous"/>
          <w:pgSz w:w="15880" w:h="11910" w:orient="landscape"/>
          <w:pgMar w:top="840" w:bottom="360" w:left="520" w:right="1100"/>
          <w:cols w:num="3" w:equalWidth="0">
            <w:col w:w="3146" w:space="40"/>
            <w:col w:w="9885" w:space="39"/>
            <w:col w:w="1150"/>
          </w:cols>
        </w:sectPr>
      </w:pPr>
    </w:p>
    <w:p>
      <w:pPr>
        <w:spacing w:before="22"/>
        <w:ind w:left="0" w:right="0" w:firstLine="0"/>
        <w:jc w:val="right"/>
        <w:rPr>
          <w:sz w:val="12"/>
        </w:rPr>
      </w:pPr>
      <w:r>
        <w:rPr>
          <w:w w:val="110"/>
          <w:sz w:val="12"/>
        </w:rPr>
        <w:t>size</w:t>
      </w:r>
    </w:p>
    <w:p>
      <w:pPr>
        <w:pStyle w:val="BodyText"/>
        <w:spacing w:before="7"/>
        <w:rPr>
          <w:sz w:val="3"/>
        </w:rPr>
      </w:pPr>
      <w:r>
        <w:rPr/>
        <w:br w:type="column"/>
      </w:r>
      <w:r>
        <w:rPr>
          <w:sz w:val="3"/>
        </w:rPr>
      </w:r>
    </w:p>
    <w:p>
      <w:pPr>
        <w:tabs>
          <w:tab w:pos="1292" w:val="left" w:leader="none"/>
          <w:tab w:pos="2562" w:val="left" w:leader="none"/>
        </w:tabs>
        <w:spacing w:line="20" w:lineRule="exact"/>
        <w:ind w:left="450" w:right="0" w:firstLine="0"/>
        <w:rPr>
          <w:sz w:val="2"/>
        </w:rPr>
      </w:pPr>
      <w:r>
        <w:rPr>
          <w:sz w:val="2"/>
        </w:rPr>
        <w:pict>
          <v:group style="width:30pt;height:.550pt;mso-position-horizontal-relative:char;mso-position-vertical-relative:line" coordorigin="0,0" coordsize="600,11">
            <v:line style="position:absolute" from="0,5" to="600,5" stroked="true" strokeweight=".51pt" strokecolor="#000000">
              <v:stroke dashstyle="solid"/>
            </v:line>
          </v:group>
        </w:pict>
      </w:r>
      <w:r>
        <w:rPr>
          <w:sz w:val="2"/>
        </w:rPr>
      </w:r>
      <w:r>
        <w:rPr>
          <w:sz w:val="2"/>
        </w:rPr>
        <w:tab/>
      </w:r>
      <w:r>
        <w:rPr>
          <w:sz w:val="2"/>
        </w:rPr>
        <w:pict>
          <v:group style="width:51.4pt;height:.550pt;mso-position-horizontal-relative:char;mso-position-vertical-relative:line" coordorigin="0,0" coordsize="1028,11">
            <v:line style="position:absolute" from="0,5" to="1027,5" stroked="true" strokeweight=".51pt" strokecolor="#000000">
              <v:stroke dashstyle="solid"/>
            </v:line>
          </v:group>
        </w:pict>
      </w:r>
      <w:r>
        <w:rPr>
          <w:sz w:val="2"/>
        </w:rPr>
      </w:r>
      <w:r>
        <w:rPr>
          <w:sz w:val="2"/>
        </w:rPr>
        <w:tab/>
      </w:r>
      <w:r>
        <w:rPr>
          <w:sz w:val="2"/>
        </w:rPr>
        <w:pict>
          <v:group style="width:46.9pt;height:.550pt;mso-position-horizontal-relative:char;mso-position-vertical-relative:line" coordorigin="0,0" coordsize="938,11">
            <v:line style="position:absolute" from="0,5" to="938,5" stroked="true" strokeweight=".51pt" strokecolor="#000000">
              <v:stroke dashstyle="solid"/>
            </v:line>
          </v:group>
        </w:pict>
      </w:r>
      <w:r>
        <w:rPr>
          <w:sz w:val="2"/>
        </w:rPr>
      </w:r>
    </w:p>
    <w:p>
      <w:pPr>
        <w:tabs>
          <w:tab w:pos="908" w:val="left" w:leader="none"/>
          <w:tab w:pos="1298" w:val="left" w:leader="none"/>
          <w:tab w:pos="1964" w:val="left" w:leader="none"/>
          <w:tab w:pos="2568" w:val="left" w:leader="none"/>
          <w:tab w:pos="3190" w:val="left" w:leader="none"/>
          <w:tab w:pos="3749" w:val="left" w:leader="none"/>
          <w:tab w:pos="4201" w:val="left" w:leader="none"/>
          <w:tab w:pos="4591" w:val="left" w:leader="none"/>
          <w:tab w:pos="5263" w:val="left" w:leader="none"/>
          <w:tab w:pos="5757" w:val="left" w:leader="none"/>
        </w:tabs>
        <w:spacing w:before="50"/>
        <w:ind w:left="456" w:right="0" w:firstLine="0"/>
        <w:jc w:val="left"/>
        <w:rPr>
          <w:sz w:val="12"/>
        </w:rPr>
      </w:pPr>
      <w:r>
        <w:rPr>
          <w:w w:val="105"/>
          <w:sz w:val="12"/>
        </w:rPr>
        <w:t>TS</w:t>
        <w:tab/>
        <w:t>BS</w:t>
        <w:tab/>
        <w:t>TS</w:t>
        <w:tab/>
        <w:t>BS</w:t>
        <w:tab/>
        <w:t>TS</w:t>
        <w:tab/>
        <w:t>BS</w:t>
        <w:tab/>
        <w:t>TS</w:t>
        <w:tab/>
        <w:t>BS</w:t>
        <w:tab/>
        <w:t>Staples</w:t>
        <w:tab/>
        <w:t>TSA</w:t>
        <w:tab/>
      </w:r>
      <w:r>
        <w:rPr>
          <w:sz w:val="12"/>
        </w:rPr>
        <w:t>TSA/</w:t>
      </w:r>
    </w:p>
    <w:p>
      <w:pPr>
        <w:spacing w:before="22"/>
        <w:ind w:left="0" w:right="0" w:firstLine="0"/>
        <w:jc w:val="right"/>
        <w:rPr>
          <w:sz w:val="12"/>
        </w:rPr>
      </w:pPr>
      <w:r>
        <w:rPr>
          <w:w w:val="110"/>
          <w:sz w:val="12"/>
        </w:rPr>
        <w:t>Mesh</w:t>
      </w:r>
    </w:p>
    <w:p>
      <w:pPr>
        <w:pStyle w:val="BodyText"/>
        <w:spacing w:before="7"/>
        <w:rPr>
          <w:sz w:val="3"/>
        </w:rPr>
      </w:pPr>
      <w:r>
        <w:rPr/>
        <w:br w:type="column"/>
      </w:r>
      <w:r>
        <w:rPr>
          <w:sz w:val="3"/>
        </w:rPr>
      </w:r>
    </w:p>
    <w:p>
      <w:pPr>
        <w:pStyle w:val="BodyText"/>
        <w:spacing w:line="20" w:lineRule="exact"/>
        <w:ind w:left="1805" w:right="-72"/>
        <w:rPr>
          <w:sz w:val="2"/>
        </w:rPr>
      </w:pPr>
      <w:r>
        <w:rPr>
          <w:sz w:val="2"/>
        </w:rPr>
        <w:pict>
          <v:group style="width:65.1pt;height:.550pt;mso-position-horizontal-relative:char;mso-position-vertical-relative:line" coordorigin="0,0" coordsize="1302,11">
            <v:line style="position:absolute" from="0,5" to="1302,5" stroked="true" strokeweight=".51pt" strokecolor="#000000">
              <v:stroke dashstyle="solid"/>
            </v:line>
          </v:group>
        </w:pict>
      </w:r>
      <w:r>
        <w:rPr>
          <w:sz w:val="2"/>
        </w:rPr>
      </w:r>
    </w:p>
    <w:p>
      <w:pPr>
        <w:tabs>
          <w:tab w:pos="1224" w:val="left" w:leader="none"/>
          <w:tab w:pos="1811" w:val="left" w:leader="none"/>
          <w:tab w:pos="2475" w:val="left" w:leader="none"/>
        </w:tabs>
        <w:spacing w:before="50"/>
        <w:ind w:left="458" w:right="0" w:firstLine="0"/>
        <w:jc w:val="left"/>
        <w:rPr>
          <w:sz w:val="12"/>
        </w:rPr>
      </w:pPr>
      <w:r>
        <w:rPr>
          <w:w w:val="110"/>
          <w:sz w:val="12"/>
        </w:rPr>
        <w:t>Dressing</w:t>
        <w:tab/>
        <w:t>Other</w:t>
        <w:tab/>
        <w:t>Deep</w:t>
        <w:tab/>
      </w:r>
      <w:r>
        <w:rPr>
          <w:spacing w:val="-1"/>
          <w:w w:val="110"/>
          <w:sz w:val="12"/>
        </w:rPr>
        <w:t>Super</w:t>
      </w:r>
      <w:r>
        <w:rPr>
          <w:rFonts w:ascii="Times New Roman" w:hAnsi="Times New Roman"/>
          <w:spacing w:val="-1"/>
          <w:w w:val="110"/>
          <w:sz w:val="12"/>
        </w:rPr>
        <w:t>ﬁ</w:t>
      </w:r>
      <w:r>
        <w:rPr>
          <w:spacing w:val="-1"/>
          <w:w w:val="110"/>
          <w:sz w:val="12"/>
        </w:rPr>
        <w:t>cial</w:t>
      </w:r>
    </w:p>
    <w:p>
      <w:pPr>
        <w:spacing w:before="22"/>
        <w:ind w:left="202" w:right="0" w:firstLine="0"/>
        <w:jc w:val="left"/>
        <w:rPr>
          <w:sz w:val="12"/>
        </w:rPr>
      </w:pPr>
      <w:r>
        <w:rPr/>
        <w:br w:type="column"/>
      </w:r>
      <w:r>
        <w:rPr>
          <w:w w:val="110"/>
          <w:sz w:val="12"/>
        </w:rPr>
        <w:t>drainage</w:t>
      </w:r>
    </w:p>
    <w:p>
      <w:pPr>
        <w:spacing w:before="22"/>
        <w:ind w:left="330" w:right="0" w:firstLine="0"/>
        <w:jc w:val="left"/>
        <w:rPr>
          <w:sz w:val="12"/>
        </w:rPr>
      </w:pPr>
      <w:r>
        <w:rPr/>
        <w:br w:type="column"/>
      </w:r>
      <w:r>
        <w:rPr>
          <w:w w:val="115"/>
          <w:sz w:val="12"/>
        </w:rPr>
        <w:t>dehiscence</w:t>
      </w:r>
    </w:p>
    <w:p>
      <w:pPr>
        <w:spacing w:after="0"/>
        <w:jc w:val="left"/>
        <w:rPr>
          <w:sz w:val="12"/>
        </w:rPr>
        <w:sectPr>
          <w:type w:val="continuous"/>
          <w:pgSz w:w="15880" w:h="11910" w:orient="landscape"/>
          <w:pgMar w:top="840" w:bottom="360" w:left="520" w:right="1100"/>
          <w:cols w:num="5" w:equalWidth="0">
            <w:col w:w="2932" w:space="40"/>
            <w:col w:w="6088" w:space="39"/>
            <w:col w:w="3114" w:space="39"/>
            <w:col w:w="730" w:space="40"/>
            <w:col w:w="1238"/>
          </w:cols>
        </w:sectPr>
      </w:pPr>
    </w:p>
    <w:p>
      <w:pPr>
        <w:pStyle w:val="BodyText"/>
        <w:rPr>
          <w:sz w:val="4"/>
        </w:rPr>
      </w:pPr>
      <w:r>
        <w:rPr/>
        <w:pict>
          <v:group style="position:absolute;margin-left:767.619019pt;margin-top:32.816002pt;width:15.6pt;height:520.0500pt;mso-position-horizontal-relative:page;mso-position-vertical-relative:page;z-index:251723776" coordorigin="15352,656" coordsize="312,10401">
            <v:rect style="position:absolute;left:15352;top:656;width:312;height:10401" filled="true" fillcolor="#c1c3c5" stroked="false">
              <v:fill type="solid"/>
            </v:rect>
            <v:shape style="position:absolute;left:15408;top:4308;width:211;height:2589" coordorigin="15409,4308" coordsize="211,2589" path="m15475,6773l15475,6732,15454,6736,15433,6748,15416,6774,15409,6818,15410,6838,15419,6864,15438,6887,15443,6888,15443,6815,15446,6793,15455,6780,15465,6774,15475,6773xm15619,6813l15613,6773,15597,6750,15577,6738,15558,6736,15531,6741,15514,6755,15505,6776,15499,6799,15494,6821,15490,6835,15485,6847,15479,6854,15469,6857,15456,6853,15448,6843,15444,6830,15443,6815,15443,6888,15474,6897,15497,6893,15512,6881,15522,6864,15528,6845,15540,6796,15542,6787,15545,6775,15561,6775,15572,6778,15579,6786,15583,6797,15585,6809,15585,6881,15596,6874,15613,6851,15619,6813xm15585,6881l15585,6809,15581,6831,15573,6843,15563,6849,15554,6850,15554,6891,15575,6887,15585,6881xm15475,6587l15475,6547,15454,6550,15433,6562,15416,6588,15409,6632,15410,6652,15419,6678,15438,6701,15443,6703,15443,6629,15446,6607,15455,6594,15465,6588,15475,6587xm15619,6627l15613,6587,15597,6564,15577,6553,15558,6550,15531,6555,15514,6569,15505,6590,15499,6613,15494,6635,15490,6649,15485,6661,15479,6668,15469,6671,15456,6667,15448,6658,15444,6644,15443,6629,15443,6703,15474,6711,15497,6707,15512,6695,15522,6679,15528,6659,15540,6610,15542,6602,15545,6589,15561,6589,15572,6592,15579,6600,15583,6611,15585,6624,15585,6695,15596,6689,15613,6665,15619,6627xm15585,6695l15585,6624,15581,6645,15573,6657,15563,6663,15554,6665,15554,6705,15575,6701,15585,6695xm15614,6518l15614,6371,15414,6371,15414,6523,15449,6523,15449,6412,15501,6412,15501,6510,15536,6510,15536,6412,15578,6412,15578,6518,15614,6518xm15614,6272l15614,6171,15414,6171,15414,6212,15492,6212,15492,6324,15495,6323,15504,6315,15510,6304,15517,6317,15526,6325,15526,6212,15579,6212,15579,6330,15592,6324,15607,6304,15614,6272xm15492,6324l15492,6255,15490,6273,15483,6283,15472,6287,15454,6288,15440,6288,15430,6289,15421,6290,15414,6292,15414,6339,15419,6339,15422,6333,15429,6331,15440,6330,15459,6330,15481,6328,15492,6324xm15579,6330l15579,6289,15564,6293,15553,6293,15540,6291,15532,6285,15527,6275,15526,6261,15526,6325,15528,6327,15541,6333,15557,6335,15573,6333,15579,6330xm15614,6077l15614,5985,15414,5985,15414,6027,15486,6027,15486,6075,15493,6108,15511,6127,15520,6131,15520,6027,15579,6027,15579,6133,15597,6122,15609,6103,15614,6077xm15579,6133l15579,6060,15578,6077,15573,6088,15564,6095,15552,6097,15543,6097,15533,6093,15524,6084,15520,6066,15520,6131,15532,6136,15550,6139,15576,6135,15579,6133xm15614,5734l15614,5690,15414,5690,15414,5729,15556,5729,15556,5767,15614,5734xm15556,5767l15556,5730,15414,5811,15414,5853,15474,5853,15474,5814,15556,5767xm15614,5853l15614,5814,15474,5814,15474,5853,15614,5853xm15614,5655l15614,5613,15414,5613,15414,5655,15614,5655xm15614,5484l15614,5337,15414,5337,15414,5489,15449,5489,15449,5378,15501,5378,15501,5476,15536,5476,15536,5378,15578,5378,15578,5484,15614,5484xm15614,5210l15614,5169,15414,5169,15414,5310,15450,5310,15450,5210,15614,5210xm15619,5051l15613,5015,15593,4986,15560,4967,15513,4959,15468,4966,15435,4985,15415,5014,15409,5051,15414,5085,15429,5110,15445,5122,15445,5052,15450,5029,15465,5014,15487,5005,15513,5002,15548,5007,15569,5019,15580,5036,15583,5052,15583,5124,15595,5116,15612,5090,15619,5051xm15482,5138l15482,5096,15466,5090,15454,5081,15447,5068,15445,5052,15445,5122,15452,5128,15482,5138xm15583,5124l15583,5052,15579,5073,15570,5086,15559,5093,15548,5096,15548,5138,15572,5132,15583,5124xm15614,4932l15614,4890,15414,4890,15414,4932,15614,4932xm15578,4810l15578,4768,15414,4768,15414,4810,15578,4810xm15614,4870l15614,4707,15578,4707,15578,4870,15614,4870xm15614,4626l15614,4524,15414,4524,15414,4565,15492,4565,15492,4678,15495,4676,15504,4669,15510,4658,15517,4671,15526,4679,15526,4565,15579,4565,15579,4683,15592,4677,15607,4658,15614,4626xm15492,4678l15492,4609,15490,4627,15483,4636,15472,4640,15454,4641,15440,4641,15430,4642,15421,4644,15414,4646,15414,4692,15419,4692,15422,4687,15429,4684,15440,4683,15459,4683,15481,4681,15492,4678xm15579,4683l15579,4642,15564,4647,15553,4647,15540,4645,15532,4639,15527,4629,15526,4614,15526,4679,15528,4681,15541,4687,15557,4689,15573,4686,15579,4683xm15614,4428l15614,4380,15414,4308,15414,4352,15455,4366,15455,4484,15489,4472,15489,4378,15569,4403,15569,4444,15614,4428xm15455,4484l15455,4440,15414,4453,15414,4499,15455,4484xm15569,4444l15569,4404,15489,4429,15489,4472,15569,4444xe" filled="true" fillcolor="#ffffff" stroked="false">
              <v:path arrowok="t"/>
              <v:fill type="solid"/>
            </v:shape>
            <w10:wrap type="none"/>
          </v:group>
        </w:pict>
      </w:r>
      <w:r>
        <w:rPr/>
        <w:pict>
          <v:shape style="position:absolute;margin-left:2.48584pt;margin-top:118.893997pt;width:16.8pt;height:357.5pt;mso-position-horizontal-relative:page;mso-position-vertical-relative:page;z-index:251726848"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tbl>
      <w:tblPr>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1"/>
        <w:gridCol w:w="711"/>
        <w:gridCol w:w="510"/>
        <w:gridCol w:w="395"/>
        <w:gridCol w:w="553"/>
        <w:gridCol w:w="600"/>
        <w:gridCol w:w="647"/>
        <w:gridCol w:w="816"/>
        <w:gridCol w:w="662"/>
        <w:gridCol w:w="568"/>
        <w:gridCol w:w="1049"/>
        <w:gridCol w:w="960"/>
        <w:gridCol w:w="700"/>
        <w:gridCol w:w="766"/>
        <w:gridCol w:w="770"/>
        <w:gridCol w:w="766"/>
        <w:gridCol w:w="1145"/>
      </w:tblGrid>
      <w:tr>
        <w:trPr>
          <w:trHeight w:val="247" w:hRule="atLeast"/>
        </w:trPr>
        <w:tc>
          <w:tcPr>
            <w:tcW w:w="3617" w:type="dxa"/>
            <w:gridSpan w:val="4"/>
            <w:tcBorders>
              <w:top w:val="single" w:sz="6" w:space="0" w:color="000000"/>
            </w:tcBorders>
          </w:tcPr>
          <w:p>
            <w:pPr>
              <w:pStyle w:val="TableParagraph"/>
              <w:spacing w:before="56"/>
              <w:ind w:right="144"/>
              <w:jc w:val="right"/>
              <w:rPr>
                <w:sz w:val="12"/>
              </w:rPr>
            </w:pPr>
            <w:r>
              <w:rPr>
                <w:w w:val="99"/>
                <w:sz w:val="12"/>
              </w:rPr>
              <w:t>Q</w:t>
            </w:r>
          </w:p>
        </w:tc>
        <w:tc>
          <w:tcPr>
            <w:tcW w:w="1153" w:type="dxa"/>
            <w:gridSpan w:val="2"/>
            <w:tcBorders>
              <w:top w:val="single" w:sz="6" w:space="0" w:color="000000"/>
            </w:tcBorders>
          </w:tcPr>
          <w:p>
            <w:pPr>
              <w:pStyle w:val="TableParagraph"/>
              <w:spacing w:before="39"/>
              <w:ind w:right="259"/>
              <w:jc w:val="right"/>
              <w:rPr>
                <w:rFonts w:ascii="Arial"/>
                <w:sz w:val="14"/>
              </w:rPr>
            </w:pPr>
            <w:r>
              <w:rPr>
                <w:rFonts w:ascii="Arial"/>
                <w:w w:val="97"/>
                <w:sz w:val="14"/>
              </w:rPr>
              <w:t>a</w:t>
            </w:r>
          </w:p>
        </w:tc>
        <w:tc>
          <w:tcPr>
            <w:tcW w:w="1463" w:type="dxa"/>
            <w:gridSpan w:val="2"/>
            <w:tcBorders>
              <w:top w:val="single" w:sz="6" w:space="0" w:color="000000"/>
            </w:tcBorders>
          </w:tcPr>
          <w:p>
            <w:pPr>
              <w:pStyle w:val="TableParagraph"/>
              <w:spacing w:before="55"/>
              <w:ind w:left="887"/>
              <w:rPr>
                <w:rFonts w:ascii="Lucida Sans"/>
                <w:sz w:val="12"/>
              </w:rPr>
            </w:pPr>
            <w:r>
              <w:rPr>
                <w:rFonts w:ascii="Lucida Sans"/>
                <w:w w:val="174"/>
                <w:sz w:val="12"/>
              </w:rPr>
              <w:t>C</w:t>
            </w:r>
          </w:p>
        </w:tc>
        <w:tc>
          <w:tcPr>
            <w:tcW w:w="2279" w:type="dxa"/>
            <w:gridSpan w:val="3"/>
            <w:tcBorders>
              <w:top w:val="single" w:sz="6" w:space="0" w:color="000000"/>
            </w:tcBorders>
          </w:tcPr>
          <w:p>
            <w:pPr>
              <w:pStyle w:val="TableParagraph"/>
              <w:spacing w:before="56"/>
              <w:ind w:left="1498"/>
              <w:rPr>
                <w:sz w:val="12"/>
              </w:rPr>
            </w:pPr>
            <w:r>
              <w:rPr>
                <w:w w:val="110"/>
                <w:sz w:val="12"/>
              </w:rPr>
              <w:t>SwS</w:t>
            </w:r>
          </w:p>
        </w:tc>
        <w:tc>
          <w:tcPr>
            <w:tcW w:w="960" w:type="dxa"/>
            <w:tcBorders>
              <w:top w:val="single" w:sz="6" w:space="0" w:color="000000"/>
            </w:tcBorders>
          </w:tcPr>
          <w:p>
            <w:pPr>
              <w:pStyle w:val="TableParagraph"/>
              <w:spacing w:before="56"/>
              <w:ind w:left="210"/>
              <w:jc w:val="center"/>
              <w:rPr>
                <w:sz w:val="12"/>
              </w:rPr>
            </w:pPr>
            <w:r>
              <w:rPr>
                <w:w w:val="93"/>
                <w:sz w:val="12"/>
              </w:rPr>
              <w:t>A</w:t>
            </w:r>
          </w:p>
        </w:tc>
        <w:tc>
          <w:tcPr>
            <w:tcW w:w="1466" w:type="dxa"/>
            <w:gridSpan w:val="2"/>
            <w:tcBorders>
              <w:top w:val="single" w:sz="6" w:space="0" w:color="000000"/>
            </w:tcBorders>
          </w:tcPr>
          <w:p>
            <w:pPr>
              <w:pStyle w:val="TableParagraph"/>
              <w:spacing w:before="56"/>
              <w:ind w:left="934"/>
              <w:rPr>
                <w:sz w:val="12"/>
              </w:rPr>
            </w:pPr>
            <w:r>
              <w:rPr>
                <w:w w:val="105"/>
                <w:sz w:val="12"/>
              </w:rPr>
              <w:t>0%</w:t>
            </w:r>
          </w:p>
        </w:tc>
        <w:tc>
          <w:tcPr>
            <w:tcW w:w="770" w:type="dxa"/>
            <w:tcBorders>
              <w:top w:val="single" w:sz="6" w:space="0" w:color="000000"/>
            </w:tcBorders>
          </w:tcPr>
          <w:p>
            <w:pPr>
              <w:pStyle w:val="TableParagraph"/>
              <w:spacing w:before="56"/>
              <w:ind w:left="132"/>
              <w:rPr>
                <w:sz w:val="12"/>
              </w:rPr>
            </w:pPr>
            <w:r>
              <w:rPr>
                <w:w w:val="105"/>
                <w:sz w:val="12"/>
              </w:rPr>
              <w:t>0%</w:t>
            </w:r>
          </w:p>
        </w:tc>
        <w:tc>
          <w:tcPr>
            <w:tcW w:w="766" w:type="dxa"/>
            <w:tcBorders>
              <w:top w:val="single" w:sz="6" w:space="0" w:color="000000"/>
            </w:tcBorders>
          </w:tcPr>
          <w:p>
            <w:pPr>
              <w:pStyle w:val="TableParagraph"/>
              <w:spacing w:before="56"/>
              <w:ind w:left="242"/>
              <w:rPr>
                <w:sz w:val="12"/>
              </w:rPr>
            </w:pPr>
            <w:r>
              <w:rPr>
                <w:sz w:val="12"/>
              </w:rPr>
              <w:t>NR</w:t>
            </w:r>
          </w:p>
        </w:tc>
        <w:tc>
          <w:tcPr>
            <w:tcW w:w="1145" w:type="dxa"/>
            <w:tcBorders>
              <w:top w:val="single" w:sz="6" w:space="0" w:color="000000"/>
            </w:tcBorders>
          </w:tcPr>
          <w:p>
            <w:pPr>
              <w:pStyle w:val="TableParagraph"/>
              <w:spacing w:before="56"/>
              <w:ind w:left="436" w:right="405"/>
              <w:jc w:val="center"/>
              <w:rPr>
                <w:sz w:val="12"/>
              </w:rPr>
            </w:pPr>
            <w:r>
              <w:rPr>
                <w:w w:val="105"/>
                <w:sz w:val="12"/>
              </w:rPr>
              <w:t>0.6%</w:t>
            </w:r>
          </w:p>
        </w:tc>
      </w:tr>
      <w:tr>
        <w:trPr>
          <w:trHeight w:val="133" w:hRule="atLeast"/>
        </w:trPr>
        <w:tc>
          <w:tcPr>
            <w:tcW w:w="2001" w:type="dxa"/>
          </w:tcPr>
          <w:p>
            <w:pPr>
              <w:pStyle w:val="TableParagraph"/>
              <w:spacing w:line="114" w:lineRule="exact"/>
              <w:ind w:left="119"/>
              <w:rPr>
                <w:sz w:val="12"/>
              </w:rPr>
            </w:pPr>
            <w:r>
              <w:rPr>
                <w:w w:val="120"/>
                <w:sz w:val="12"/>
              </w:rPr>
              <w:t>Feng et al., 2020 [</w:t>
            </w:r>
            <w:hyperlink w:history="true" w:anchor="_bookmark51">
              <w:r>
                <w:rPr>
                  <w:color w:val="007FAC"/>
                  <w:w w:val="120"/>
                  <w:sz w:val="12"/>
                </w:rPr>
                <w:t>40</w:t>
              </w:r>
            </w:hyperlink>
            <w:r>
              <w:rPr>
                <w:w w:val="120"/>
                <w:sz w:val="12"/>
              </w:rPr>
              <w:t>]</w:t>
            </w:r>
          </w:p>
        </w:tc>
        <w:tc>
          <w:tcPr>
            <w:tcW w:w="711" w:type="dxa"/>
          </w:tcPr>
          <w:p>
            <w:pPr>
              <w:pStyle w:val="TableParagraph"/>
              <w:spacing w:line="114" w:lineRule="exact"/>
              <w:ind w:left="253" w:right="192"/>
              <w:jc w:val="center"/>
              <w:rPr>
                <w:sz w:val="12"/>
              </w:rPr>
            </w:pPr>
            <w:r>
              <w:rPr>
                <w:w w:val="125"/>
                <w:sz w:val="12"/>
              </w:rPr>
              <w:t>193</w:t>
            </w:r>
          </w:p>
        </w:tc>
        <w:tc>
          <w:tcPr>
            <w:tcW w:w="510" w:type="dxa"/>
          </w:tcPr>
          <w:p>
            <w:pPr>
              <w:pStyle w:val="TableParagraph"/>
              <w:rPr>
                <w:rFonts w:ascii="Times New Roman"/>
                <w:sz w:val="8"/>
              </w:rPr>
            </w:pPr>
          </w:p>
        </w:tc>
        <w:tc>
          <w:tcPr>
            <w:tcW w:w="395" w:type="dxa"/>
          </w:tcPr>
          <w:p>
            <w:pPr>
              <w:pStyle w:val="TableParagraph"/>
              <w:spacing w:line="114" w:lineRule="exact"/>
              <w:ind w:right="14"/>
              <w:jc w:val="center"/>
              <w:rPr>
                <w:sz w:val="12"/>
              </w:rPr>
            </w:pPr>
            <w:r>
              <w:rPr>
                <w:w w:val="109"/>
                <w:sz w:val="12"/>
              </w:rPr>
              <w:t>S</w:t>
            </w:r>
          </w:p>
        </w:tc>
        <w:tc>
          <w:tcPr>
            <w:tcW w:w="553" w:type="dxa"/>
          </w:tcPr>
          <w:p>
            <w:pPr>
              <w:pStyle w:val="TableParagraph"/>
              <w:rPr>
                <w:rFonts w:ascii="Times New Roman"/>
                <w:sz w:val="8"/>
              </w:rPr>
            </w:pPr>
          </w:p>
        </w:tc>
        <w:tc>
          <w:tcPr>
            <w:tcW w:w="600" w:type="dxa"/>
          </w:tcPr>
          <w:p>
            <w:pPr>
              <w:pStyle w:val="TableParagraph"/>
              <w:spacing w:line="114" w:lineRule="exact"/>
              <w:ind w:right="4"/>
              <w:jc w:val="center"/>
              <w:rPr>
                <w:sz w:val="12"/>
              </w:rPr>
            </w:pPr>
            <w:r>
              <w:rPr>
                <w:w w:val="109"/>
                <w:sz w:val="12"/>
              </w:rPr>
              <w:t>S</w:t>
            </w:r>
          </w:p>
        </w:tc>
        <w:tc>
          <w:tcPr>
            <w:tcW w:w="647" w:type="dxa"/>
          </w:tcPr>
          <w:p>
            <w:pPr>
              <w:pStyle w:val="TableParagraph"/>
              <w:rPr>
                <w:rFonts w:ascii="Times New Roman"/>
                <w:sz w:val="8"/>
              </w:rPr>
            </w:pPr>
          </w:p>
        </w:tc>
        <w:tc>
          <w:tcPr>
            <w:tcW w:w="816" w:type="dxa"/>
          </w:tcPr>
          <w:p>
            <w:pPr>
              <w:pStyle w:val="TableParagraph"/>
              <w:spacing w:line="114" w:lineRule="exact"/>
              <w:ind w:left="240"/>
              <w:rPr>
                <w:sz w:val="12"/>
              </w:rPr>
            </w:pPr>
            <w:r>
              <w:rPr>
                <w:w w:val="109"/>
                <w:sz w:val="12"/>
              </w:rPr>
              <w:t>S</w:t>
            </w:r>
          </w:p>
        </w:tc>
        <w:tc>
          <w:tcPr>
            <w:tcW w:w="662" w:type="dxa"/>
          </w:tcPr>
          <w:p>
            <w:pPr>
              <w:pStyle w:val="TableParagraph"/>
              <w:spacing w:line="114" w:lineRule="exact"/>
              <w:ind w:left="436"/>
              <w:rPr>
                <w:sz w:val="12"/>
              </w:rPr>
            </w:pPr>
            <w:r>
              <w:rPr>
                <w:w w:val="109"/>
                <w:sz w:val="12"/>
              </w:rPr>
              <w:t>S</w:t>
            </w:r>
          </w:p>
        </w:tc>
        <w:tc>
          <w:tcPr>
            <w:tcW w:w="568" w:type="dxa"/>
          </w:tcPr>
          <w:p>
            <w:pPr>
              <w:pStyle w:val="TableParagraph"/>
              <w:rPr>
                <w:rFonts w:ascii="Times New Roman"/>
                <w:sz w:val="8"/>
              </w:rPr>
            </w:pPr>
          </w:p>
        </w:tc>
        <w:tc>
          <w:tcPr>
            <w:tcW w:w="2009" w:type="dxa"/>
            <w:gridSpan w:val="2"/>
          </w:tcPr>
          <w:p>
            <w:pPr>
              <w:pStyle w:val="TableParagraph"/>
              <w:rPr>
                <w:rFonts w:ascii="Times New Roman"/>
                <w:sz w:val="8"/>
              </w:rPr>
            </w:pPr>
          </w:p>
        </w:tc>
        <w:tc>
          <w:tcPr>
            <w:tcW w:w="700" w:type="dxa"/>
          </w:tcPr>
          <w:p>
            <w:pPr>
              <w:pStyle w:val="TableParagraph"/>
              <w:rPr>
                <w:rFonts w:ascii="Times New Roman"/>
                <w:sz w:val="8"/>
              </w:rPr>
            </w:pPr>
          </w:p>
        </w:tc>
        <w:tc>
          <w:tcPr>
            <w:tcW w:w="766" w:type="dxa"/>
          </w:tcPr>
          <w:p>
            <w:pPr>
              <w:pStyle w:val="TableParagraph"/>
              <w:spacing w:line="114" w:lineRule="exact"/>
              <w:ind w:right="108"/>
              <w:jc w:val="right"/>
              <w:rPr>
                <w:sz w:val="12"/>
              </w:rPr>
            </w:pPr>
            <w:r>
              <w:rPr>
                <w:w w:val="105"/>
                <w:sz w:val="12"/>
              </w:rPr>
              <w:t>2.10%</w:t>
            </w:r>
          </w:p>
        </w:tc>
        <w:tc>
          <w:tcPr>
            <w:tcW w:w="770" w:type="dxa"/>
          </w:tcPr>
          <w:p>
            <w:pPr>
              <w:pStyle w:val="TableParagraph"/>
              <w:spacing w:line="114" w:lineRule="exact"/>
              <w:ind w:right="215"/>
              <w:jc w:val="right"/>
              <w:rPr>
                <w:sz w:val="12"/>
              </w:rPr>
            </w:pPr>
            <w:r>
              <w:rPr>
                <w:w w:val="105"/>
                <w:sz w:val="12"/>
              </w:rPr>
              <w:t>9.80%</w:t>
            </w:r>
          </w:p>
        </w:tc>
        <w:tc>
          <w:tcPr>
            <w:tcW w:w="766" w:type="dxa"/>
          </w:tcPr>
          <w:p>
            <w:pPr>
              <w:pStyle w:val="TableParagraph"/>
              <w:spacing w:line="114" w:lineRule="exact"/>
              <w:ind w:left="242"/>
              <w:rPr>
                <w:sz w:val="12"/>
              </w:rPr>
            </w:pPr>
            <w:r>
              <w:rPr>
                <w:sz w:val="12"/>
              </w:rPr>
              <w:t>NR</w:t>
            </w:r>
          </w:p>
        </w:tc>
        <w:tc>
          <w:tcPr>
            <w:tcW w:w="1145" w:type="dxa"/>
          </w:tcPr>
          <w:p>
            <w:pPr>
              <w:pStyle w:val="TableParagraph"/>
              <w:spacing w:line="114" w:lineRule="exact"/>
              <w:ind w:left="374"/>
              <w:rPr>
                <w:sz w:val="12"/>
              </w:rPr>
            </w:pPr>
            <w:r>
              <w:rPr>
                <w:sz w:val="12"/>
              </w:rPr>
              <w:t>NR</w:t>
            </w:r>
          </w:p>
        </w:tc>
      </w:tr>
      <w:tr>
        <w:trPr>
          <w:trHeight w:val="171" w:hRule="atLeast"/>
        </w:trPr>
        <w:tc>
          <w:tcPr>
            <w:tcW w:w="2001" w:type="dxa"/>
          </w:tcPr>
          <w:p>
            <w:pPr>
              <w:pStyle w:val="TableParagraph"/>
              <w:rPr>
                <w:rFonts w:ascii="Times New Roman"/>
                <w:sz w:val="10"/>
              </w:rPr>
            </w:pPr>
          </w:p>
        </w:tc>
        <w:tc>
          <w:tcPr>
            <w:tcW w:w="711" w:type="dxa"/>
          </w:tcPr>
          <w:p>
            <w:pPr>
              <w:pStyle w:val="TableParagraph"/>
              <w:spacing w:line="134" w:lineRule="exact" w:before="17"/>
              <w:ind w:left="253" w:right="192"/>
              <w:jc w:val="center"/>
              <w:rPr>
                <w:sz w:val="12"/>
              </w:rPr>
            </w:pPr>
            <w:r>
              <w:rPr>
                <w:w w:val="125"/>
                <w:sz w:val="12"/>
              </w:rPr>
              <w:t>195</w:t>
            </w:r>
          </w:p>
        </w:tc>
        <w:tc>
          <w:tcPr>
            <w:tcW w:w="510" w:type="dxa"/>
          </w:tcPr>
          <w:p>
            <w:pPr>
              <w:pStyle w:val="TableParagraph"/>
              <w:rPr>
                <w:rFonts w:ascii="Times New Roman"/>
                <w:sz w:val="10"/>
              </w:rPr>
            </w:pPr>
          </w:p>
        </w:tc>
        <w:tc>
          <w:tcPr>
            <w:tcW w:w="395" w:type="dxa"/>
          </w:tcPr>
          <w:p>
            <w:pPr>
              <w:pStyle w:val="TableParagraph"/>
              <w:spacing w:line="134" w:lineRule="exact" w:before="17"/>
              <w:ind w:right="14"/>
              <w:jc w:val="center"/>
              <w:rPr>
                <w:sz w:val="12"/>
              </w:rPr>
            </w:pPr>
            <w:r>
              <w:rPr>
                <w:w w:val="109"/>
                <w:sz w:val="12"/>
              </w:rPr>
              <w:t>S</w:t>
            </w:r>
          </w:p>
        </w:tc>
        <w:tc>
          <w:tcPr>
            <w:tcW w:w="553" w:type="dxa"/>
          </w:tcPr>
          <w:p>
            <w:pPr>
              <w:pStyle w:val="TableParagraph"/>
              <w:spacing w:line="135" w:lineRule="exact" w:before="16"/>
              <w:ind w:left="149"/>
              <w:rPr>
                <w:rFonts w:ascii="Lucida Sans"/>
                <w:sz w:val="12"/>
              </w:rPr>
            </w:pPr>
            <w:r>
              <w:rPr>
                <w:rFonts w:ascii="Lucida Sans"/>
                <w:w w:val="174"/>
                <w:sz w:val="12"/>
              </w:rPr>
              <w:t>C</w:t>
            </w:r>
          </w:p>
        </w:tc>
        <w:tc>
          <w:tcPr>
            <w:tcW w:w="600" w:type="dxa"/>
          </w:tcPr>
          <w:p>
            <w:pPr>
              <w:pStyle w:val="TableParagraph"/>
              <w:rPr>
                <w:rFonts w:ascii="Times New Roman"/>
                <w:sz w:val="10"/>
              </w:rPr>
            </w:pPr>
          </w:p>
        </w:tc>
        <w:tc>
          <w:tcPr>
            <w:tcW w:w="647" w:type="dxa"/>
          </w:tcPr>
          <w:p>
            <w:pPr>
              <w:pStyle w:val="TableParagraph"/>
              <w:rPr>
                <w:rFonts w:ascii="Times New Roman"/>
                <w:sz w:val="10"/>
              </w:rPr>
            </w:pPr>
          </w:p>
        </w:tc>
        <w:tc>
          <w:tcPr>
            <w:tcW w:w="816" w:type="dxa"/>
          </w:tcPr>
          <w:p>
            <w:pPr>
              <w:pStyle w:val="TableParagraph"/>
              <w:rPr>
                <w:rFonts w:ascii="Times New Roman"/>
                <w:sz w:val="10"/>
              </w:rPr>
            </w:pPr>
          </w:p>
        </w:tc>
        <w:tc>
          <w:tcPr>
            <w:tcW w:w="662" w:type="dxa"/>
          </w:tcPr>
          <w:p>
            <w:pPr>
              <w:pStyle w:val="TableParagraph"/>
              <w:rPr>
                <w:rFonts w:ascii="Times New Roman"/>
                <w:sz w:val="10"/>
              </w:rPr>
            </w:pPr>
          </w:p>
        </w:tc>
        <w:tc>
          <w:tcPr>
            <w:tcW w:w="568" w:type="dxa"/>
          </w:tcPr>
          <w:p>
            <w:pPr>
              <w:pStyle w:val="TableParagraph"/>
              <w:spacing w:line="135" w:lineRule="exact" w:before="16"/>
              <w:ind w:left="164"/>
              <w:rPr>
                <w:rFonts w:ascii="Lucida Sans"/>
                <w:sz w:val="12"/>
              </w:rPr>
            </w:pPr>
            <w:r>
              <w:rPr>
                <w:rFonts w:ascii="Lucida Sans"/>
                <w:w w:val="174"/>
                <w:sz w:val="12"/>
              </w:rPr>
              <w:t>C</w:t>
            </w:r>
          </w:p>
        </w:tc>
        <w:tc>
          <w:tcPr>
            <w:tcW w:w="2009" w:type="dxa"/>
            <w:gridSpan w:val="2"/>
          </w:tcPr>
          <w:p>
            <w:pPr>
              <w:pStyle w:val="TableParagraph"/>
              <w:rPr>
                <w:rFonts w:ascii="Times New Roman"/>
                <w:sz w:val="10"/>
              </w:rPr>
            </w:pPr>
          </w:p>
        </w:tc>
        <w:tc>
          <w:tcPr>
            <w:tcW w:w="700" w:type="dxa"/>
          </w:tcPr>
          <w:p>
            <w:pPr>
              <w:pStyle w:val="TableParagraph"/>
              <w:rPr>
                <w:rFonts w:ascii="Times New Roman"/>
                <w:sz w:val="10"/>
              </w:rPr>
            </w:pPr>
          </w:p>
        </w:tc>
        <w:tc>
          <w:tcPr>
            <w:tcW w:w="766" w:type="dxa"/>
          </w:tcPr>
          <w:p>
            <w:pPr>
              <w:pStyle w:val="TableParagraph"/>
              <w:spacing w:line="134" w:lineRule="exact" w:before="17"/>
              <w:ind w:right="108"/>
              <w:jc w:val="right"/>
              <w:rPr>
                <w:sz w:val="12"/>
              </w:rPr>
            </w:pPr>
            <w:r>
              <w:rPr>
                <w:w w:val="105"/>
                <w:sz w:val="12"/>
              </w:rPr>
              <w:t>0.50%</w:t>
            </w:r>
          </w:p>
        </w:tc>
        <w:tc>
          <w:tcPr>
            <w:tcW w:w="770" w:type="dxa"/>
          </w:tcPr>
          <w:p>
            <w:pPr>
              <w:pStyle w:val="TableParagraph"/>
              <w:spacing w:line="134" w:lineRule="exact" w:before="17"/>
              <w:ind w:right="215"/>
              <w:jc w:val="right"/>
              <w:rPr>
                <w:sz w:val="12"/>
              </w:rPr>
            </w:pPr>
            <w:r>
              <w:rPr>
                <w:w w:val="105"/>
                <w:sz w:val="12"/>
              </w:rPr>
              <w:t>3.10%</w:t>
            </w:r>
          </w:p>
        </w:tc>
        <w:tc>
          <w:tcPr>
            <w:tcW w:w="766" w:type="dxa"/>
          </w:tcPr>
          <w:p>
            <w:pPr>
              <w:pStyle w:val="TableParagraph"/>
              <w:spacing w:line="134" w:lineRule="exact" w:before="17"/>
              <w:ind w:left="242"/>
              <w:rPr>
                <w:sz w:val="12"/>
              </w:rPr>
            </w:pPr>
            <w:r>
              <w:rPr>
                <w:sz w:val="12"/>
              </w:rPr>
              <w:t>NR</w:t>
            </w:r>
          </w:p>
        </w:tc>
        <w:tc>
          <w:tcPr>
            <w:tcW w:w="1145" w:type="dxa"/>
          </w:tcPr>
          <w:p>
            <w:pPr>
              <w:pStyle w:val="TableParagraph"/>
              <w:spacing w:line="134" w:lineRule="exact" w:before="17"/>
              <w:ind w:left="374"/>
              <w:rPr>
                <w:sz w:val="12"/>
              </w:rPr>
            </w:pPr>
            <w:r>
              <w:rPr>
                <w:sz w:val="12"/>
              </w:rPr>
              <w:t>NR</w:t>
            </w:r>
          </w:p>
        </w:tc>
      </w:tr>
      <w:tr>
        <w:trPr>
          <w:trHeight w:val="171" w:hRule="atLeast"/>
        </w:trPr>
        <w:tc>
          <w:tcPr>
            <w:tcW w:w="2001" w:type="dxa"/>
          </w:tcPr>
          <w:p>
            <w:pPr>
              <w:pStyle w:val="TableParagraph"/>
              <w:rPr>
                <w:rFonts w:ascii="Times New Roman"/>
                <w:sz w:val="10"/>
              </w:rPr>
            </w:pPr>
          </w:p>
        </w:tc>
        <w:tc>
          <w:tcPr>
            <w:tcW w:w="711" w:type="dxa"/>
          </w:tcPr>
          <w:p>
            <w:pPr>
              <w:pStyle w:val="TableParagraph"/>
              <w:spacing w:line="134" w:lineRule="exact" w:before="17"/>
              <w:ind w:left="253" w:right="192"/>
              <w:jc w:val="center"/>
              <w:rPr>
                <w:sz w:val="12"/>
              </w:rPr>
            </w:pPr>
            <w:r>
              <w:rPr>
                <w:w w:val="125"/>
                <w:sz w:val="12"/>
              </w:rPr>
              <w:t>194</w:t>
            </w:r>
          </w:p>
        </w:tc>
        <w:tc>
          <w:tcPr>
            <w:tcW w:w="510" w:type="dxa"/>
          </w:tcPr>
          <w:p>
            <w:pPr>
              <w:pStyle w:val="TableParagraph"/>
              <w:spacing w:line="135" w:lineRule="exact" w:before="16"/>
              <w:ind w:left="59"/>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35" w:lineRule="exact" w:before="16"/>
              <w:ind w:left="149"/>
              <w:rPr>
                <w:rFonts w:ascii="Lucida Sans"/>
                <w:sz w:val="12"/>
              </w:rPr>
            </w:pPr>
            <w:r>
              <w:rPr>
                <w:rFonts w:ascii="Lucida Sans"/>
                <w:w w:val="174"/>
                <w:sz w:val="12"/>
              </w:rPr>
              <w:t>C</w:t>
            </w:r>
          </w:p>
        </w:tc>
        <w:tc>
          <w:tcPr>
            <w:tcW w:w="600" w:type="dxa"/>
          </w:tcPr>
          <w:p>
            <w:pPr>
              <w:pStyle w:val="TableParagraph"/>
              <w:rPr>
                <w:rFonts w:ascii="Times New Roman"/>
                <w:sz w:val="10"/>
              </w:rPr>
            </w:pPr>
          </w:p>
        </w:tc>
        <w:tc>
          <w:tcPr>
            <w:tcW w:w="647" w:type="dxa"/>
          </w:tcPr>
          <w:p>
            <w:pPr>
              <w:pStyle w:val="TableParagraph"/>
              <w:rPr>
                <w:rFonts w:ascii="Times New Roman"/>
                <w:sz w:val="10"/>
              </w:rPr>
            </w:pPr>
          </w:p>
        </w:tc>
        <w:tc>
          <w:tcPr>
            <w:tcW w:w="816" w:type="dxa"/>
          </w:tcPr>
          <w:p>
            <w:pPr>
              <w:pStyle w:val="TableParagraph"/>
              <w:rPr>
                <w:rFonts w:ascii="Times New Roman"/>
                <w:sz w:val="10"/>
              </w:rPr>
            </w:pPr>
          </w:p>
        </w:tc>
        <w:tc>
          <w:tcPr>
            <w:tcW w:w="662" w:type="dxa"/>
          </w:tcPr>
          <w:p>
            <w:pPr>
              <w:pStyle w:val="TableParagraph"/>
              <w:rPr>
                <w:rFonts w:ascii="Times New Roman"/>
                <w:sz w:val="10"/>
              </w:rPr>
            </w:pPr>
          </w:p>
        </w:tc>
        <w:tc>
          <w:tcPr>
            <w:tcW w:w="568" w:type="dxa"/>
          </w:tcPr>
          <w:p>
            <w:pPr>
              <w:pStyle w:val="TableParagraph"/>
              <w:spacing w:line="135" w:lineRule="exact" w:before="16"/>
              <w:ind w:left="164"/>
              <w:rPr>
                <w:rFonts w:ascii="Lucida Sans"/>
                <w:sz w:val="12"/>
              </w:rPr>
            </w:pPr>
            <w:r>
              <w:rPr>
                <w:rFonts w:ascii="Lucida Sans"/>
                <w:w w:val="174"/>
                <w:sz w:val="12"/>
              </w:rPr>
              <w:t>C</w:t>
            </w:r>
          </w:p>
        </w:tc>
        <w:tc>
          <w:tcPr>
            <w:tcW w:w="2009" w:type="dxa"/>
            <w:gridSpan w:val="2"/>
          </w:tcPr>
          <w:p>
            <w:pPr>
              <w:pStyle w:val="TableParagraph"/>
              <w:rPr>
                <w:rFonts w:ascii="Times New Roman"/>
                <w:sz w:val="10"/>
              </w:rPr>
            </w:pPr>
          </w:p>
        </w:tc>
        <w:tc>
          <w:tcPr>
            <w:tcW w:w="700" w:type="dxa"/>
          </w:tcPr>
          <w:p>
            <w:pPr>
              <w:pStyle w:val="TableParagraph"/>
              <w:rPr>
                <w:rFonts w:ascii="Times New Roman"/>
                <w:sz w:val="10"/>
              </w:rPr>
            </w:pPr>
          </w:p>
        </w:tc>
        <w:tc>
          <w:tcPr>
            <w:tcW w:w="766" w:type="dxa"/>
          </w:tcPr>
          <w:p>
            <w:pPr>
              <w:pStyle w:val="TableParagraph"/>
              <w:spacing w:line="134" w:lineRule="exact" w:before="17"/>
              <w:ind w:left="234"/>
              <w:rPr>
                <w:sz w:val="12"/>
              </w:rPr>
            </w:pPr>
            <w:r>
              <w:rPr>
                <w:sz w:val="12"/>
              </w:rPr>
              <w:t>1%</w:t>
            </w:r>
          </w:p>
        </w:tc>
        <w:tc>
          <w:tcPr>
            <w:tcW w:w="770" w:type="dxa"/>
          </w:tcPr>
          <w:p>
            <w:pPr>
              <w:pStyle w:val="TableParagraph"/>
              <w:spacing w:line="134" w:lineRule="exact" w:before="17"/>
              <w:ind w:right="215"/>
              <w:jc w:val="right"/>
              <w:rPr>
                <w:sz w:val="12"/>
              </w:rPr>
            </w:pPr>
            <w:r>
              <w:rPr>
                <w:w w:val="105"/>
                <w:sz w:val="12"/>
              </w:rPr>
              <w:t>4.10%</w:t>
            </w:r>
          </w:p>
        </w:tc>
        <w:tc>
          <w:tcPr>
            <w:tcW w:w="766" w:type="dxa"/>
          </w:tcPr>
          <w:p>
            <w:pPr>
              <w:pStyle w:val="TableParagraph"/>
              <w:spacing w:line="134" w:lineRule="exact" w:before="17"/>
              <w:ind w:left="242"/>
              <w:rPr>
                <w:sz w:val="12"/>
              </w:rPr>
            </w:pPr>
            <w:r>
              <w:rPr>
                <w:sz w:val="12"/>
              </w:rPr>
              <w:t>NR</w:t>
            </w:r>
          </w:p>
        </w:tc>
        <w:tc>
          <w:tcPr>
            <w:tcW w:w="1145" w:type="dxa"/>
          </w:tcPr>
          <w:p>
            <w:pPr>
              <w:pStyle w:val="TableParagraph"/>
              <w:spacing w:line="134" w:lineRule="exact" w:before="17"/>
              <w:ind w:left="374"/>
              <w:rPr>
                <w:sz w:val="12"/>
              </w:rPr>
            </w:pPr>
            <w:r>
              <w:rPr>
                <w:sz w:val="12"/>
              </w:rPr>
              <w:t>NR</w:t>
            </w:r>
          </w:p>
        </w:tc>
      </w:tr>
      <w:tr>
        <w:trPr>
          <w:trHeight w:val="171" w:hRule="atLeast"/>
        </w:trPr>
        <w:tc>
          <w:tcPr>
            <w:tcW w:w="2001" w:type="dxa"/>
          </w:tcPr>
          <w:p>
            <w:pPr>
              <w:pStyle w:val="TableParagraph"/>
              <w:spacing w:line="135" w:lineRule="exact" w:before="17"/>
              <w:ind w:left="119"/>
              <w:rPr>
                <w:sz w:val="12"/>
              </w:rPr>
            </w:pPr>
            <w:r>
              <w:rPr>
                <w:w w:val="120"/>
                <w:sz w:val="12"/>
              </w:rPr>
              <w:t>Sundaram et al., 2020 [</w:t>
            </w:r>
            <w:hyperlink w:history="true" w:anchor="_bookmark42">
              <w:r>
                <w:rPr>
                  <w:color w:val="007FAC"/>
                  <w:w w:val="120"/>
                  <w:sz w:val="12"/>
                </w:rPr>
                <w:t>31</w:t>
              </w:r>
            </w:hyperlink>
            <w:r>
              <w:rPr>
                <w:w w:val="120"/>
                <w:sz w:val="12"/>
              </w:rPr>
              <w:t>]</w:t>
            </w:r>
          </w:p>
        </w:tc>
        <w:tc>
          <w:tcPr>
            <w:tcW w:w="711" w:type="dxa"/>
          </w:tcPr>
          <w:p>
            <w:pPr>
              <w:pStyle w:val="TableParagraph"/>
              <w:spacing w:line="135" w:lineRule="exact" w:before="17"/>
              <w:ind w:left="253" w:right="116"/>
              <w:jc w:val="center"/>
              <w:rPr>
                <w:sz w:val="12"/>
              </w:rPr>
            </w:pPr>
            <w:r>
              <w:rPr>
                <w:w w:val="125"/>
                <w:sz w:val="12"/>
              </w:rPr>
              <w:t>30</w:t>
            </w:r>
          </w:p>
        </w:tc>
        <w:tc>
          <w:tcPr>
            <w:tcW w:w="510" w:type="dxa"/>
          </w:tcPr>
          <w:p>
            <w:pPr>
              <w:pStyle w:val="TableParagraph"/>
              <w:spacing w:line="136" w:lineRule="exact" w:before="16"/>
              <w:ind w:left="59"/>
              <w:jc w:val="center"/>
              <w:rPr>
                <w:rFonts w:ascii="Lucida Sans"/>
                <w:sz w:val="12"/>
              </w:rPr>
            </w:pPr>
            <w:r>
              <w:rPr>
                <w:rFonts w:ascii="Lucida Sans"/>
                <w:w w:val="174"/>
                <w:sz w:val="12"/>
              </w:rPr>
              <w:t>C</w:t>
            </w:r>
          </w:p>
        </w:tc>
        <w:tc>
          <w:tcPr>
            <w:tcW w:w="395" w:type="dxa"/>
          </w:tcPr>
          <w:p>
            <w:pPr>
              <w:pStyle w:val="TableParagraph"/>
              <w:rPr>
                <w:rFonts w:ascii="Times New Roman"/>
                <w:sz w:val="10"/>
              </w:rPr>
            </w:pPr>
          </w:p>
        </w:tc>
        <w:tc>
          <w:tcPr>
            <w:tcW w:w="553" w:type="dxa"/>
          </w:tcPr>
          <w:p>
            <w:pPr>
              <w:pStyle w:val="TableParagraph"/>
              <w:spacing w:line="136" w:lineRule="exact" w:before="16"/>
              <w:ind w:left="149"/>
              <w:rPr>
                <w:rFonts w:ascii="Lucida Sans"/>
                <w:sz w:val="12"/>
              </w:rPr>
            </w:pPr>
            <w:r>
              <w:rPr>
                <w:rFonts w:ascii="Lucida Sans"/>
                <w:w w:val="174"/>
                <w:sz w:val="12"/>
              </w:rPr>
              <w:t>C</w:t>
            </w:r>
          </w:p>
        </w:tc>
        <w:tc>
          <w:tcPr>
            <w:tcW w:w="600" w:type="dxa"/>
          </w:tcPr>
          <w:p>
            <w:pPr>
              <w:pStyle w:val="TableParagraph"/>
              <w:rPr>
                <w:rFonts w:ascii="Times New Roman"/>
                <w:sz w:val="10"/>
              </w:rPr>
            </w:pPr>
          </w:p>
        </w:tc>
        <w:tc>
          <w:tcPr>
            <w:tcW w:w="647" w:type="dxa"/>
          </w:tcPr>
          <w:p>
            <w:pPr>
              <w:pStyle w:val="TableParagraph"/>
              <w:spacing w:line="136" w:lineRule="exact" w:before="16"/>
              <w:ind w:right="233"/>
              <w:jc w:val="right"/>
              <w:rPr>
                <w:rFonts w:ascii="Lucida Sans"/>
                <w:sz w:val="12"/>
              </w:rPr>
            </w:pPr>
            <w:r>
              <w:rPr>
                <w:rFonts w:ascii="Lucida Sans"/>
                <w:w w:val="174"/>
                <w:sz w:val="12"/>
              </w:rPr>
              <w:t>C</w:t>
            </w:r>
          </w:p>
        </w:tc>
        <w:tc>
          <w:tcPr>
            <w:tcW w:w="816" w:type="dxa"/>
          </w:tcPr>
          <w:p>
            <w:pPr>
              <w:pStyle w:val="TableParagraph"/>
              <w:rPr>
                <w:rFonts w:ascii="Times New Roman"/>
                <w:sz w:val="10"/>
              </w:rPr>
            </w:pPr>
          </w:p>
        </w:tc>
        <w:tc>
          <w:tcPr>
            <w:tcW w:w="662" w:type="dxa"/>
          </w:tcPr>
          <w:p>
            <w:pPr>
              <w:pStyle w:val="TableParagraph"/>
              <w:rPr>
                <w:rFonts w:ascii="Times New Roman"/>
                <w:sz w:val="10"/>
              </w:rPr>
            </w:pPr>
          </w:p>
        </w:tc>
        <w:tc>
          <w:tcPr>
            <w:tcW w:w="568" w:type="dxa"/>
          </w:tcPr>
          <w:p>
            <w:pPr>
              <w:pStyle w:val="TableParagraph"/>
              <w:rPr>
                <w:rFonts w:ascii="Times New Roman"/>
                <w:sz w:val="10"/>
              </w:rPr>
            </w:pPr>
          </w:p>
        </w:tc>
        <w:tc>
          <w:tcPr>
            <w:tcW w:w="2009" w:type="dxa"/>
            <w:gridSpan w:val="2"/>
          </w:tcPr>
          <w:p>
            <w:pPr>
              <w:pStyle w:val="TableParagraph"/>
              <w:spacing w:line="135" w:lineRule="exact" w:before="17"/>
              <w:ind w:right="329"/>
              <w:jc w:val="right"/>
              <w:rPr>
                <w:sz w:val="12"/>
              </w:rPr>
            </w:pPr>
            <w:r>
              <w:rPr>
                <w:w w:val="93"/>
                <w:sz w:val="12"/>
              </w:rPr>
              <w:t>A</w:t>
            </w:r>
          </w:p>
        </w:tc>
        <w:tc>
          <w:tcPr>
            <w:tcW w:w="700" w:type="dxa"/>
          </w:tcPr>
          <w:p>
            <w:pPr>
              <w:pStyle w:val="TableParagraph"/>
              <w:spacing w:line="135" w:lineRule="exact" w:before="17"/>
              <w:ind w:right="212"/>
              <w:jc w:val="right"/>
              <w:rPr>
                <w:sz w:val="12"/>
              </w:rPr>
            </w:pPr>
            <w:r>
              <w:rPr>
                <w:w w:val="105"/>
                <w:sz w:val="12"/>
              </w:rPr>
              <w:t>SS</w:t>
            </w:r>
          </w:p>
        </w:tc>
        <w:tc>
          <w:tcPr>
            <w:tcW w:w="766" w:type="dxa"/>
          </w:tcPr>
          <w:p>
            <w:pPr>
              <w:pStyle w:val="TableParagraph"/>
              <w:spacing w:line="135" w:lineRule="exact" w:before="17"/>
              <w:ind w:left="234"/>
              <w:rPr>
                <w:sz w:val="12"/>
              </w:rPr>
            </w:pPr>
            <w:r>
              <w:rPr>
                <w:w w:val="105"/>
                <w:sz w:val="12"/>
              </w:rPr>
              <w:t>0%</w:t>
            </w:r>
          </w:p>
        </w:tc>
        <w:tc>
          <w:tcPr>
            <w:tcW w:w="770" w:type="dxa"/>
          </w:tcPr>
          <w:p>
            <w:pPr>
              <w:pStyle w:val="TableParagraph"/>
              <w:spacing w:line="135" w:lineRule="exact" w:before="17"/>
              <w:ind w:left="132"/>
              <w:rPr>
                <w:sz w:val="12"/>
              </w:rPr>
            </w:pPr>
            <w:r>
              <w:rPr>
                <w:w w:val="105"/>
                <w:sz w:val="12"/>
              </w:rPr>
              <w:t>0%</w:t>
            </w:r>
          </w:p>
        </w:tc>
        <w:tc>
          <w:tcPr>
            <w:tcW w:w="766" w:type="dxa"/>
          </w:tcPr>
          <w:p>
            <w:pPr>
              <w:pStyle w:val="TableParagraph"/>
              <w:spacing w:line="135" w:lineRule="exact" w:before="17"/>
              <w:ind w:left="242"/>
              <w:rPr>
                <w:sz w:val="12"/>
              </w:rPr>
            </w:pPr>
            <w:r>
              <w:rPr>
                <w:sz w:val="12"/>
              </w:rPr>
              <w:t>NR</w:t>
            </w:r>
          </w:p>
        </w:tc>
        <w:tc>
          <w:tcPr>
            <w:tcW w:w="1145" w:type="dxa"/>
          </w:tcPr>
          <w:p>
            <w:pPr>
              <w:pStyle w:val="TableParagraph"/>
              <w:spacing w:line="135" w:lineRule="exact" w:before="17"/>
              <w:ind w:left="374"/>
              <w:rPr>
                <w:sz w:val="12"/>
              </w:rPr>
            </w:pPr>
            <w:r>
              <w:rPr>
                <w:w w:val="105"/>
                <w:sz w:val="12"/>
              </w:rPr>
              <w:t>0%</w:t>
            </w:r>
          </w:p>
        </w:tc>
      </w:tr>
      <w:tr>
        <w:trPr>
          <w:trHeight w:val="209" w:hRule="atLeast"/>
        </w:trPr>
        <w:tc>
          <w:tcPr>
            <w:tcW w:w="2001" w:type="dxa"/>
            <w:tcBorders>
              <w:bottom w:val="single" w:sz="6" w:space="0" w:color="000000"/>
            </w:tcBorders>
          </w:tcPr>
          <w:p>
            <w:pPr>
              <w:pStyle w:val="TableParagraph"/>
              <w:rPr>
                <w:rFonts w:ascii="Times New Roman"/>
                <w:sz w:val="12"/>
              </w:rPr>
            </w:pPr>
          </w:p>
        </w:tc>
        <w:tc>
          <w:tcPr>
            <w:tcW w:w="711" w:type="dxa"/>
            <w:tcBorders>
              <w:bottom w:val="single" w:sz="6" w:space="0" w:color="000000"/>
            </w:tcBorders>
          </w:tcPr>
          <w:p>
            <w:pPr>
              <w:pStyle w:val="TableParagraph"/>
              <w:spacing w:before="17"/>
              <w:ind w:left="253" w:right="116"/>
              <w:jc w:val="center"/>
              <w:rPr>
                <w:sz w:val="12"/>
              </w:rPr>
            </w:pPr>
            <w:r>
              <w:rPr>
                <w:w w:val="125"/>
                <w:sz w:val="12"/>
              </w:rPr>
              <w:t>30</w:t>
            </w:r>
          </w:p>
        </w:tc>
        <w:tc>
          <w:tcPr>
            <w:tcW w:w="510" w:type="dxa"/>
            <w:tcBorders>
              <w:bottom w:val="single" w:sz="6" w:space="0" w:color="000000"/>
            </w:tcBorders>
          </w:tcPr>
          <w:p>
            <w:pPr>
              <w:pStyle w:val="TableParagraph"/>
              <w:rPr>
                <w:rFonts w:ascii="Times New Roman"/>
                <w:sz w:val="12"/>
              </w:rPr>
            </w:pPr>
          </w:p>
        </w:tc>
        <w:tc>
          <w:tcPr>
            <w:tcW w:w="395" w:type="dxa"/>
            <w:tcBorders>
              <w:bottom w:val="single" w:sz="6" w:space="0" w:color="000000"/>
            </w:tcBorders>
          </w:tcPr>
          <w:p>
            <w:pPr>
              <w:pStyle w:val="TableParagraph"/>
              <w:spacing w:before="17"/>
              <w:ind w:right="14"/>
              <w:jc w:val="center"/>
              <w:rPr>
                <w:sz w:val="12"/>
              </w:rPr>
            </w:pPr>
            <w:r>
              <w:rPr>
                <w:w w:val="109"/>
                <w:sz w:val="12"/>
              </w:rPr>
              <w:t>S</w:t>
            </w:r>
          </w:p>
        </w:tc>
        <w:tc>
          <w:tcPr>
            <w:tcW w:w="553" w:type="dxa"/>
            <w:tcBorders>
              <w:bottom w:val="single" w:sz="6" w:space="0" w:color="000000"/>
            </w:tcBorders>
          </w:tcPr>
          <w:p>
            <w:pPr>
              <w:pStyle w:val="TableParagraph"/>
              <w:spacing w:before="16"/>
              <w:ind w:left="149"/>
              <w:rPr>
                <w:rFonts w:ascii="Lucida Sans"/>
                <w:sz w:val="12"/>
              </w:rPr>
            </w:pPr>
            <w:r>
              <w:rPr>
                <w:rFonts w:ascii="Lucida Sans"/>
                <w:w w:val="174"/>
                <w:sz w:val="12"/>
              </w:rPr>
              <w:t>C</w:t>
            </w:r>
          </w:p>
        </w:tc>
        <w:tc>
          <w:tcPr>
            <w:tcW w:w="600" w:type="dxa"/>
            <w:tcBorders>
              <w:bottom w:val="single" w:sz="6" w:space="0" w:color="000000"/>
            </w:tcBorders>
          </w:tcPr>
          <w:p>
            <w:pPr>
              <w:pStyle w:val="TableParagraph"/>
              <w:rPr>
                <w:rFonts w:ascii="Times New Roman"/>
                <w:sz w:val="12"/>
              </w:rPr>
            </w:pPr>
          </w:p>
        </w:tc>
        <w:tc>
          <w:tcPr>
            <w:tcW w:w="647" w:type="dxa"/>
            <w:tcBorders>
              <w:bottom w:val="single" w:sz="6" w:space="0" w:color="000000"/>
            </w:tcBorders>
          </w:tcPr>
          <w:p>
            <w:pPr>
              <w:pStyle w:val="TableParagraph"/>
              <w:spacing w:before="16"/>
              <w:ind w:right="233"/>
              <w:jc w:val="right"/>
              <w:rPr>
                <w:rFonts w:ascii="Lucida Sans"/>
                <w:sz w:val="12"/>
              </w:rPr>
            </w:pPr>
            <w:r>
              <w:rPr>
                <w:rFonts w:ascii="Lucida Sans"/>
                <w:w w:val="174"/>
                <w:sz w:val="12"/>
              </w:rPr>
              <w:t>C</w:t>
            </w:r>
          </w:p>
        </w:tc>
        <w:tc>
          <w:tcPr>
            <w:tcW w:w="816" w:type="dxa"/>
            <w:tcBorders>
              <w:bottom w:val="single" w:sz="6" w:space="0" w:color="000000"/>
            </w:tcBorders>
          </w:tcPr>
          <w:p>
            <w:pPr>
              <w:pStyle w:val="TableParagraph"/>
              <w:rPr>
                <w:rFonts w:ascii="Times New Roman"/>
                <w:sz w:val="12"/>
              </w:rPr>
            </w:pPr>
          </w:p>
        </w:tc>
        <w:tc>
          <w:tcPr>
            <w:tcW w:w="662" w:type="dxa"/>
            <w:tcBorders>
              <w:bottom w:val="single" w:sz="6" w:space="0" w:color="000000"/>
            </w:tcBorders>
          </w:tcPr>
          <w:p>
            <w:pPr>
              <w:pStyle w:val="TableParagraph"/>
              <w:rPr>
                <w:rFonts w:ascii="Times New Roman"/>
                <w:sz w:val="12"/>
              </w:rPr>
            </w:pPr>
          </w:p>
        </w:tc>
        <w:tc>
          <w:tcPr>
            <w:tcW w:w="568" w:type="dxa"/>
            <w:tcBorders>
              <w:bottom w:val="single" w:sz="6" w:space="0" w:color="000000"/>
            </w:tcBorders>
          </w:tcPr>
          <w:p>
            <w:pPr>
              <w:pStyle w:val="TableParagraph"/>
              <w:rPr>
                <w:rFonts w:ascii="Times New Roman"/>
                <w:sz w:val="12"/>
              </w:rPr>
            </w:pPr>
          </w:p>
        </w:tc>
        <w:tc>
          <w:tcPr>
            <w:tcW w:w="2009" w:type="dxa"/>
            <w:gridSpan w:val="2"/>
            <w:tcBorders>
              <w:bottom w:val="single" w:sz="6" w:space="0" w:color="000000"/>
            </w:tcBorders>
          </w:tcPr>
          <w:p>
            <w:pPr>
              <w:pStyle w:val="TableParagraph"/>
              <w:spacing w:before="17"/>
              <w:ind w:right="329"/>
              <w:jc w:val="right"/>
              <w:rPr>
                <w:sz w:val="12"/>
              </w:rPr>
            </w:pPr>
            <w:r>
              <w:rPr>
                <w:w w:val="93"/>
                <w:sz w:val="12"/>
              </w:rPr>
              <w:t>A</w:t>
            </w:r>
          </w:p>
        </w:tc>
        <w:tc>
          <w:tcPr>
            <w:tcW w:w="700" w:type="dxa"/>
            <w:tcBorders>
              <w:bottom w:val="single" w:sz="6" w:space="0" w:color="000000"/>
            </w:tcBorders>
          </w:tcPr>
          <w:p>
            <w:pPr>
              <w:pStyle w:val="TableParagraph"/>
              <w:spacing w:before="17"/>
              <w:ind w:right="212"/>
              <w:jc w:val="right"/>
              <w:rPr>
                <w:sz w:val="12"/>
              </w:rPr>
            </w:pPr>
            <w:r>
              <w:rPr>
                <w:w w:val="105"/>
                <w:sz w:val="12"/>
              </w:rPr>
              <w:t>SS</w:t>
            </w:r>
          </w:p>
        </w:tc>
        <w:tc>
          <w:tcPr>
            <w:tcW w:w="766" w:type="dxa"/>
            <w:tcBorders>
              <w:bottom w:val="single" w:sz="6" w:space="0" w:color="000000"/>
            </w:tcBorders>
          </w:tcPr>
          <w:p>
            <w:pPr>
              <w:pStyle w:val="TableParagraph"/>
              <w:spacing w:before="17"/>
              <w:ind w:left="234"/>
              <w:rPr>
                <w:sz w:val="12"/>
              </w:rPr>
            </w:pPr>
            <w:r>
              <w:rPr>
                <w:w w:val="105"/>
                <w:sz w:val="12"/>
              </w:rPr>
              <w:t>0%</w:t>
            </w:r>
          </w:p>
        </w:tc>
        <w:tc>
          <w:tcPr>
            <w:tcW w:w="770" w:type="dxa"/>
            <w:tcBorders>
              <w:bottom w:val="single" w:sz="6" w:space="0" w:color="000000"/>
            </w:tcBorders>
          </w:tcPr>
          <w:p>
            <w:pPr>
              <w:pStyle w:val="TableParagraph"/>
              <w:spacing w:before="17"/>
              <w:ind w:left="132"/>
              <w:rPr>
                <w:sz w:val="12"/>
              </w:rPr>
            </w:pPr>
            <w:r>
              <w:rPr>
                <w:w w:val="105"/>
                <w:sz w:val="12"/>
              </w:rPr>
              <w:t>0%</w:t>
            </w:r>
          </w:p>
        </w:tc>
        <w:tc>
          <w:tcPr>
            <w:tcW w:w="766" w:type="dxa"/>
            <w:tcBorders>
              <w:bottom w:val="single" w:sz="6" w:space="0" w:color="000000"/>
            </w:tcBorders>
          </w:tcPr>
          <w:p>
            <w:pPr>
              <w:pStyle w:val="TableParagraph"/>
              <w:spacing w:before="17"/>
              <w:ind w:left="242"/>
              <w:rPr>
                <w:sz w:val="12"/>
              </w:rPr>
            </w:pPr>
            <w:r>
              <w:rPr>
                <w:sz w:val="12"/>
              </w:rPr>
              <w:t>NR</w:t>
            </w:r>
          </w:p>
        </w:tc>
        <w:tc>
          <w:tcPr>
            <w:tcW w:w="1145" w:type="dxa"/>
            <w:tcBorders>
              <w:bottom w:val="single" w:sz="6" w:space="0" w:color="000000"/>
            </w:tcBorders>
          </w:tcPr>
          <w:p>
            <w:pPr>
              <w:pStyle w:val="TableParagraph"/>
              <w:spacing w:before="17"/>
              <w:ind w:left="374"/>
              <w:rPr>
                <w:sz w:val="12"/>
              </w:rPr>
            </w:pPr>
            <w:r>
              <w:rPr>
                <w:w w:val="105"/>
                <w:sz w:val="12"/>
              </w:rPr>
              <w:t>0%</w:t>
            </w:r>
          </w:p>
        </w:tc>
      </w:tr>
    </w:tbl>
    <w:p>
      <w:pPr>
        <w:spacing w:line="271" w:lineRule="auto" w:before="38"/>
        <w:ind w:left="503" w:right="0" w:firstLine="0"/>
        <w:jc w:val="left"/>
        <w:rPr>
          <w:sz w:val="12"/>
        </w:rPr>
      </w:pPr>
      <w:r>
        <w:rPr>
          <w:rFonts w:ascii="Arial"/>
          <w:w w:val="110"/>
          <w:sz w:val="14"/>
        </w:rPr>
        <w:t>a</w:t>
      </w:r>
      <w:r>
        <w:rPr>
          <w:w w:val="110"/>
          <w:sz w:val="12"/>
        </w:rPr>
        <w:t>, assumption; A, Aquacel; AM, antimicrobial sutures; BS, barbed sutures; D, Dermabond; E, Ethilon; H, Histoacryl; L, Liquiband; LS, Leukostrip; N, Nylon; NR, not reported; O, Opsite; Q, Quill; S, STRATAFIX; SP, surgeon preference; SS, Steri-strips; SSI, surgical site infection; SwS, SwiftSet; T, Tegaderm; TS, traditional sutures; TSA, topical skin adhesive; X, Xeroform; Z, Zipline.</w:t>
      </w:r>
    </w:p>
    <w:p>
      <w:pPr>
        <w:spacing w:line="153" w:lineRule="exact" w:before="0"/>
        <w:ind w:left="620" w:right="0" w:firstLine="0"/>
        <w:jc w:val="left"/>
        <w:rPr>
          <w:sz w:val="12"/>
        </w:rPr>
      </w:pPr>
      <w:r>
        <w:rPr>
          <w:w w:val="115"/>
          <w:position w:val="6"/>
          <w:sz w:val="9"/>
        </w:rPr>
        <w:t>a</w:t>
      </w:r>
      <w:r>
        <w:rPr>
          <w:spacing w:val="8"/>
          <w:w w:val="115"/>
          <w:position w:val="6"/>
          <w:sz w:val="9"/>
        </w:rPr>
        <w:t> </w:t>
      </w:r>
      <w:r>
        <w:rPr>
          <w:w w:val="115"/>
          <w:sz w:val="12"/>
        </w:rPr>
        <w:t>Khan,</w:t>
      </w:r>
      <w:r>
        <w:rPr>
          <w:spacing w:val="-12"/>
          <w:w w:val="115"/>
          <w:sz w:val="12"/>
        </w:rPr>
        <w:t> </w:t>
      </w:r>
      <w:r>
        <w:rPr>
          <w:w w:val="115"/>
          <w:sz w:val="12"/>
        </w:rPr>
        <w:t>2006</w:t>
      </w:r>
      <w:r>
        <w:rPr>
          <w:spacing w:val="-11"/>
          <w:w w:val="115"/>
          <w:sz w:val="12"/>
        </w:rPr>
        <w:t> </w:t>
      </w:r>
      <w:r>
        <w:rPr>
          <w:w w:val="115"/>
          <w:sz w:val="12"/>
        </w:rPr>
        <w:t>for</w:t>
      </w:r>
      <w:r>
        <w:rPr>
          <w:spacing w:val="-12"/>
          <w:w w:val="115"/>
          <w:sz w:val="12"/>
        </w:rPr>
        <w:t> </w:t>
      </w:r>
      <w:r>
        <w:rPr>
          <w:w w:val="115"/>
          <w:sz w:val="12"/>
        </w:rPr>
        <w:t>the</w:t>
      </w:r>
      <w:r>
        <w:rPr>
          <w:spacing w:val="-11"/>
          <w:w w:val="115"/>
          <w:sz w:val="12"/>
        </w:rPr>
        <w:t> </w:t>
      </w:r>
      <w:r>
        <w:rPr>
          <w:w w:val="115"/>
          <w:sz w:val="12"/>
        </w:rPr>
        <w:t>TSA</w:t>
      </w:r>
      <w:r>
        <w:rPr>
          <w:spacing w:val="-11"/>
          <w:w w:val="115"/>
          <w:sz w:val="12"/>
        </w:rPr>
        <w:t> </w:t>
      </w:r>
      <w:r>
        <w:rPr>
          <w:w w:val="115"/>
          <w:sz w:val="12"/>
        </w:rPr>
        <w:t>arm</w:t>
      </w:r>
      <w:r>
        <w:rPr>
          <w:spacing w:val="-11"/>
          <w:w w:val="115"/>
          <w:sz w:val="12"/>
        </w:rPr>
        <w:t> </w:t>
      </w:r>
      <w:r>
        <w:rPr>
          <w:w w:val="115"/>
          <w:sz w:val="12"/>
        </w:rPr>
        <w:t>assumed</w:t>
      </w:r>
      <w:r>
        <w:rPr>
          <w:spacing w:val="-12"/>
          <w:w w:val="115"/>
          <w:sz w:val="12"/>
        </w:rPr>
        <w:t> </w:t>
      </w:r>
      <w:r>
        <w:rPr>
          <w:w w:val="115"/>
          <w:sz w:val="12"/>
        </w:rPr>
        <w:t>that</w:t>
      </w:r>
      <w:r>
        <w:rPr>
          <w:spacing w:val="-12"/>
          <w:w w:val="115"/>
          <w:sz w:val="12"/>
        </w:rPr>
        <w:t> </w:t>
      </w:r>
      <w:r>
        <w:rPr>
          <w:w w:val="115"/>
          <w:sz w:val="12"/>
        </w:rPr>
        <w:t>no</w:t>
      </w:r>
      <w:r>
        <w:rPr>
          <w:spacing w:val="-12"/>
          <w:w w:val="115"/>
          <w:sz w:val="12"/>
        </w:rPr>
        <w:t> </w:t>
      </w:r>
      <w:r>
        <w:rPr>
          <w:w w:val="115"/>
          <w:sz w:val="12"/>
        </w:rPr>
        <w:t>sutures</w:t>
      </w:r>
      <w:r>
        <w:rPr>
          <w:spacing w:val="-11"/>
          <w:w w:val="115"/>
          <w:sz w:val="12"/>
        </w:rPr>
        <w:t> </w:t>
      </w:r>
      <w:r>
        <w:rPr>
          <w:w w:val="115"/>
          <w:sz w:val="12"/>
        </w:rPr>
        <w:t>were</w:t>
      </w:r>
      <w:r>
        <w:rPr>
          <w:spacing w:val="-11"/>
          <w:w w:val="115"/>
          <w:sz w:val="12"/>
        </w:rPr>
        <w:t> </w:t>
      </w:r>
      <w:r>
        <w:rPr>
          <w:w w:val="115"/>
          <w:sz w:val="12"/>
        </w:rPr>
        <w:t>used</w:t>
      </w:r>
      <w:r>
        <w:rPr>
          <w:spacing w:val="-12"/>
          <w:w w:val="115"/>
          <w:sz w:val="12"/>
        </w:rPr>
        <w:t> </w:t>
      </w:r>
      <w:r>
        <w:rPr>
          <w:w w:val="115"/>
          <w:sz w:val="12"/>
        </w:rPr>
        <w:t>on</w:t>
      </w:r>
      <w:r>
        <w:rPr>
          <w:spacing w:val="-12"/>
          <w:w w:val="115"/>
          <w:sz w:val="12"/>
        </w:rPr>
        <w:t> </w:t>
      </w:r>
      <w:r>
        <w:rPr>
          <w:w w:val="115"/>
          <w:sz w:val="12"/>
        </w:rPr>
        <w:t>the</w:t>
      </w:r>
      <w:r>
        <w:rPr>
          <w:spacing w:val="-11"/>
          <w:w w:val="115"/>
          <w:sz w:val="12"/>
        </w:rPr>
        <w:t> </w:t>
      </w:r>
      <w:r>
        <w:rPr>
          <w:w w:val="115"/>
          <w:sz w:val="12"/>
        </w:rPr>
        <w:t>subcuticular</w:t>
      </w:r>
      <w:r>
        <w:rPr>
          <w:spacing w:val="-12"/>
          <w:w w:val="115"/>
          <w:sz w:val="12"/>
        </w:rPr>
        <w:t> </w:t>
      </w:r>
      <w:r>
        <w:rPr>
          <w:w w:val="115"/>
          <w:sz w:val="12"/>
        </w:rPr>
        <w:t>layer</w:t>
      </w:r>
      <w:r>
        <w:rPr>
          <w:spacing w:val="-11"/>
          <w:w w:val="115"/>
          <w:sz w:val="12"/>
        </w:rPr>
        <w:t> </w:t>
      </w:r>
      <w:r>
        <w:rPr>
          <w:w w:val="115"/>
          <w:sz w:val="12"/>
        </w:rPr>
        <w:t>as</w:t>
      </w:r>
      <w:r>
        <w:rPr>
          <w:spacing w:val="-11"/>
          <w:w w:val="115"/>
          <w:sz w:val="12"/>
        </w:rPr>
        <w:t> </w:t>
      </w:r>
      <w:r>
        <w:rPr>
          <w:w w:val="115"/>
          <w:sz w:val="12"/>
        </w:rPr>
        <w:t>2</w:t>
      </w:r>
      <w:r>
        <w:rPr>
          <w:spacing w:val="-12"/>
          <w:w w:val="115"/>
          <w:sz w:val="12"/>
        </w:rPr>
        <w:t> </w:t>
      </w:r>
      <w:r>
        <w:rPr>
          <w:w w:val="115"/>
          <w:sz w:val="12"/>
        </w:rPr>
        <w:t>layers</w:t>
      </w:r>
      <w:r>
        <w:rPr>
          <w:spacing w:val="-10"/>
          <w:w w:val="115"/>
          <w:sz w:val="12"/>
        </w:rPr>
        <w:t> </w:t>
      </w:r>
      <w:r>
        <w:rPr>
          <w:w w:val="115"/>
          <w:sz w:val="12"/>
        </w:rPr>
        <w:t>of</w:t>
      </w:r>
      <w:r>
        <w:rPr>
          <w:spacing w:val="-12"/>
          <w:w w:val="115"/>
          <w:sz w:val="12"/>
        </w:rPr>
        <w:t> </w:t>
      </w:r>
      <w:r>
        <w:rPr>
          <w:w w:val="115"/>
          <w:sz w:val="12"/>
        </w:rPr>
        <w:t>Dermabond</w:t>
      </w:r>
      <w:r>
        <w:rPr>
          <w:spacing w:val="-12"/>
          <w:w w:val="115"/>
          <w:sz w:val="12"/>
        </w:rPr>
        <w:t> </w:t>
      </w:r>
      <w:r>
        <w:rPr>
          <w:w w:val="115"/>
          <w:sz w:val="12"/>
        </w:rPr>
        <w:t>were</w:t>
      </w:r>
      <w:r>
        <w:rPr>
          <w:spacing w:val="-11"/>
          <w:w w:val="115"/>
          <w:sz w:val="12"/>
        </w:rPr>
        <w:t> </w:t>
      </w:r>
      <w:r>
        <w:rPr>
          <w:w w:val="115"/>
          <w:sz w:val="12"/>
        </w:rPr>
        <w:t>used.</w:t>
      </w:r>
      <w:r>
        <w:rPr>
          <w:spacing w:val="-12"/>
          <w:w w:val="115"/>
          <w:sz w:val="12"/>
        </w:rPr>
        <w:t> </w:t>
      </w:r>
      <w:r>
        <w:rPr>
          <w:w w:val="115"/>
          <w:sz w:val="12"/>
        </w:rPr>
        <w:t>For</w:t>
      </w:r>
      <w:r>
        <w:rPr>
          <w:spacing w:val="-12"/>
          <w:w w:val="115"/>
          <w:sz w:val="12"/>
        </w:rPr>
        <w:t> </w:t>
      </w:r>
      <w:r>
        <w:rPr>
          <w:w w:val="115"/>
          <w:sz w:val="12"/>
        </w:rPr>
        <w:t>the</w:t>
      </w:r>
      <w:r>
        <w:rPr>
          <w:spacing w:val="-11"/>
          <w:w w:val="115"/>
          <w:sz w:val="12"/>
        </w:rPr>
        <w:t> </w:t>
      </w:r>
      <w:r>
        <w:rPr>
          <w:w w:val="115"/>
          <w:sz w:val="12"/>
        </w:rPr>
        <w:t>traditional</w:t>
      </w:r>
      <w:r>
        <w:rPr>
          <w:spacing w:val="-11"/>
          <w:w w:val="115"/>
          <w:sz w:val="12"/>
        </w:rPr>
        <w:t> </w:t>
      </w:r>
      <w:r>
        <w:rPr>
          <w:w w:val="115"/>
          <w:sz w:val="12"/>
        </w:rPr>
        <w:t>sutures</w:t>
      </w:r>
      <w:r>
        <w:rPr>
          <w:spacing w:val="-12"/>
          <w:w w:val="115"/>
          <w:sz w:val="12"/>
        </w:rPr>
        <w:t> </w:t>
      </w:r>
      <w:r>
        <w:rPr>
          <w:w w:val="115"/>
          <w:sz w:val="12"/>
        </w:rPr>
        <w:t>arm</w:t>
      </w:r>
      <w:r>
        <w:rPr>
          <w:spacing w:val="-11"/>
          <w:w w:val="115"/>
          <w:sz w:val="12"/>
        </w:rPr>
        <w:t> </w:t>
      </w:r>
      <w:r>
        <w:rPr>
          <w:w w:val="115"/>
          <w:sz w:val="12"/>
        </w:rPr>
        <w:t>3.0</w:t>
      </w:r>
      <w:r>
        <w:rPr>
          <w:spacing w:val="-11"/>
          <w:w w:val="115"/>
          <w:sz w:val="12"/>
        </w:rPr>
        <w:t> </w:t>
      </w:r>
      <w:r>
        <w:rPr>
          <w:w w:val="115"/>
          <w:sz w:val="12"/>
        </w:rPr>
        <w:t>Monocryl</w:t>
      </w:r>
      <w:r>
        <w:rPr>
          <w:spacing w:val="-11"/>
          <w:w w:val="115"/>
          <w:sz w:val="12"/>
        </w:rPr>
        <w:t> </w:t>
      </w:r>
      <w:r>
        <w:rPr>
          <w:w w:val="115"/>
          <w:sz w:val="12"/>
        </w:rPr>
        <w:t>was</w:t>
      </w:r>
      <w:r>
        <w:rPr>
          <w:spacing w:val="-11"/>
          <w:w w:val="115"/>
          <w:sz w:val="12"/>
        </w:rPr>
        <w:t> </w:t>
      </w:r>
      <w:r>
        <w:rPr>
          <w:w w:val="115"/>
          <w:sz w:val="12"/>
        </w:rPr>
        <w:t>used</w:t>
      </w:r>
      <w:r>
        <w:rPr>
          <w:spacing w:val="-12"/>
          <w:w w:val="115"/>
          <w:sz w:val="12"/>
        </w:rPr>
        <w:t> </w:t>
      </w:r>
      <w:r>
        <w:rPr>
          <w:w w:val="115"/>
          <w:sz w:val="12"/>
        </w:rPr>
        <w:t>for</w:t>
      </w:r>
      <w:r>
        <w:rPr>
          <w:spacing w:val="-11"/>
          <w:w w:val="115"/>
          <w:sz w:val="12"/>
        </w:rPr>
        <w:t> </w:t>
      </w:r>
      <w:r>
        <w:rPr>
          <w:w w:val="115"/>
          <w:sz w:val="12"/>
        </w:rPr>
        <w:t>"subarticular"</w:t>
      </w:r>
      <w:r>
        <w:rPr>
          <w:spacing w:val="-11"/>
          <w:w w:val="115"/>
          <w:sz w:val="12"/>
        </w:rPr>
        <w:t> </w:t>
      </w:r>
      <w:r>
        <w:rPr>
          <w:w w:val="115"/>
          <w:sz w:val="12"/>
        </w:rPr>
        <w:t>closure,</w:t>
      </w:r>
      <w:r>
        <w:rPr>
          <w:spacing w:val="-11"/>
          <w:w w:val="115"/>
          <w:sz w:val="12"/>
        </w:rPr>
        <w:t> </w:t>
      </w:r>
      <w:r>
        <w:rPr>
          <w:w w:val="115"/>
          <w:sz w:val="12"/>
        </w:rPr>
        <w:t>super</w:t>
      </w:r>
      <w:r>
        <w:rPr>
          <w:rFonts w:ascii="Times New Roman" w:hAnsi="Times New Roman"/>
          <w:w w:val="115"/>
          <w:sz w:val="12"/>
        </w:rPr>
        <w:t>ﬁ</w:t>
      </w:r>
      <w:r>
        <w:rPr>
          <w:w w:val="115"/>
          <w:sz w:val="12"/>
        </w:rPr>
        <w:t>cial</w:t>
      </w:r>
      <w:r>
        <w:rPr>
          <w:spacing w:val="-12"/>
          <w:w w:val="115"/>
          <w:sz w:val="12"/>
        </w:rPr>
        <w:t> </w:t>
      </w:r>
      <w:r>
        <w:rPr>
          <w:w w:val="115"/>
          <w:sz w:val="12"/>
        </w:rPr>
        <w:t>closure</w:t>
      </w:r>
    </w:p>
    <w:p>
      <w:pPr>
        <w:spacing w:line="145" w:lineRule="exact" w:before="22"/>
        <w:ind w:left="503" w:right="0" w:firstLine="0"/>
        <w:jc w:val="left"/>
        <w:rPr>
          <w:sz w:val="12"/>
        </w:rPr>
      </w:pPr>
      <w:r>
        <w:rPr>
          <w:w w:val="115"/>
          <w:sz w:val="12"/>
        </w:rPr>
        <w:t>not mentioned.</w:t>
      </w:r>
    </w:p>
    <w:p>
      <w:pPr>
        <w:spacing w:line="171" w:lineRule="exact" w:before="0"/>
        <w:ind w:left="614" w:right="0" w:firstLine="0"/>
        <w:jc w:val="left"/>
        <w:rPr>
          <w:sz w:val="12"/>
        </w:rPr>
      </w:pPr>
      <w:r>
        <w:rPr>
          <w:w w:val="115"/>
          <w:position w:val="6"/>
          <w:sz w:val="9"/>
        </w:rPr>
        <w:t>b </w:t>
      </w:r>
      <w:r>
        <w:rPr>
          <w:w w:val="115"/>
          <w:sz w:val="12"/>
        </w:rPr>
        <w:t>Eickmann, 2010 for the traditional sutures and TSA arm a running stitch was used for subcuticular and assumed that stitch technique for subcuticular would close the skin as well.</w:t>
      </w:r>
    </w:p>
    <w:p>
      <w:pPr>
        <w:spacing w:line="171" w:lineRule="exact" w:before="0"/>
        <w:ind w:left="625" w:right="0" w:firstLine="0"/>
        <w:jc w:val="left"/>
        <w:rPr>
          <w:sz w:val="12"/>
        </w:rPr>
      </w:pPr>
      <w:r>
        <w:rPr>
          <w:w w:val="115"/>
          <w:position w:val="6"/>
          <w:sz w:val="9"/>
        </w:rPr>
        <w:t>c </w:t>
      </w:r>
      <w:r>
        <w:rPr>
          <w:w w:val="115"/>
          <w:sz w:val="12"/>
        </w:rPr>
        <w:t>Miller, 2010 for the traditional sutures and TSA arm assumed that stitch technique for subcuticular would close the skin as well.</w:t>
      </w:r>
    </w:p>
    <w:p>
      <w:pPr>
        <w:spacing w:line="171" w:lineRule="exact" w:before="0"/>
        <w:ind w:left="612" w:right="0" w:firstLine="0"/>
        <w:jc w:val="left"/>
        <w:rPr>
          <w:sz w:val="12"/>
        </w:rPr>
      </w:pPr>
      <w:r>
        <w:rPr>
          <w:w w:val="115"/>
          <w:position w:val="6"/>
          <w:sz w:val="9"/>
        </w:rPr>
        <w:t>d </w:t>
      </w:r>
      <w:r>
        <w:rPr>
          <w:w w:val="115"/>
          <w:sz w:val="12"/>
        </w:rPr>
        <w:t>Eggers, 2011 explicit de</w:t>
      </w:r>
      <w:r>
        <w:rPr>
          <w:rFonts w:ascii="Times New Roman" w:hAnsi="Times New Roman"/>
          <w:w w:val="115"/>
          <w:sz w:val="12"/>
        </w:rPr>
        <w:t>ﬁ</w:t>
      </w:r>
      <w:r>
        <w:rPr>
          <w:w w:val="115"/>
          <w:sz w:val="12"/>
        </w:rPr>
        <w:t>nition for super</w:t>
      </w:r>
      <w:r>
        <w:rPr>
          <w:rFonts w:ascii="Times New Roman" w:hAnsi="Times New Roman"/>
          <w:w w:val="115"/>
          <w:sz w:val="12"/>
        </w:rPr>
        <w:t>ﬁ</w:t>
      </w:r>
      <w:r>
        <w:rPr>
          <w:w w:val="115"/>
          <w:sz w:val="12"/>
        </w:rPr>
        <w:t>cial infection not reported in the study, however, "super</w:t>
      </w:r>
      <w:r>
        <w:rPr>
          <w:rFonts w:ascii="Times New Roman" w:hAnsi="Times New Roman"/>
          <w:w w:val="115"/>
          <w:sz w:val="12"/>
        </w:rPr>
        <w:t>ﬁ</w:t>
      </w:r>
      <w:r>
        <w:rPr>
          <w:w w:val="115"/>
          <w:sz w:val="12"/>
        </w:rPr>
        <w:t>cial" terminology was used.</w:t>
      </w:r>
    </w:p>
    <w:p>
      <w:pPr>
        <w:spacing w:line="172" w:lineRule="exact" w:before="0"/>
        <w:ind w:left="619" w:right="0" w:firstLine="0"/>
        <w:jc w:val="left"/>
        <w:rPr>
          <w:sz w:val="12"/>
        </w:rPr>
      </w:pPr>
      <w:r>
        <w:rPr>
          <w:w w:val="115"/>
          <w:position w:val="6"/>
          <w:sz w:val="9"/>
        </w:rPr>
        <w:t>e </w:t>
      </w:r>
      <w:r>
        <w:rPr>
          <w:w w:val="115"/>
          <w:sz w:val="12"/>
        </w:rPr>
        <w:t>Newman, 2011 for the Steri-strips arm a running subcuticular technique was used and assumed that stitch technique for subcuticular would close the skin as well.</w:t>
      </w:r>
    </w:p>
    <w:p>
      <w:pPr>
        <w:spacing w:line="172" w:lineRule="exact" w:before="0"/>
        <w:ind w:left="638" w:right="0" w:firstLine="0"/>
        <w:jc w:val="left"/>
        <w:rPr>
          <w:sz w:val="12"/>
        </w:rPr>
      </w:pPr>
      <w:r>
        <w:rPr/>
        <w:pict>
          <v:shape style="position:absolute;margin-left:738.346069pt;margin-top:4.989145pt;width:9.65pt;height:167.95pt;mso-position-horizontal-relative:page;mso-position-vertical-relative:paragraph;z-index:251725824"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w w:val="115"/>
          <w:position w:val="6"/>
          <w:sz w:val="9"/>
        </w:rPr>
        <w:t>f </w:t>
      </w:r>
      <w:r>
        <w:rPr>
          <w:w w:val="115"/>
          <w:sz w:val="12"/>
        </w:rPr>
        <w:t>Gililland, 2014 various super</w:t>
      </w:r>
      <w:r>
        <w:rPr>
          <w:rFonts w:ascii="Times New Roman" w:hAnsi="Times New Roman"/>
          <w:w w:val="115"/>
          <w:sz w:val="12"/>
        </w:rPr>
        <w:t>ﬁ</w:t>
      </w:r>
      <w:r>
        <w:rPr>
          <w:w w:val="115"/>
          <w:sz w:val="12"/>
        </w:rPr>
        <w:t>cial subcuticular closure methods used: staples, sutures, TSA, or Steri-strips. Assumed that subdermal sutures would also close the skin if used alone.</w:t>
      </w:r>
    </w:p>
    <w:p>
      <w:pPr>
        <w:spacing w:line="171" w:lineRule="exact" w:before="0"/>
        <w:ind w:left="617" w:right="0" w:firstLine="0"/>
        <w:jc w:val="left"/>
        <w:rPr>
          <w:sz w:val="12"/>
        </w:rPr>
      </w:pPr>
      <w:r>
        <w:rPr>
          <w:w w:val="115"/>
          <w:position w:val="6"/>
          <w:sz w:val="9"/>
        </w:rPr>
        <w:t>g </w:t>
      </w:r>
      <w:r>
        <w:rPr>
          <w:w w:val="115"/>
          <w:sz w:val="12"/>
        </w:rPr>
        <w:t>Sah, 2015 a running stitch was used for subcuticular closure in both arms and assumed that stitch technique for subcuticular would close the skin as well.</w:t>
      </w:r>
    </w:p>
    <w:p>
      <w:pPr>
        <w:spacing w:line="276" w:lineRule="auto" w:before="0"/>
        <w:ind w:left="503" w:right="0" w:firstLine="107"/>
        <w:jc w:val="left"/>
        <w:rPr>
          <w:sz w:val="12"/>
        </w:rPr>
      </w:pPr>
      <w:r>
        <w:rPr>
          <w:w w:val="115"/>
          <w:position w:val="6"/>
          <w:sz w:val="9"/>
        </w:rPr>
        <w:t>h</w:t>
      </w:r>
      <w:r>
        <w:rPr>
          <w:spacing w:val="9"/>
          <w:w w:val="115"/>
          <w:position w:val="6"/>
          <w:sz w:val="9"/>
        </w:rPr>
        <w:t> </w:t>
      </w:r>
      <w:r>
        <w:rPr>
          <w:w w:val="115"/>
          <w:sz w:val="12"/>
        </w:rPr>
        <w:t>Wyles,</w:t>
      </w:r>
      <w:r>
        <w:rPr>
          <w:spacing w:val="-9"/>
          <w:w w:val="115"/>
          <w:sz w:val="12"/>
        </w:rPr>
        <w:t> </w:t>
      </w:r>
      <w:r>
        <w:rPr>
          <w:w w:val="115"/>
          <w:sz w:val="12"/>
        </w:rPr>
        <w:t>2016</w:t>
      </w:r>
      <w:r>
        <w:rPr>
          <w:spacing w:val="-10"/>
          <w:w w:val="115"/>
          <w:sz w:val="12"/>
        </w:rPr>
        <w:t> </w:t>
      </w:r>
      <w:r>
        <w:rPr>
          <w:w w:val="115"/>
          <w:sz w:val="12"/>
        </w:rPr>
        <w:t>for</w:t>
      </w:r>
      <w:r>
        <w:rPr>
          <w:spacing w:val="-9"/>
          <w:w w:val="115"/>
          <w:sz w:val="12"/>
        </w:rPr>
        <w:t> </w:t>
      </w:r>
      <w:r>
        <w:rPr>
          <w:w w:val="115"/>
          <w:sz w:val="12"/>
        </w:rPr>
        <w:t>the</w:t>
      </w:r>
      <w:r>
        <w:rPr>
          <w:spacing w:val="-11"/>
          <w:w w:val="115"/>
          <w:sz w:val="12"/>
        </w:rPr>
        <w:t> </w:t>
      </w:r>
      <w:r>
        <w:rPr>
          <w:w w:val="115"/>
          <w:sz w:val="12"/>
        </w:rPr>
        <w:t>Nylon</w:t>
      </w:r>
      <w:r>
        <w:rPr>
          <w:spacing w:val="-9"/>
          <w:w w:val="115"/>
          <w:sz w:val="12"/>
        </w:rPr>
        <w:t> </w:t>
      </w:r>
      <w:r>
        <w:rPr>
          <w:w w:val="115"/>
          <w:sz w:val="12"/>
        </w:rPr>
        <w:t>suture</w:t>
      </w:r>
      <w:r>
        <w:rPr>
          <w:spacing w:val="-9"/>
          <w:w w:val="115"/>
          <w:sz w:val="12"/>
        </w:rPr>
        <w:t> </w:t>
      </w:r>
      <w:r>
        <w:rPr>
          <w:w w:val="115"/>
          <w:sz w:val="12"/>
        </w:rPr>
        <w:t>group</w:t>
      </w:r>
      <w:r>
        <w:rPr>
          <w:spacing w:val="-10"/>
          <w:w w:val="115"/>
          <w:sz w:val="12"/>
        </w:rPr>
        <w:t> </w:t>
      </w:r>
      <w:r>
        <w:rPr>
          <w:w w:val="115"/>
          <w:sz w:val="12"/>
        </w:rPr>
        <w:t>a</w:t>
      </w:r>
      <w:r>
        <w:rPr>
          <w:spacing w:val="-9"/>
          <w:w w:val="115"/>
          <w:sz w:val="12"/>
        </w:rPr>
        <w:t> </w:t>
      </w:r>
      <w:r>
        <w:rPr>
          <w:w w:val="115"/>
          <w:sz w:val="12"/>
        </w:rPr>
        <w:t>vertical</w:t>
      </w:r>
      <w:r>
        <w:rPr>
          <w:spacing w:val="-10"/>
          <w:w w:val="115"/>
          <w:sz w:val="12"/>
        </w:rPr>
        <w:t> </w:t>
      </w:r>
      <w:r>
        <w:rPr>
          <w:w w:val="115"/>
          <w:sz w:val="12"/>
        </w:rPr>
        <w:t>mattress</w:t>
      </w:r>
      <w:r>
        <w:rPr>
          <w:spacing w:val="-11"/>
          <w:w w:val="115"/>
          <w:sz w:val="12"/>
        </w:rPr>
        <w:t> </w:t>
      </w:r>
      <w:r>
        <w:rPr>
          <w:w w:val="115"/>
          <w:sz w:val="12"/>
        </w:rPr>
        <w:t>technique</w:t>
      </w:r>
      <w:r>
        <w:rPr>
          <w:spacing w:val="-9"/>
          <w:w w:val="115"/>
          <w:sz w:val="12"/>
        </w:rPr>
        <w:t> </w:t>
      </w:r>
      <w:r>
        <w:rPr>
          <w:w w:val="115"/>
          <w:sz w:val="12"/>
        </w:rPr>
        <w:t>with</w:t>
      </w:r>
      <w:r>
        <w:rPr>
          <w:spacing w:val="-9"/>
          <w:w w:val="115"/>
          <w:sz w:val="12"/>
        </w:rPr>
        <w:t> </w:t>
      </w:r>
      <w:r>
        <w:rPr>
          <w:w w:val="115"/>
          <w:sz w:val="12"/>
        </w:rPr>
        <w:t>2-0</w:t>
      </w:r>
      <w:r>
        <w:rPr>
          <w:spacing w:val="-9"/>
          <w:w w:val="115"/>
          <w:sz w:val="12"/>
        </w:rPr>
        <w:t> </w:t>
      </w:r>
      <w:r>
        <w:rPr>
          <w:w w:val="115"/>
          <w:sz w:val="12"/>
        </w:rPr>
        <w:t>nylon</w:t>
      </w:r>
      <w:r>
        <w:rPr>
          <w:spacing w:val="-9"/>
          <w:w w:val="115"/>
          <w:sz w:val="12"/>
        </w:rPr>
        <w:t> </w:t>
      </w:r>
      <w:r>
        <w:rPr>
          <w:w w:val="115"/>
          <w:sz w:val="12"/>
        </w:rPr>
        <w:t>suture</w:t>
      </w:r>
      <w:r>
        <w:rPr>
          <w:spacing w:val="-11"/>
          <w:w w:val="115"/>
          <w:sz w:val="12"/>
        </w:rPr>
        <w:t> </w:t>
      </w:r>
      <w:r>
        <w:rPr>
          <w:w w:val="115"/>
          <w:sz w:val="12"/>
        </w:rPr>
        <w:t>was</w:t>
      </w:r>
      <w:r>
        <w:rPr>
          <w:spacing w:val="-9"/>
          <w:w w:val="115"/>
          <w:sz w:val="12"/>
        </w:rPr>
        <w:t> </w:t>
      </w:r>
      <w:r>
        <w:rPr>
          <w:w w:val="115"/>
          <w:sz w:val="12"/>
        </w:rPr>
        <w:t>used</w:t>
      </w:r>
      <w:r>
        <w:rPr>
          <w:spacing w:val="-10"/>
          <w:w w:val="115"/>
          <w:sz w:val="12"/>
        </w:rPr>
        <w:t> </w:t>
      </w:r>
      <w:r>
        <w:rPr>
          <w:w w:val="115"/>
          <w:sz w:val="12"/>
        </w:rPr>
        <w:t>which</w:t>
      </w:r>
      <w:r>
        <w:rPr>
          <w:spacing w:val="-10"/>
          <w:w w:val="115"/>
          <w:sz w:val="12"/>
        </w:rPr>
        <w:t> </w:t>
      </w:r>
      <w:r>
        <w:rPr>
          <w:w w:val="115"/>
          <w:sz w:val="12"/>
        </w:rPr>
        <w:t>would</w:t>
      </w:r>
      <w:r>
        <w:rPr>
          <w:spacing w:val="-8"/>
          <w:w w:val="115"/>
          <w:sz w:val="12"/>
        </w:rPr>
        <w:t> </w:t>
      </w:r>
      <w:r>
        <w:rPr>
          <w:w w:val="115"/>
          <w:sz w:val="12"/>
        </w:rPr>
        <w:t>close</w:t>
      </w:r>
      <w:r>
        <w:rPr>
          <w:spacing w:val="-10"/>
          <w:w w:val="115"/>
          <w:sz w:val="12"/>
        </w:rPr>
        <w:t> </w:t>
      </w:r>
      <w:r>
        <w:rPr>
          <w:w w:val="115"/>
          <w:sz w:val="12"/>
        </w:rPr>
        <w:t>both</w:t>
      </w:r>
      <w:r>
        <w:rPr>
          <w:spacing w:val="-11"/>
          <w:w w:val="115"/>
          <w:sz w:val="12"/>
        </w:rPr>
        <w:t> </w:t>
      </w:r>
      <w:r>
        <w:rPr>
          <w:w w:val="115"/>
          <w:sz w:val="12"/>
        </w:rPr>
        <w:t>the</w:t>
      </w:r>
      <w:r>
        <w:rPr>
          <w:spacing w:val="-9"/>
          <w:w w:val="115"/>
          <w:sz w:val="12"/>
        </w:rPr>
        <w:t> </w:t>
      </w:r>
      <w:r>
        <w:rPr>
          <w:w w:val="115"/>
          <w:sz w:val="12"/>
        </w:rPr>
        <w:t>subcuticular</w:t>
      </w:r>
      <w:r>
        <w:rPr>
          <w:spacing w:val="-9"/>
          <w:w w:val="115"/>
          <w:sz w:val="12"/>
        </w:rPr>
        <w:t> </w:t>
      </w:r>
      <w:r>
        <w:rPr>
          <w:w w:val="115"/>
          <w:sz w:val="12"/>
        </w:rPr>
        <w:t>and</w:t>
      </w:r>
      <w:r>
        <w:rPr>
          <w:spacing w:val="-9"/>
          <w:w w:val="115"/>
          <w:sz w:val="12"/>
        </w:rPr>
        <w:t> </w:t>
      </w:r>
      <w:r>
        <w:rPr>
          <w:w w:val="115"/>
          <w:sz w:val="12"/>
        </w:rPr>
        <w:t>skin</w:t>
      </w:r>
      <w:r>
        <w:rPr>
          <w:spacing w:val="-10"/>
          <w:w w:val="115"/>
          <w:sz w:val="12"/>
        </w:rPr>
        <w:t> </w:t>
      </w:r>
      <w:r>
        <w:rPr>
          <w:w w:val="115"/>
          <w:sz w:val="12"/>
        </w:rPr>
        <w:t>layers.</w:t>
      </w:r>
      <w:r>
        <w:rPr>
          <w:spacing w:val="-9"/>
          <w:w w:val="115"/>
          <w:sz w:val="12"/>
        </w:rPr>
        <w:t> </w:t>
      </w:r>
      <w:r>
        <w:rPr>
          <w:w w:val="115"/>
          <w:sz w:val="12"/>
        </w:rPr>
        <w:t>For</w:t>
      </w:r>
      <w:r>
        <w:rPr>
          <w:spacing w:val="-10"/>
          <w:w w:val="115"/>
          <w:sz w:val="12"/>
        </w:rPr>
        <w:t> </w:t>
      </w:r>
      <w:r>
        <w:rPr>
          <w:w w:val="115"/>
          <w:sz w:val="12"/>
        </w:rPr>
        <w:t>the</w:t>
      </w:r>
      <w:r>
        <w:rPr>
          <w:spacing w:val="-10"/>
          <w:w w:val="115"/>
          <w:sz w:val="12"/>
        </w:rPr>
        <w:t> </w:t>
      </w:r>
      <w:r>
        <w:rPr>
          <w:w w:val="115"/>
          <w:sz w:val="12"/>
        </w:rPr>
        <w:t>traditional</w:t>
      </w:r>
      <w:r>
        <w:rPr>
          <w:spacing w:val="-9"/>
          <w:w w:val="115"/>
          <w:sz w:val="12"/>
        </w:rPr>
        <w:t> </w:t>
      </w:r>
      <w:r>
        <w:rPr>
          <w:w w:val="115"/>
          <w:sz w:val="12"/>
        </w:rPr>
        <w:t>suture</w:t>
      </w:r>
      <w:r>
        <w:rPr>
          <w:spacing w:val="-9"/>
          <w:w w:val="115"/>
          <w:sz w:val="12"/>
        </w:rPr>
        <w:t> </w:t>
      </w:r>
      <w:r>
        <w:rPr>
          <w:w w:val="115"/>
          <w:sz w:val="12"/>
        </w:rPr>
        <w:t>group,</w:t>
      </w:r>
      <w:r>
        <w:rPr>
          <w:spacing w:val="-11"/>
          <w:w w:val="115"/>
          <w:sz w:val="12"/>
        </w:rPr>
        <w:t> </w:t>
      </w:r>
      <w:r>
        <w:rPr>
          <w:w w:val="115"/>
          <w:sz w:val="12"/>
        </w:rPr>
        <w:t>a</w:t>
      </w:r>
      <w:r>
        <w:rPr>
          <w:spacing w:val="-9"/>
          <w:w w:val="115"/>
          <w:sz w:val="12"/>
        </w:rPr>
        <w:t> </w:t>
      </w:r>
      <w:r>
        <w:rPr>
          <w:w w:val="115"/>
          <w:sz w:val="12"/>
        </w:rPr>
        <w:t>running</w:t>
      </w:r>
      <w:r>
        <w:rPr>
          <w:spacing w:val="-9"/>
          <w:w w:val="115"/>
          <w:sz w:val="12"/>
        </w:rPr>
        <w:t> </w:t>
      </w:r>
      <w:r>
        <w:rPr>
          <w:w w:val="115"/>
          <w:sz w:val="12"/>
        </w:rPr>
        <w:t>subcuticular</w:t>
      </w:r>
      <w:r>
        <w:rPr>
          <w:spacing w:val="-8"/>
          <w:w w:val="115"/>
          <w:sz w:val="12"/>
        </w:rPr>
        <w:t> </w:t>
      </w:r>
      <w:r>
        <w:rPr>
          <w:w w:val="115"/>
          <w:sz w:val="12"/>
        </w:rPr>
        <w:t>technique was</w:t>
      </w:r>
      <w:r>
        <w:rPr>
          <w:spacing w:val="3"/>
          <w:w w:val="115"/>
          <w:sz w:val="12"/>
        </w:rPr>
        <w:t> </w:t>
      </w:r>
      <w:r>
        <w:rPr>
          <w:w w:val="115"/>
          <w:sz w:val="12"/>
        </w:rPr>
        <w:t>used</w:t>
      </w:r>
      <w:r>
        <w:rPr>
          <w:spacing w:val="5"/>
          <w:w w:val="115"/>
          <w:sz w:val="12"/>
        </w:rPr>
        <w:t> </w:t>
      </w:r>
      <w:r>
        <w:rPr>
          <w:w w:val="115"/>
          <w:sz w:val="12"/>
        </w:rPr>
        <w:t>which</w:t>
      </w:r>
      <w:r>
        <w:rPr>
          <w:spacing w:val="4"/>
          <w:w w:val="115"/>
          <w:sz w:val="12"/>
        </w:rPr>
        <w:t> </w:t>
      </w:r>
      <w:r>
        <w:rPr>
          <w:w w:val="115"/>
          <w:sz w:val="12"/>
        </w:rPr>
        <w:t>would</w:t>
      </w:r>
      <w:r>
        <w:rPr>
          <w:spacing w:val="6"/>
          <w:w w:val="115"/>
          <w:sz w:val="12"/>
        </w:rPr>
        <w:t> </w:t>
      </w:r>
      <w:r>
        <w:rPr>
          <w:w w:val="115"/>
          <w:sz w:val="12"/>
        </w:rPr>
        <w:t>close</w:t>
      </w:r>
      <w:r>
        <w:rPr>
          <w:spacing w:val="5"/>
          <w:w w:val="115"/>
          <w:sz w:val="12"/>
        </w:rPr>
        <w:t> </w:t>
      </w:r>
      <w:r>
        <w:rPr>
          <w:w w:val="115"/>
          <w:sz w:val="12"/>
        </w:rPr>
        <w:t>both</w:t>
      </w:r>
      <w:r>
        <w:rPr>
          <w:spacing w:val="4"/>
          <w:w w:val="115"/>
          <w:sz w:val="12"/>
        </w:rPr>
        <w:t> </w:t>
      </w:r>
      <w:r>
        <w:rPr>
          <w:w w:val="115"/>
          <w:sz w:val="12"/>
        </w:rPr>
        <w:t>the</w:t>
      </w:r>
      <w:r>
        <w:rPr>
          <w:spacing w:val="4"/>
          <w:w w:val="115"/>
          <w:sz w:val="12"/>
        </w:rPr>
        <w:t> </w:t>
      </w:r>
      <w:r>
        <w:rPr>
          <w:w w:val="115"/>
          <w:sz w:val="12"/>
        </w:rPr>
        <w:t>subcuticular</w:t>
      </w:r>
      <w:r>
        <w:rPr>
          <w:spacing w:val="6"/>
          <w:w w:val="115"/>
          <w:sz w:val="12"/>
        </w:rPr>
        <w:t> </w:t>
      </w:r>
      <w:r>
        <w:rPr>
          <w:w w:val="115"/>
          <w:sz w:val="12"/>
        </w:rPr>
        <w:t>and</w:t>
      </w:r>
      <w:r>
        <w:rPr>
          <w:spacing w:val="5"/>
          <w:w w:val="115"/>
          <w:sz w:val="12"/>
        </w:rPr>
        <w:t> </w:t>
      </w:r>
      <w:r>
        <w:rPr>
          <w:w w:val="115"/>
          <w:sz w:val="12"/>
        </w:rPr>
        <w:t>skin</w:t>
      </w:r>
      <w:r>
        <w:rPr>
          <w:spacing w:val="4"/>
          <w:w w:val="115"/>
          <w:sz w:val="12"/>
        </w:rPr>
        <w:t> </w:t>
      </w:r>
      <w:r>
        <w:rPr>
          <w:w w:val="115"/>
          <w:sz w:val="12"/>
        </w:rPr>
        <w:t>layers.</w:t>
      </w:r>
    </w:p>
    <w:p>
      <w:pPr>
        <w:spacing w:line="144" w:lineRule="exact" w:before="0"/>
        <w:ind w:left="642" w:right="0" w:firstLine="0"/>
        <w:jc w:val="left"/>
        <w:rPr>
          <w:sz w:val="12"/>
        </w:rPr>
      </w:pPr>
      <w:r>
        <w:rPr>
          <w:w w:val="115"/>
          <w:position w:val="6"/>
          <w:sz w:val="9"/>
        </w:rPr>
        <w:t>i </w:t>
      </w:r>
      <w:r>
        <w:rPr>
          <w:w w:val="115"/>
          <w:sz w:val="12"/>
        </w:rPr>
        <w:t>Austin, 2017 surgeon preference was used for skin closure and the devices were not speci</w:t>
      </w:r>
      <w:r>
        <w:rPr>
          <w:rFonts w:ascii="Times New Roman" w:hAnsi="Times New Roman"/>
          <w:w w:val="115"/>
          <w:sz w:val="12"/>
        </w:rPr>
        <w:t>ﬁ</w:t>
      </w:r>
      <w:r>
        <w:rPr>
          <w:w w:val="115"/>
          <w:sz w:val="12"/>
        </w:rPr>
        <w:t>ed. Assumed that the method used for skin closure chosen by the surgeon would close the subcuticular layer as well.</w:t>
      </w:r>
    </w:p>
    <w:p>
      <w:pPr>
        <w:spacing w:line="171" w:lineRule="exact" w:before="0"/>
        <w:ind w:left="641" w:right="0" w:firstLine="0"/>
        <w:jc w:val="left"/>
        <w:rPr>
          <w:sz w:val="12"/>
        </w:rPr>
      </w:pPr>
      <w:r>
        <w:rPr>
          <w:w w:val="115"/>
          <w:position w:val="6"/>
          <w:sz w:val="9"/>
        </w:rPr>
        <w:t>j  </w:t>
      </w:r>
      <w:r>
        <w:rPr>
          <w:w w:val="115"/>
          <w:sz w:val="12"/>
        </w:rPr>
        <w:t>Ko, 2017 the fascia/joint capsule closure method was not speci</w:t>
      </w:r>
      <w:r>
        <w:rPr>
          <w:rFonts w:ascii="Times New Roman" w:hAnsi="Times New Roman"/>
          <w:w w:val="115"/>
          <w:sz w:val="12"/>
        </w:rPr>
        <w:t>ﬁ</w:t>
      </w:r>
      <w:r>
        <w:rPr>
          <w:w w:val="115"/>
          <w:sz w:val="12"/>
        </w:rPr>
        <w:t>cally stated for both arms. Assumed that an additional subcuticular closure method would not be used with Zipline</w:t>
      </w:r>
      <w:r>
        <w:rPr>
          <w:spacing w:val="-7"/>
          <w:w w:val="115"/>
          <w:sz w:val="12"/>
        </w:rPr>
        <w:t> </w:t>
      </w:r>
      <w:r>
        <w:rPr>
          <w:w w:val="115"/>
          <w:sz w:val="12"/>
        </w:rPr>
        <w:t>closure.</w:t>
      </w:r>
    </w:p>
    <w:p>
      <w:pPr>
        <w:spacing w:line="171" w:lineRule="exact" w:before="0"/>
        <w:ind w:left="616" w:right="0" w:firstLine="0"/>
        <w:jc w:val="left"/>
        <w:rPr>
          <w:sz w:val="12"/>
        </w:rPr>
      </w:pPr>
      <w:r>
        <w:rPr>
          <w:w w:val="110"/>
          <w:position w:val="6"/>
          <w:sz w:val="9"/>
        </w:rPr>
        <w:t>k  </w:t>
      </w:r>
      <w:r>
        <w:rPr>
          <w:spacing w:val="17"/>
          <w:w w:val="110"/>
          <w:position w:val="6"/>
          <w:sz w:val="9"/>
        </w:rPr>
        <w:t> </w:t>
      </w:r>
      <w:r>
        <w:rPr>
          <w:w w:val="110"/>
          <w:sz w:val="12"/>
        </w:rPr>
        <w:t>Takayama,</w:t>
      </w:r>
      <w:r>
        <w:rPr>
          <w:spacing w:val="17"/>
          <w:w w:val="110"/>
          <w:sz w:val="12"/>
        </w:rPr>
        <w:t> </w:t>
      </w:r>
      <w:r>
        <w:rPr>
          <w:w w:val="110"/>
          <w:sz w:val="12"/>
        </w:rPr>
        <w:t>2017</w:t>
      </w:r>
      <w:r>
        <w:rPr>
          <w:spacing w:val="19"/>
          <w:w w:val="110"/>
          <w:sz w:val="12"/>
        </w:rPr>
        <w:t> </w:t>
      </w:r>
      <w:r>
        <w:rPr>
          <w:w w:val="110"/>
          <w:sz w:val="12"/>
        </w:rPr>
        <w:t>the</w:t>
      </w:r>
      <w:r>
        <w:rPr>
          <w:spacing w:val="17"/>
          <w:w w:val="110"/>
          <w:sz w:val="12"/>
        </w:rPr>
        <w:t> </w:t>
      </w:r>
      <w:r>
        <w:rPr>
          <w:w w:val="110"/>
          <w:sz w:val="12"/>
        </w:rPr>
        <w:t>fascia/joint</w:t>
      </w:r>
      <w:r>
        <w:rPr>
          <w:spacing w:val="18"/>
          <w:w w:val="110"/>
          <w:sz w:val="12"/>
        </w:rPr>
        <w:t> </w:t>
      </w:r>
      <w:r>
        <w:rPr>
          <w:w w:val="110"/>
          <w:sz w:val="12"/>
        </w:rPr>
        <w:t>capsule</w:t>
      </w:r>
      <w:r>
        <w:rPr>
          <w:spacing w:val="18"/>
          <w:w w:val="110"/>
          <w:sz w:val="12"/>
        </w:rPr>
        <w:t> </w:t>
      </w:r>
      <w:r>
        <w:rPr>
          <w:w w:val="110"/>
          <w:sz w:val="12"/>
        </w:rPr>
        <w:t>closure</w:t>
      </w:r>
      <w:r>
        <w:rPr>
          <w:spacing w:val="18"/>
          <w:w w:val="110"/>
          <w:sz w:val="12"/>
        </w:rPr>
        <w:t> </w:t>
      </w:r>
      <w:r>
        <w:rPr>
          <w:w w:val="110"/>
          <w:sz w:val="12"/>
        </w:rPr>
        <w:t>method</w:t>
      </w:r>
      <w:r>
        <w:rPr>
          <w:spacing w:val="17"/>
          <w:w w:val="110"/>
          <w:sz w:val="12"/>
        </w:rPr>
        <w:t> </w:t>
      </w:r>
      <w:r>
        <w:rPr>
          <w:w w:val="110"/>
          <w:sz w:val="12"/>
        </w:rPr>
        <w:t>was</w:t>
      </w:r>
      <w:r>
        <w:rPr>
          <w:spacing w:val="19"/>
          <w:w w:val="110"/>
          <w:sz w:val="12"/>
        </w:rPr>
        <w:t> </w:t>
      </w:r>
      <w:r>
        <w:rPr>
          <w:w w:val="110"/>
          <w:sz w:val="12"/>
        </w:rPr>
        <w:t>not</w:t>
      </w:r>
      <w:r>
        <w:rPr>
          <w:spacing w:val="17"/>
          <w:w w:val="110"/>
          <w:sz w:val="12"/>
        </w:rPr>
        <w:t> </w:t>
      </w:r>
      <w:r>
        <w:rPr>
          <w:w w:val="110"/>
          <w:sz w:val="12"/>
        </w:rPr>
        <w:t>speci</w:t>
      </w:r>
      <w:r>
        <w:rPr>
          <w:rFonts w:ascii="Times New Roman" w:hAnsi="Times New Roman"/>
          <w:w w:val="110"/>
          <w:sz w:val="12"/>
        </w:rPr>
        <w:t>ﬁ</w:t>
      </w:r>
      <w:r>
        <w:rPr>
          <w:w w:val="110"/>
          <w:sz w:val="12"/>
        </w:rPr>
        <w:t>cally</w:t>
      </w:r>
      <w:r>
        <w:rPr>
          <w:spacing w:val="17"/>
          <w:w w:val="110"/>
          <w:sz w:val="12"/>
        </w:rPr>
        <w:t> </w:t>
      </w:r>
      <w:r>
        <w:rPr>
          <w:w w:val="110"/>
          <w:sz w:val="12"/>
        </w:rPr>
        <w:t>stated</w:t>
      </w:r>
      <w:r>
        <w:rPr>
          <w:spacing w:val="18"/>
          <w:w w:val="110"/>
          <w:sz w:val="12"/>
        </w:rPr>
        <w:t> </w:t>
      </w:r>
      <w:r>
        <w:rPr>
          <w:w w:val="110"/>
          <w:sz w:val="12"/>
        </w:rPr>
        <w:t>for</w:t>
      </w:r>
      <w:r>
        <w:rPr>
          <w:spacing w:val="18"/>
          <w:w w:val="110"/>
          <w:sz w:val="12"/>
        </w:rPr>
        <w:t> </w:t>
      </w:r>
      <w:r>
        <w:rPr>
          <w:w w:val="110"/>
          <w:sz w:val="12"/>
        </w:rPr>
        <w:t>both</w:t>
      </w:r>
      <w:r>
        <w:rPr>
          <w:spacing w:val="17"/>
          <w:w w:val="110"/>
          <w:sz w:val="12"/>
        </w:rPr>
        <w:t> </w:t>
      </w:r>
      <w:r>
        <w:rPr>
          <w:w w:val="110"/>
          <w:sz w:val="12"/>
        </w:rPr>
        <w:t>arms.</w:t>
      </w:r>
      <w:r>
        <w:rPr>
          <w:spacing w:val="17"/>
          <w:w w:val="110"/>
          <w:sz w:val="12"/>
        </w:rPr>
        <w:t> </w:t>
      </w:r>
      <w:r>
        <w:rPr>
          <w:w w:val="110"/>
          <w:sz w:val="12"/>
        </w:rPr>
        <w:t>Assumed</w:t>
      </w:r>
      <w:r>
        <w:rPr>
          <w:spacing w:val="18"/>
          <w:w w:val="110"/>
          <w:sz w:val="12"/>
        </w:rPr>
        <w:t> </w:t>
      </w:r>
      <w:r>
        <w:rPr>
          <w:w w:val="110"/>
          <w:sz w:val="12"/>
        </w:rPr>
        <w:t>that</w:t>
      </w:r>
      <w:r>
        <w:rPr>
          <w:spacing w:val="19"/>
          <w:w w:val="110"/>
          <w:sz w:val="12"/>
        </w:rPr>
        <w:t> </w:t>
      </w:r>
      <w:r>
        <w:rPr>
          <w:w w:val="110"/>
          <w:sz w:val="12"/>
        </w:rPr>
        <w:t>subcuticular/super</w:t>
      </w:r>
      <w:r>
        <w:rPr>
          <w:rFonts w:ascii="Times New Roman" w:hAnsi="Times New Roman"/>
          <w:w w:val="110"/>
          <w:sz w:val="12"/>
        </w:rPr>
        <w:t>ﬁ</w:t>
      </w:r>
      <w:r>
        <w:rPr>
          <w:w w:val="110"/>
          <w:sz w:val="12"/>
        </w:rPr>
        <w:t>cial</w:t>
      </w:r>
      <w:r>
        <w:rPr>
          <w:spacing w:val="18"/>
          <w:w w:val="110"/>
          <w:sz w:val="12"/>
        </w:rPr>
        <w:t> </w:t>
      </w:r>
      <w:r>
        <w:rPr>
          <w:w w:val="110"/>
          <w:sz w:val="12"/>
        </w:rPr>
        <w:t>sutures</w:t>
      </w:r>
      <w:r>
        <w:rPr>
          <w:spacing w:val="17"/>
          <w:w w:val="110"/>
          <w:sz w:val="12"/>
        </w:rPr>
        <w:t> </w:t>
      </w:r>
      <w:r>
        <w:rPr>
          <w:w w:val="110"/>
          <w:sz w:val="12"/>
        </w:rPr>
        <w:t>would</w:t>
      </w:r>
      <w:r>
        <w:rPr>
          <w:spacing w:val="17"/>
          <w:w w:val="110"/>
          <w:sz w:val="12"/>
        </w:rPr>
        <w:t> </w:t>
      </w:r>
      <w:r>
        <w:rPr>
          <w:w w:val="110"/>
          <w:sz w:val="12"/>
        </w:rPr>
        <w:t>not</w:t>
      </w:r>
      <w:r>
        <w:rPr>
          <w:spacing w:val="19"/>
          <w:w w:val="110"/>
          <w:sz w:val="12"/>
        </w:rPr>
        <w:t> </w:t>
      </w:r>
      <w:r>
        <w:rPr>
          <w:w w:val="110"/>
          <w:sz w:val="12"/>
        </w:rPr>
        <w:t>have</w:t>
      </w:r>
      <w:r>
        <w:rPr>
          <w:spacing w:val="17"/>
          <w:w w:val="110"/>
          <w:sz w:val="12"/>
        </w:rPr>
        <w:t> </w:t>
      </w:r>
      <w:r>
        <w:rPr>
          <w:w w:val="110"/>
          <w:sz w:val="12"/>
        </w:rPr>
        <w:t>been</w:t>
      </w:r>
      <w:r>
        <w:rPr>
          <w:spacing w:val="19"/>
          <w:w w:val="110"/>
          <w:sz w:val="12"/>
        </w:rPr>
        <w:t> </w:t>
      </w:r>
      <w:r>
        <w:rPr>
          <w:w w:val="110"/>
          <w:sz w:val="12"/>
        </w:rPr>
        <w:t>used</w:t>
      </w:r>
      <w:r>
        <w:rPr>
          <w:spacing w:val="15"/>
          <w:w w:val="110"/>
          <w:sz w:val="12"/>
        </w:rPr>
        <w:t> </w:t>
      </w:r>
      <w:r>
        <w:rPr>
          <w:w w:val="110"/>
          <w:sz w:val="12"/>
        </w:rPr>
        <w:t>with</w:t>
      </w:r>
      <w:r>
        <w:rPr>
          <w:spacing w:val="19"/>
          <w:w w:val="110"/>
          <w:sz w:val="12"/>
        </w:rPr>
        <w:t> </w:t>
      </w:r>
      <w:r>
        <w:rPr>
          <w:w w:val="110"/>
          <w:sz w:val="12"/>
        </w:rPr>
        <w:t>Steri-strips.</w:t>
      </w:r>
    </w:p>
    <w:p>
      <w:pPr>
        <w:spacing w:line="278" w:lineRule="auto" w:before="0"/>
        <w:ind w:left="503" w:right="0" w:firstLine="138"/>
        <w:jc w:val="left"/>
        <w:rPr>
          <w:sz w:val="12"/>
        </w:rPr>
      </w:pPr>
      <w:r>
        <w:rPr>
          <w:w w:val="115"/>
          <w:position w:val="6"/>
          <w:sz w:val="9"/>
        </w:rPr>
        <w:t>l</w:t>
      </w:r>
      <w:r>
        <w:rPr>
          <w:spacing w:val="11"/>
          <w:w w:val="115"/>
          <w:position w:val="6"/>
          <w:sz w:val="9"/>
        </w:rPr>
        <w:t> </w:t>
      </w:r>
      <w:r>
        <w:rPr>
          <w:w w:val="115"/>
          <w:sz w:val="12"/>
        </w:rPr>
        <w:t>Liu,</w:t>
      </w:r>
      <w:r>
        <w:rPr>
          <w:spacing w:val="-8"/>
          <w:w w:val="115"/>
          <w:sz w:val="12"/>
        </w:rPr>
        <w:t> </w:t>
      </w:r>
      <w:r>
        <w:rPr>
          <w:w w:val="115"/>
          <w:sz w:val="12"/>
        </w:rPr>
        <w:t>2018</w:t>
      </w:r>
      <w:r>
        <w:rPr>
          <w:spacing w:val="-8"/>
          <w:w w:val="115"/>
          <w:sz w:val="12"/>
        </w:rPr>
        <w:t> </w:t>
      </w:r>
      <w:r>
        <w:rPr>
          <w:w w:val="115"/>
          <w:sz w:val="12"/>
        </w:rPr>
        <w:t>for</w:t>
      </w:r>
      <w:r>
        <w:rPr>
          <w:spacing w:val="-8"/>
          <w:w w:val="115"/>
          <w:sz w:val="12"/>
        </w:rPr>
        <w:t> </w:t>
      </w:r>
      <w:r>
        <w:rPr>
          <w:w w:val="115"/>
          <w:sz w:val="12"/>
        </w:rPr>
        <w:t>the</w:t>
      </w:r>
      <w:r>
        <w:rPr>
          <w:spacing w:val="-8"/>
          <w:w w:val="115"/>
          <w:sz w:val="12"/>
        </w:rPr>
        <w:t> </w:t>
      </w:r>
      <w:r>
        <w:rPr>
          <w:w w:val="115"/>
          <w:sz w:val="12"/>
        </w:rPr>
        <w:t>traditional</w:t>
      </w:r>
      <w:r>
        <w:rPr>
          <w:spacing w:val="-8"/>
          <w:w w:val="115"/>
          <w:sz w:val="12"/>
        </w:rPr>
        <w:t> </w:t>
      </w:r>
      <w:r>
        <w:rPr>
          <w:w w:val="115"/>
          <w:sz w:val="12"/>
        </w:rPr>
        <w:t>sutures</w:t>
      </w:r>
      <w:r>
        <w:rPr>
          <w:spacing w:val="-8"/>
          <w:w w:val="115"/>
          <w:sz w:val="12"/>
        </w:rPr>
        <w:t> </w:t>
      </w:r>
      <w:r>
        <w:rPr>
          <w:w w:val="115"/>
          <w:sz w:val="12"/>
        </w:rPr>
        <w:t>arm</w:t>
      </w:r>
      <w:r>
        <w:rPr>
          <w:spacing w:val="-8"/>
          <w:w w:val="115"/>
          <w:sz w:val="12"/>
        </w:rPr>
        <w:t> </w:t>
      </w:r>
      <w:r>
        <w:rPr>
          <w:w w:val="115"/>
          <w:sz w:val="12"/>
        </w:rPr>
        <w:t>a</w:t>
      </w:r>
      <w:r>
        <w:rPr>
          <w:spacing w:val="-7"/>
          <w:w w:val="115"/>
          <w:sz w:val="12"/>
        </w:rPr>
        <w:t> </w:t>
      </w:r>
      <w:r>
        <w:rPr>
          <w:w w:val="115"/>
          <w:sz w:val="12"/>
        </w:rPr>
        <w:t>vertical</w:t>
      </w:r>
      <w:r>
        <w:rPr>
          <w:spacing w:val="-7"/>
          <w:w w:val="115"/>
          <w:sz w:val="12"/>
        </w:rPr>
        <w:t> </w:t>
      </w:r>
      <w:r>
        <w:rPr>
          <w:w w:val="115"/>
          <w:sz w:val="12"/>
        </w:rPr>
        <w:t>mattress</w:t>
      </w:r>
      <w:r>
        <w:rPr>
          <w:spacing w:val="-8"/>
          <w:w w:val="115"/>
          <w:sz w:val="12"/>
        </w:rPr>
        <w:t> </w:t>
      </w:r>
      <w:r>
        <w:rPr>
          <w:w w:val="115"/>
          <w:sz w:val="12"/>
        </w:rPr>
        <w:t>technique</w:t>
      </w:r>
      <w:r>
        <w:rPr>
          <w:spacing w:val="-8"/>
          <w:w w:val="115"/>
          <w:sz w:val="12"/>
        </w:rPr>
        <w:t> </w:t>
      </w:r>
      <w:r>
        <w:rPr>
          <w:w w:val="115"/>
          <w:sz w:val="12"/>
        </w:rPr>
        <w:t>was</w:t>
      </w:r>
      <w:r>
        <w:rPr>
          <w:spacing w:val="-7"/>
          <w:w w:val="115"/>
          <w:sz w:val="12"/>
        </w:rPr>
        <w:t> </w:t>
      </w:r>
      <w:r>
        <w:rPr>
          <w:w w:val="115"/>
          <w:sz w:val="12"/>
        </w:rPr>
        <w:t>used</w:t>
      </w:r>
      <w:r>
        <w:rPr>
          <w:spacing w:val="-9"/>
          <w:w w:val="115"/>
          <w:sz w:val="12"/>
        </w:rPr>
        <w:t> </w:t>
      </w:r>
      <w:r>
        <w:rPr>
          <w:w w:val="115"/>
          <w:sz w:val="12"/>
        </w:rPr>
        <w:t>with</w:t>
      </w:r>
      <w:r>
        <w:rPr>
          <w:spacing w:val="-7"/>
          <w:w w:val="115"/>
          <w:sz w:val="12"/>
        </w:rPr>
        <w:t> </w:t>
      </w:r>
      <w:r>
        <w:rPr>
          <w:w w:val="115"/>
          <w:sz w:val="12"/>
        </w:rPr>
        <w:t>Mersilk</w:t>
      </w:r>
      <w:r>
        <w:rPr>
          <w:spacing w:val="-7"/>
          <w:w w:val="115"/>
          <w:sz w:val="12"/>
        </w:rPr>
        <w:t> </w:t>
      </w:r>
      <w:r>
        <w:rPr>
          <w:w w:val="115"/>
          <w:sz w:val="12"/>
        </w:rPr>
        <w:t>non-absorbable</w:t>
      </w:r>
      <w:r>
        <w:rPr>
          <w:spacing w:val="-8"/>
          <w:w w:val="115"/>
          <w:sz w:val="12"/>
        </w:rPr>
        <w:t> </w:t>
      </w:r>
      <w:r>
        <w:rPr>
          <w:w w:val="115"/>
          <w:sz w:val="12"/>
        </w:rPr>
        <w:t>sutures.</w:t>
      </w:r>
      <w:r>
        <w:rPr>
          <w:spacing w:val="-8"/>
          <w:w w:val="115"/>
          <w:sz w:val="12"/>
        </w:rPr>
        <w:t> </w:t>
      </w:r>
      <w:r>
        <w:rPr>
          <w:w w:val="115"/>
          <w:sz w:val="12"/>
        </w:rPr>
        <w:t>For</w:t>
      </w:r>
      <w:r>
        <w:rPr>
          <w:spacing w:val="-8"/>
          <w:w w:val="115"/>
          <w:sz w:val="12"/>
        </w:rPr>
        <w:t> </w:t>
      </w:r>
      <w:r>
        <w:rPr>
          <w:w w:val="115"/>
          <w:sz w:val="12"/>
        </w:rPr>
        <w:t>the</w:t>
      </w:r>
      <w:r>
        <w:rPr>
          <w:spacing w:val="-8"/>
          <w:w w:val="115"/>
          <w:sz w:val="12"/>
        </w:rPr>
        <w:t> </w:t>
      </w:r>
      <w:r>
        <w:rPr>
          <w:w w:val="115"/>
          <w:sz w:val="12"/>
        </w:rPr>
        <w:t>antimicrobial</w:t>
      </w:r>
      <w:r>
        <w:rPr>
          <w:spacing w:val="-8"/>
          <w:w w:val="115"/>
          <w:sz w:val="12"/>
        </w:rPr>
        <w:t> </w:t>
      </w:r>
      <w:r>
        <w:rPr>
          <w:w w:val="115"/>
          <w:sz w:val="12"/>
        </w:rPr>
        <w:t>sutures</w:t>
      </w:r>
      <w:r>
        <w:rPr>
          <w:spacing w:val="-7"/>
          <w:w w:val="115"/>
          <w:sz w:val="12"/>
        </w:rPr>
        <w:t> </w:t>
      </w:r>
      <w:r>
        <w:rPr>
          <w:w w:val="115"/>
          <w:sz w:val="12"/>
        </w:rPr>
        <w:t>arm</w:t>
      </w:r>
      <w:r>
        <w:rPr>
          <w:spacing w:val="-8"/>
          <w:w w:val="115"/>
          <w:sz w:val="12"/>
        </w:rPr>
        <w:t> </w:t>
      </w:r>
      <w:r>
        <w:rPr>
          <w:w w:val="115"/>
          <w:sz w:val="12"/>
        </w:rPr>
        <w:t>a</w:t>
      </w:r>
      <w:r>
        <w:rPr>
          <w:spacing w:val="-7"/>
          <w:w w:val="115"/>
          <w:sz w:val="12"/>
        </w:rPr>
        <w:t> </w:t>
      </w:r>
      <w:r>
        <w:rPr>
          <w:w w:val="115"/>
          <w:sz w:val="12"/>
        </w:rPr>
        <w:t>running</w:t>
      </w:r>
      <w:r>
        <w:rPr>
          <w:spacing w:val="-8"/>
          <w:w w:val="115"/>
          <w:sz w:val="12"/>
        </w:rPr>
        <w:t> </w:t>
      </w:r>
      <w:r>
        <w:rPr>
          <w:w w:val="115"/>
          <w:sz w:val="12"/>
        </w:rPr>
        <w:t>subcuticular</w:t>
      </w:r>
      <w:r>
        <w:rPr>
          <w:spacing w:val="-8"/>
          <w:w w:val="115"/>
          <w:sz w:val="12"/>
        </w:rPr>
        <w:t> </w:t>
      </w:r>
      <w:r>
        <w:rPr>
          <w:w w:val="115"/>
          <w:sz w:val="12"/>
        </w:rPr>
        <w:t>technique</w:t>
      </w:r>
      <w:r>
        <w:rPr>
          <w:spacing w:val="-8"/>
          <w:w w:val="115"/>
          <w:sz w:val="12"/>
        </w:rPr>
        <w:t> </w:t>
      </w:r>
      <w:r>
        <w:rPr>
          <w:w w:val="115"/>
          <w:sz w:val="12"/>
        </w:rPr>
        <w:t>was</w:t>
      </w:r>
      <w:r>
        <w:rPr>
          <w:spacing w:val="-7"/>
          <w:w w:val="115"/>
          <w:sz w:val="12"/>
        </w:rPr>
        <w:t> </w:t>
      </w:r>
      <w:r>
        <w:rPr>
          <w:w w:val="115"/>
          <w:sz w:val="12"/>
        </w:rPr>
        <w:t>used.</w:t>
      </w:r>
      <w:r>
        <w:rPr>
          <w:spacing w:val="-8"/>
          <w:w w:val="115"/>
          <w:sz w:val="12"/>
        </w:rPr>
        <w:t> </w:t>
      </w:r>
      <w:r>
        <w:rPr>
          <w:w w:val="115"/>
          <w:sz w:val="12"/>
        </w:rPr>
        <w:t>For</w:t>
      </w:r>
      <w:r>
        <w:rPr>
          <w:spacing w:val="-8"/>
          <w:w w:val="115"/>
          <w:sz w:val="12"/>
        </w:rPr>
        <w:t> </w:t>
      </w:r>
      <w:r>
        <w:rPr>
          <w:w w:val="115"/>
          <w:sz w:val="12"/>
        </w:rPr>
        <w:t>both</w:t>
      </w:r>
      <w:r>
        <w:rPr>
          <w:spacing w:val="-8"/>
          <w:w w:val="115"/>
          <w:sz w:val="12"/>
        </w:rPr>
        <w:t> </w:t>
      </w:r>
      <w:r>
        <w:rPr>
          <w:w w:val="115"/>
          <w:sz w:val="12"/>
        </w:rPr>
        <w:t>arms</w:t>
      </w:r>
      <w:r>
        <w:rPr>
          <w:spacing w:val="-8"/>
          <w:w w:val="115"/>
          <w:sz w:val="12"/>
        </w:rPr>
        <w:t> </w:t>
      </w:r>
      <w:r>
        <w:rPr>
          <w:w w:val="115"/>
          <w:sz w:val="12"/>
        </w:rPr>
        <w:t>assumed</w:t>
      </w:r>
      <w:r>
        <w:rPr>
          <w:spacing w:val="-8"/>
          <w:w w:val="115"/>
          <w:sz w:val="12"/>
        </w:rPr>
        <w:t> </w:t>
      </w:r>
      <w:r>
        <w:rPr>
          <w:w w:val="115"/>
          <w:sz w:val="12"/>
        </w:rPr>
        <w:t>that stitch technique for subcuticular would close the skin</w:t>
      </w:r>
      <w:r>
        <w:rPr>
          <w:spacing w:val="9"/>
          <w:w w:val="115"/>
          <w:sz w:val="12"/>
        </w:rPr>
        <w:t> </w:t>
      </w:r>
      <w:r>
        <w:rPr>
          <w:w w:val="115"/>
          <w:sz w:val="12"/>
        </w:rPr>
        <w:t>as well.</w:t>
      </w:r>
    </w:p>
    <w:p>
      <w:pPr>
        <w:spacing w:line="142" w:lineRule="exact" w:before="0"/>
        <w:ind w:left="579" w:right="0" w:firstLine="0"/>
        <w:jc w:val="left"/>
        <w:rPr>
          <w:sz w:val="12"/>
        </w:rPr>
      </w:pPr>
      <w:r>
        <w:rPr>
          <w:w w:val="115"/>
          <w:position w:val="6"/>
          <w:sz w:val="9"/>
        </w:rPr>
        <w:t>m </w:t>
      </w:r>
      <w:r>
        <w:rPr>
          <w:w w:val="115"/>
          <w:sz w:val="12"/>
        </w:rPr>
        <w:t>Sakdinakiattikoon, 2019 postoperative drainage from the incision was reported, assumed this was equal to </w:t>
      </w:r>
      <w:r>
        <w:rPr>
          <w:rFonts w:ascii="Lucida Sans" w:hAnsi="Lucida Sans"/>
          <w:w w:val="115"/>
          <w:sz w:val="12"/>
        </w:rPr>
        <w:t>‘</w:t>
      </w:r>
      <w:r>
        <w:rPr>
          <w:w w:val="115"/>
          <w:sz w:val="12"/>
        </w:rPr>
        <w:t>prolonged drainage</w:t>
      </w:r>
      <w:r>
        <w:rPr>
          <w:rFonts w:ascii="Lucida Sans" w:hAnsi="Lucida Sans"/>
          <w:w w:val="115"/>
          <w:sz w:val="12"/>
        </w:rPr>
        <w:t>’</w:t>
      </w:r>
      <w:r>
        <w:rPr>
          <w:w w:val="115"/>
          <w:sz w:val="12"/>
        </w:rPr>
        <w:t>.</w:t>
      </w:r>
    </w:p>
    <w:p>
      <w:pPr>
        <w:spacing w:line="171" w:lineRule="exact" w:before="0"/>
        <w:ind w:left="611" w:right="0" w:firstLine="0"/>
        <w:jc w:val="left"/>
        <w:rPr>
          <w:sz w:val="12"/>
        </w:rPr>
      </w:pPr>
      <w:r>
        <w:rPr>
          <w:w w:val="115"/>
          <w:position w:val="6"/>
          <w:sz w:val="9"/>
        </w:rPr>
        <w:t>n </w:t>
      </w:r>
      <w:r>
        <w:rPr>
          <w:w w:val="115"/>
          <w:sz w:val="12"/>
        </w:rPr>
        <w:t>Sundaram, 2019 sample size reported value represents the number of knees treated; total study sample size was 54 patients.</w:t>
      </w:r>
    </w:p>
    <w:p>
      <w:pPr>
        <w:spacing w:line="176" w:lineRule="exact" w:before="0"/>
        <w:ind w:left="614" w:right="0" w:firstLine="0"/>
        <w:jc w:val="left"/>
        <w:rPr>
          <w:sz w:val="12"/>
        </w:rPr>
      </w:pPr>
      <w:r>
        <w:rPr>
          <w:w w:val="115"/>
          <w:position w:val="6"/>
          <w:sz w:val="9"/>
        </w:rPr>
        <w:t>o </w:t>
      </w:r>
      <w:r>
        <w:rPr>
          <w:w w:val="115"/>
          <w:sz w:val="12"/>
        </w:rPr>
        <w:t>Akdogan, 2020 surgical site was closed with interrupted sutures; assumed that sutures were used for all layers.</w:t>
      </w:r>
    </w:p>
    <w:p>
      <w:pPr>
        <w:spacing w:after="0" w:line="176" w:lineRule="exact"/>
        <w:jc w:val="left"/>
        <w:rPr>
          <w:sz w:val="12"/>
        </w:rPr>
        <w:sectPr>
          <w:type w:val="continuous"/>
          <w:pgSz w:w="15880" w:h="11910" w:orient="landscape"/>
          <w:pgMar w:top="840" w:bottom="360" w:left="520" w:right="1100"/>
        </w:sectPr>
      </w:pPr>
    </w:p>
    <w:p>
      <w:pPr>
        <w:pStyle w:val="BodyText"/>
        <w:rPr>
          <w:sz w:val="20"/>
        </w:rPr>
      </w:pPr>
      <w:r>
        <w:rPr/>
        <w:pict>
          <v:group style="position:absolute;margin-left:767.622009pt;margin-top:42.52pt;width:15.6pt;height:520pt;mso-position-horizontal-relative:page;mso-position-vertical-relative:page;z-index:251728896" coordorigin="15352,850" coordsize="312,10400">
            <v:rect style="position:absolute;left:15352;top:850;width:312;height:10400" filled="true" fillcolor="#c1c3c5" stroked="false">
              <v:fill type="solid"/>
            </v:rect>
            <v:shape style="position:absolute;left:15408;top:4502;width:211;height:2589" coordorigin="15409,4502" coordsize="211,2589" path="m15475,6967l15475,6927,15454,6930,15433,6942,15416,6968,15409,7012,15410,7032,15419,7058,15438,7081,15443,7083,15443,7009,15446,6987,15455,6974,15465,6968,15475,6967xm15619,7007l15613,6967,15597,6944,15577,6932,15558,6930,15531,6935,15514,6949,15505,6970,15499,6993,15494,7015,15490,7029,15485,7041,15479,7048,15469,7051,15456,7047,15448,7037,15444,7024,15443,7009,15443,7083,15474,7091,15497,7087,15512,7075,15522,7058,15528,7039,15540,6990,15542,6982,15545,6969,15561,6969,15572,6972,15579,6980,15583,6991,15585,7004,15585,7075,15596,7069,15613,7045,15619,7007xm15585,7075l15585,7004,15581,7025,15573,7037,15563,7043,15554,7045,15554,7085,15575,7081,15585,7075xm15475,6781l15475,6741,15454,6744,15433,6756,15416,6782,15409,6826,15410,6846,15419,6872,15438,6895,15443,6897,15443,6823,15446,6801,15455,6789,15465,6783,15475,6781xm15619,6821l15613,6781,15597,6758,15577,6747,15558,6744,15531,6749,15514,6763,15505,6784,15499,6807,15494,6829,15490,6843,15485,6855,15479,6862,15469,6865,15456,6861,15448,6852,15444,6838,15443,6823,15443,6897,15474,6905,15497,6901,15512,6889,15522,6873,15528,6853,15540,6804,15542,6796,15545,6783,15561,6783,15572,6786,15579,6794,15583,6806,15585,6818,15585,6890,15596,6883,15613,6859,15619,6821xm15585,6890l15585,6818,15581,6839,15573,6852,15563,6857,15554,6859,15554,6899,15575,6895,15585,6890xm15614,6713l15614,6565,15414,6565,15414,6717,15449,6717,15449,6606,15501,6606,15501,6704,15536,6704,15536,6606,15578,6606,15578,6713,15614,6713xm15614,6466l15614,6365,15414,6365,15414,6406,15492,6406,15492,6518,15495,6517,15504,6509,15510,6498,15517,6512,15526,6520,15526,6406,15579,6406,15579,6524,15592,6518,15607,6499,15614,6466xm15492,6518l15492,6449,15490,6467,15483,6477,15472,6481,15454,6482,15440,6482,15430,6483,15421,6484,15414,6486,15414,6533,15419,6533,15422,6527,15429,6525,15440,6524,15459,6524,15481,6522,15492,6518xm15579,6524l15579,6483,15564,6487,15553,6487,15540,6485,15532,6479,15527,6469,15526,6455,15526,6520,15528,6521,15541,6527,15557,6529,15573,6527,15579,6524xm15614,6271l15614,6179,15414,6179,15414,6221,15486,6221,15486,6269,15493,6302,15511,6321,15520,6325,15520,6221,15579,6221,15579,6327,15597,6316,15609,6297,15614,6271xm15579,6327l15579,6254,15578,6271,15573,6282,15564,6289,15552,6291,15543,6291,15533,6287,15524,6278,15520,6260,15520,6325,15532,6330,15550,6333,15576,6329,15579,6327xm15614,5928l15614,5884,15414,5884,15414,5923,15556,5923,15556,5961,15614,5928xm15556,5961l15556,5924,15414,6005,15414,6047,15474,6047,15474,6008,15556,5961xm15614,6047l15614,6008,15474,6008,15474,6047,15614,6047xm15614,5849l15614,5807,15414,5807,15414,5849,15614,5849xm15614,5678l15614,5531,15414,5531,15414,5683,15449,5683,15449,5572,15501,5572,15501,5670,15536,5670,15536,5572,15578,5572,15578,5678,15614,5678xm15614,5405l15614,5363,15414,5363,15414,5504,15450,5504,15450,5405,15614,5405xm15619,5246l15613,5209,15593,5180,15560,5161,15513,5154,15468,5160,15435,5179,15415,5208,15409,5245,15414,5279,15429,5304,15445,5316,15445,5246,15450,5223,15465,5208,15487,5199,15513,5196,15548,5201,15569,5213,15580,5230,15583,5246,15583,5319,15595,5310,15612,5284,15619,5246xm15482,5332l15482,5290,15466,5284,15454,5275,15447,5262,15445,5246,15445,5316,15452,5322,15482,5332xm15583,5319l15583,5246,15579,5267,15570,5280,15559,5287,15548,5290,15548,5332,15572,5326,15583,5319xm15614,5126l15614,5084,15414,5084,15414,5126,15614,5126xm15578,5004l15578,4962,15414,4962,15414,5004,15578,5004xm15614,5064l15614,4901,15578,4901,15578,5064,15614,5064xm15614,4820l15614,4718,15414,4718,15414,4759,15492,4759,15492,4872,15495,4871,15504,4863,15510,4852,15517,4865,15526,4873,15526,4759,15579,4759,15579,4877,15592,4871,15607,4852,15614,4820xm15492,4872l15492,4803,15490,4821,15483,4831,15472,4834,15454,4835,15440,4836,15430,4836,15421,4838,15414,4840,15414,4886,15419,4886,15422,4881,15429,4878,15440,4877,15459,4877,15481,4875,15492,4872xm15579,4877l15579,4836,15564,4841,15553,4841,15540,4839,15532,4833,15527,4823,15526,4808,15526,4873,15528,4875,15541,4881,15557,4883,15573,4880,15579,4877xm15614,4622l15614,4574,15414,4502,15414,4547,15455,4560,15455,4678,15489,4666,15489,4572,15569,4597,15569,4638,15614,4622xm15455,4678l15455,4634,15414,4647,15414,4693,15455,4678xm15569,4638l15569,4598,15489,4623,15489,4666,15569,4638xe" filled="true" fillcolor="#ffffff" stroked="false">
              <v:path arrowok="t"/>
              <v:fill type="solid"/>
            </v:shape>
            <w10:wrap type="none"/>
          </v:group>
        </w:pict>
      </w:r>
      <w:r>
        <w:rPr/>
        <w:pict>
          <v:shape style="position:absolute;margin-left:738.212219pt;margin-top:546.201111pt;width:9.85pt;height:17.4pt;mso-position-horizontal-relative:page;mso-position-vertical-relative:page;z-index:251730944" type="#_x0000_t202" filled="false" stroked="false">
            <v:textbox inset="0,0,0,0" style="layout-flow:vertical">
              <w:txbxContent>
                <w:p>
                  <w:pPr>
                    <w:spacing w:before="29"/>
                    <w:ind w:left="20" w:right="0" w:firstLine="0"/>
                    <w:jc w:val="left"/>
                    <w:rPr>
                      <w:sz w:val="12"/>
                    </w:rPr>
                  </w:pPr>
                  <w:r>
                    <w:rPr>
                      <w:w w:val="115"/>
                      <w:sz w:val="12"/>
                    </w:rPr>
                    <w:t>10.e5</w:t>
                  </w:r>
                </w:p>
              </w:txbxContent>
            </v:textbox>
            <w10:wrap type="none"/>
          </v:shape>
        </w:pict>
      </w:r>
      <w:r>
        <w:rPr/>
        <w:pict>
          <v:shape style="position:absolute;margin-left:2.48584pt;margin-top:118.893997pt;width:16.8pt;height:357.5pt;mso-position-horizontal-relative:page;mso-position-vertical-relative:page;z-index:251731968"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p>
      <w:pPr>
        <w:pStyle w:val="BodyText"/>
        <w:rPr>
          <w:sz w:val="20"/>
        </w:rPr>
      </w:pPr>
    </w:p>
    <w:p>
      <w:pPr>
        <w:pStyle w:val="BodyText"/>
        <w:spacing w:before="4"/>
        <w:rPr>
          <w:sz w:val="17"/>
        </w:rPr>
      </w:pPr>
    </w:p>
    <w:p>
      <w:pPr>
        <w:spacing w:before="111"/>
        <w:ind w:left="511" w:right="0" w:firstLine="0"/>
        <w:jc w:val="left"/>
        <w:rPr>
          <w:sz w:val="12"/>
        </w:rPr>
      </w:pPr>
      <w:bookmarkStart w:name="_bookmark106" w:id="139"/>
      <w:bookmarkEnd w:id="139"/>
      <w:r>
        <w:rPr/>
      </w:r>
      <w:bookmarkStart w:name="_bookmark105" w:id="140"/>
      <w:bookmarkEnd w:id="140"/>
      <w:r>
        <w:rPr/>
      </w:r>
      <w:bookmarkStart w:name="_bookmark104" w:id="141"/>
      <w:bookmarkEnd w:id="141"/>
      <w:r>
        <w:rPr/>
      </w:r>
      <w:bookmarkStart w:name="_bookmark103" w:id="142"/>
      <w:bookmarkEnd w:id="142"/>
      <w:r>
        <w:rPr/>
      </w:r>
      <w:bookmarkStart w:name="_bookmark102" w:id="143"/>
      <w:bookmarkEnd w:id="143"/>
      <w:r>
        <w:rPr/>
      </w:r>
      <w:bookmarkStart w:name="_bookmark101" w:id="144"/>
      <w:bookmarkEnd w:id="144"/>
      <w:r>
        <w:rPr/>
      </w:r>
      <w:bookmarkStart w:name="_bookmark100" w:id="145"/>
      <w:bookmarkEnd w:id="145"/>
      <w:r>
        <w:rPr/>
      </w:r>
      <w:bookmarkStart w:name="_bookmark99" w:id="146"/>
      <w:bookmarkEnd w:id="146"/>
      <w:r>
        <w:rPr/>
      </w:r>
      <w:r>
        <w:rPr>
          <w:w w:val="120"/>
          <w:sz w:val="12"/>
        </w:rPr>
        <w:t>Supplement Table 4</w:t>
      </w:r>
    </w:p>
    <w:p>
      <w:pPr>
        <w:spacing w:before="22"/>
        <w:ind w:left="511" w:right="0" w:firstLine="0"/>
        <w:jc w:val="left"/>
        <w:rPr>
          <w:sz w:val="12"/>
        </w:rPr>
      </w:pPr>
      <w:r>
        <w:rPr/>
        <w:pict>
          <v:shape style="position:absolute;margin-left:51.591pt;margin-top:12.079051pt;width:674.65pt;height:.1pt;mso-position-horizontal-relative:page;mso-position-vertical-relative:paragraph;z-index:-251588608;mso-wrap-distance-left:0;mso-wrap-distance-right:0" coordorigin="1032,242" coordsize="13493,0" path="m1032,242l14525,242e" filled="false" stroked="true" strokeweight=".454pt" strokecolor="#000000">
            <v:path arrowok="t"/>
            <v:stroke dashstyle="solid"/>
            <w10:wrap type="topAndBottom"/>
          </v:shape>
        </w:pict>
      </w:r>
      <w:r>
        <w:rPr>
          <w:w w:val="115"/>
          <w:sz w:val="12"/>
        </w:rPr>
        <w:t>Summary study details for wound closure methods by tissue layer in </w:t>
      </w:r>
      <w:r>
        <w:rPr>
          <w:w w:val="115"/>
          <w:sz w:val="12"/>
          <w:u w:val="single"/>
        </w:rPr>
        <w:t>hip arthroplasty</w:t>
      </w:r>
      <w:r>
        <w:rPr>
          <w:w w:val="115"/>
          <w:sz w:val="12"/>
        </w:rPr>
        <w:t>.</w:t>
      </w:r>
    </w:p>
    <w:p>
      <w:pPr>
        <w:tabs>
          <w:tab w:pos="2609" w:val="left" w:leader="none"/>
          <w:tab w:pos="4144" w:val="left" w:leader="none"/>
          <w:tab w:pos="5273" w:val="left" w:leader="none"/>
          <w:tab w:pos="6314" w:val="left" w:leader="none"/>
          <w:tab w:pos="9967" w:val="left" w:leader="none"/>
          <w:tab w:pos="11372" w:val="left" w:leader="none"/>
        </w:tabs>
        <w:spacing w:before="28" w:after="52"/>
        <w:ind w:left="632" w:right="0" w:firstLine="0"/>
        <w:jc w:val="left"/>
        <w:rPr>
          <w:sz w:val="12"/>
        </w:rPr>
      </w:pPr>
      <w:r>
        <w:rPr>
          <w:w w:val="110"/>
          <w:sz w:val="12"/>
        </w:rPr>
        <w:t>Study</w:t>
        <w:tab/>
        <w:t>Sample</w:t>
      </w:r>
      <w:r>
        <w:rPr>
          <w:spacing w:val="8"/>
          <w:w w:val="110"/>
          <w:sz w:val="12"/>
        </w:rPr>
        <w:t> </w:t>
      </w:r>
      <w:r>
        <w:rPr>
          <w:w w:val="110"/>
          <w:sz w:val="12"/>
        </w:rPr>
        <w:t>size    </w:t>
      </w:r>
      <w:r>
        <w:rPr>
          <w:spacing w:val="19"/>
          <w:w w:val="110"/>
          <w:sz w:val="12"/>
        </w:rPr>
        <w:t> </w:t>
      </w:r>
      <w:r>
        <w:rPr>
          <w:w w:val="110"/>
          <w:sz w:val="12"/>
        </w:rPr>
        <w:t>Fascia</w:t>
        <w:tab/>
        <w:t>Subcutaneous</w:t>
        <w:tab/>
        <w:t>Subcuticular</w:t>
        <w:tab/>
        <w:t>Skin</w:t>
        <w:tab/>
        <w:t>SSI</w:t>
        <w:tab/>
        <w:t>Prolonged drainage Wound</w:t>
      </w:r>
      <w:r>
        <w:rPr>
          <w:spacing w:val="10"/>
          <w:w w:val="110"/>
          <w:sz w:val="12"/>
        </w:rPr>
        <w:t> </w:t>
      </w:r>
      <w:r>
        <w:rPr>
          <w:w w:val="110"/>
          <w:sz w:val="12"/>
        </w:rPr>
        <w:t>dehiscence</w:t>
      </w:r>
    </w:p>
    <w:tbl>
      <w:tblPr>
        <w:tblW w:w="0" w:type="auto"/>
        <w:jc w:val="left"/>
        <w:tblInd w:w="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1"/>
        <w:gridCol w:w="973"/>
        <w:gridCol w:w="234"/>
        <w:gridCol w:w="242"/>
        <w:gridCol w:w="172"/>
        <w:gridCol w:w="354"/>
        <w:gridCol w:w="602"/>
        <w:gridCol w:w="172"/>
        <w:gridCol w:w="332"/>
        <w:gridCol w:w="536"/>
        <w:gridCol w:w="172"/>
        <w:gridCol w:w="231"/>
        <w:gridCol w:w="320"/>
        <w:gridCol w:w="602"/>
        <w:gridCol w:w="425"/>
        <w:gridCol w:w="778"/>
        <w:gridCol w:w="697"/>
        <w:gridCol w:w="433"/>
        <w:gridCol w:w="174"/>
        <w:gridCol w:w="509"/>
        <w:gridCol w:w="726"/>
        <w:gridCol w:w="1061"/>
        <w:gridCol w:w="1745"/>
      </w:tblGrid>
      <w:tr>
        <w:trPr>
          <w:trHeight w:val="250" w:hRule="atLeast"/>
        </w:trPr>
        <w:tc>
          <w:tcPr>
            <w:tcW w:w="2984" w:type="dxa"/>
            <w:gridSpan w:val="2"/>
            <w:tcBorders>
              <w:bottom w:val="single" w:sz="6" w:space="0" w:color="000000"/>
            </w:tcBorders>
          </w:tcPr>
          <w:p>
            <w:pPr>
              <w:pStyle w:val="TableParagraph"/>
              <w:rPr>
                <w:rFonts w:ascii="Times New Roman"/>
                <w:sz w:val="12"/>
              </w:rPr>
            </w:pPr>
          </w:p>
        </w:tc>
        <w:tc>
          <w:tcPr>
            <w:tcW w:w="234" w:type="dxa"/>
            <w:tcBorders>
              <w:top w:val="single" w:sz="4" w:space="0" w:color="000000"/>
              <w:bottom w:val="single" w:sz="6" w:space="0" w:color="000000"/>
            </w:tcBorders>
          </w:tcPr>
          <w:p>
            <w:pPr>
              <w:pStyle w:val="TableParagraph"/>
              <w:spacing w:before="57"/>
              <w:rPr>
                <w:sz w:val="12"/>
              </w:rPr>
            </w:pPr>
            <w:r>
              <w:rPr>
                <w:w w:val="105"/>
                <w:sz w:val="12"/>
              </w:rPr>
              <w:t>TS</w:t>
            </w:r>
          </w:p>
        </w:tc>
        <w:tc>
          <w:tcPr>
            <w:tcW w:w="242" w:type="dxa"/>
            <w:tcBorders>
              <w:top w:val="single" w:sz="4" w:space="0" w:color="000000"/>
              <w:bottom w:val="single" w:sz="6" w:space="0" w:color="000000"/>
            </w:tcBorders>
          </w:tcPr>
          <w:p>
            <w:pPr>
              <w:pStyle w:val="TableParagraph"/>
              <w:spacing w:before="57"/>
              <w:ind w:right="2"/>
              <w:jc w:val="right"/>
              <w:rPr>
                <w:sz w:val="12"/>
              </w:rPr>
            </w:pPr>
            <w:r>
              <w:rPr>
                <w:w w:val="105"/>
                <w:sz w:val="12"/>
              </w:rPr>
              <w:t>BS</w:t>
            </w:r>
          </w:p>
        </w:tc>
        <w:tc>
          <w:tcPr>
            <w:tcW w:w="172" w:type="dxa"/>
            <w:tcBorders>
              <w:bottom w:val="single" w:sz="6" w:space="0" w:color="000000"/>
            </w:tcBorders>
          </w:tcPr>
          <w:p>
            <w:pPr>
              <w:pStyle w:val="TableParagraph"/>
              <w:rPr>
                <w:rFonts w:ascii="Times New Roman"/>
                <w:sz w:val="12"/>
              </w:rPr>
            </w:pPr>
          </w:p>
        </w:tc>
        <w:tc>
          <w:tcPr>
            <w:tcW w:w="354" w:type="dxa"/>
            <w:tcBorders>
              <w:top w:val="single" w:sz="4" w:space="0" w:color="000000"/>
              <w:bottom w:val="single" w:sz="6" w:space="0" w:color="000000"/>
            </w:tcBorders>
          </w:tcPr>
          <w:p>
            <w:pPr>
              <w:pStyle w:val="TableParagraph"/>
              <w:spacing w:before="57"/>
              <w:rPr>
                <w:sz w:val="12"/>
              </w:rPr>
            </w:pPr>
            <w:r>
              <w:rPr>
                <w:w w:val="105"/>
                <w:sz w:val="12"/>
              </w:rPr>
              <w:t>TS</w:t>
            </w:r>
          </w:p>
        </w:tc>
        <w:tc>
          <w:tcPr>
            <w:tcW w:w="602" w:type="dxa"/>
            <w:tcBorders>
              <w:top w:val="single" w:sz="4" w:space="0" w:color="000000"/>
              <w:bottom w:val="single" w:sz="6" w:space="0" w:color="000000"/>
            </w:tcBorders>
          </w:tcPr>
          <w:p>
            <w:pPr>
              <w:pStyle w:val="TableParagraph"/>
              <w:spacing w:before="57"/>
              <w:ind w:left="210"/>
              <w:rPr>
                <w:sz w:val="12"/>
              </w:rPr>
            </w:pPr>
            <w:r>
              <w:rPr>
                <w:w w:val="110"/>
                <w:sz w:val="12"/>
              </w:rPr>
              <w:t>BS</w:t>
            </w:r>
          </w:p>
        </w:tc>
        <w:tc>
          <w:tcPr>
            <w:tcW w:w="172" w:type="dxa"/>
            <w:tcBorders>
              <w:bottom w:val="single" w:sz="6" w:space="0" w:color="000000"/>
            </w:tcBorders>
          </w:tcPr>
          <w:p>
            <w:pPr>
              <w:pStyle w:val="TableParagraph"/>
              <w:rPr>
                <w:rFonts w:ascii="Times New Roman"/>
                <w:sz w:val="12"/>
              </w:rPr>
            </w:pPr>
          </w:p>
        </w:tc>
        <w:tc>
          <w:tcPr>
            <w:tcW w:w="332" w:type="dxa"/>
            <w:tcBorders>
              <w:top w:val="single" w:sz="4" w:space="0" w:color="000000"/>
              <w:bottom w:val="single" w:sz="6" w:space="0" w:color="000000"/>
            </w:tcBorders>
          </w:tcPr>
          <w:p>
            <w:pPr>
              <w:pStyle w:val="TableParagraph"/>
              <w:spacing w:before="57"/>
              <w:ind w:left="2"/>
              <w:rPr>
                <w:sz w:val="12"/>
              </w:rPr>
            </w:pPr>
            <w:r>
              <w:rPr>
                <w:w w:val="105"/>
                <w:sz w:val="12"/>
              </w:rPr>
              <w:t>TS</w:t>
            </w:r>
          </w:p>
        </w:tc>
        <w:tc>
          <w:tcPr>
            <w:tcW w:w="536" w:type="dxa"/>
            <w:tcBorders>
              <w:top w:val="single" w:sz="4" w:space="0" w:color="000000"/>
              <w:bottom w:val="single" w:sz="6" w:space="0" w:color="000000"/>
            </w:tcBorders>
          </w:tcPr>
          <w:p>
            <w:pPr>
              <w:pStyle w:val="TableParagraph"/>
              <w:spacing w:before="57"/>
              <w:ind w:left="169" w:right="176"/>
              <w:jc w:val="center"/>
              <w:rPr>
                <w:sz w:val="12"/>
              </w:rPr>
            </w:pPr>
            <w:r>
              <w:rPr>
                <w:w w:val="110"/>
                <w:sz w:val="12"/>
              </w:rPr>
              <w:t>BS</w:t>
            </w:r>
          </w:p>
        </w:tc>
        <w:tc>
          <w:tcPr>
            <w:tcW w:w="172" w:type="dxa"/>
            <w:tcBorders>
              <w:bottom w:val="single" w:sz="6" w:space="0" w:color="000000"/>
            </w:tcBorders>
          </w:tcPr>
          <w:p>
            <w:pPr>
              <w:pStyle w:val="TableParagraph"/>
              <w:rPr>
                <w:rFonts w:ascii="Times New Roman"/>
                <w:sz w:val="12"/>
              </w:rPr>
            </w:pPr>
          </w:p>
        </w:tc>
        <w:tc>
          <w:tcPr>
            <w:tcW w:w="231" w:type="dxa"/>
            <w:tcBorders>
              <w:top w:val="single" w:sz="4" w:space="0" w:color="000000"/>
              <w:bottom w:val="single" w:sz="6" w:space="0" w:color="000000"/>
            </w:tcBorders>
          </w:tcPr>
          <w:p>
            <w:pPr>
              <w:pStyle w:val="TableParagraph"/>
              <w:spacing w:before="57"/>
              <w:ind w:left="3"/>
              <w:rPr>
                <w:sz w:val="12"/>
              </w:rPr>
            </w:pPr>
            <w:r>
              <w:rPr>
                <w:w w:val="105"/>
                <w:sz w:val="12"/>
              </w:rPr>
              <w:t>TS</w:t>
            </w:r>
          </w:p>
        </w:tc>
        <w:tc>
          <w:tcPr>
            <w:tcW w:w="320" w:type="dxa"/>
            <w:tcBorders>
              <w:top w:val="single" w:sz="4" w:space="0" w:color="000000"/>
              <w:bottom w:val="single" w:sz="6" w:space="0" w:color="000000"/>
            </w:tcBorders>
          </w:tcPr>
          <w:p>
            <w:pPr>
              <w:pStyle w:val="TableParagraph"/>
              <w:spacing w:before="57"/>
              <w:ind w:left="89"/>
              <w:rPr>
                <w:sz w:val="12"/>
              </w:rPr>
            </w:pPr>
            <w:r>
              <w:rPr>
                <w:w w:val="110"/>
                <w:sz w:val="12"/>
              </w:rPr>
              <w:t>BS</w:t>
            </w:r>
          </w:p>
        </w:tc>
        <w:tc>
          <w:tcPr>
            <w:tcW w:w="602" w:type="dxa"/>
            <w:tcBorders>
              <w:top w:val="single" w:sz="4" w:space="0" w:color="000000"/>
              <w:bottom w:val="single" w:sz="6" w:space="0" w:color="000000"/>
            </w:tcBorders>
          </w:tcPr>
          <w:p>
            <w:pPr>
              <w:pStyle w:val="TableParagraph"/>
              <w:spacing w:before="57"/>
              <w:ind w:left="89"/>
              <w:rPr>
                <w:sz w:val="12"/>
              </w:rPr>
            </w:pPr>
            <w:r>
              <w:rPr>
                <w:w w:val="115"/>
                <w:sz w:val="12"/>
              </w:rPr>
              <w:t>Staples</w:t>
            </w:r>
          </w:p>
        </w:tc>
        <w:tc>
          <w:tcPr>
            <w:tcW w:w="425" w:type="dxa"/>
            <w:tcBorders>
              <w:top w:val="single" w:sz="4" w:space="0" w:color="000000"/>
              <w:bottom w:val="single" w:sz="6" w:space="0" w:color="000000"/>
            </w:tcBorders>
          </w:tcPr>
          <w:p>
            <w:pPr>
              <w:pStyle w:val="TableParagraph"/>
              <w:spacing w:before="57"/>
              <w:ind w:left="89"/>
              <w:rPr>
                <w:sz w:val="12"/>
              </w:rPr>
            </w:pPr>
            <w:r>
              <w:rPr>
                <w:sz w:val="12"/>
              </w:rPr>
              <w:t>TSA</w:t>
            </w:r>
          </w:p>
        </w:tc>
        <w:tc>
          <w:tcPr>
            <w:tcW w:w="778" w:type="dxa"/>
            <w:tcBorders>
              <w:top w:val="single" w:sz="4" w:space="0" w:color="000000"/>
              <w:bottom w:val="single" w:sz="6" w:space="0" w:color="000000"/>
            </w:tcBorders>
          </w:tcPr>
          <w:p>
            <w:pPr>
              <w:pStyle w:val="TableParagraph"/>
              <w:spacing w:before="57"/>
              <w:ind w:left="88"/>
              <w:rPr>
                <w:sz w:val="12"/>
              </w:rPr>
            </w:pPr>
            <w:r>
              <w:rPr>
                <w:sz w:val="12"/>
              </w:rPr>
              <w:t>TSA/Mesh</w:t>
            </w:r>
          </w:p>
        </w:tc>
        <w:tc>
          <w:tcPr>
            <w:tcW w:w="697" w:type="dxa"/>
            <w:tcBorders>
              <w:top w:val="single" w:sz="4" w:space="0" w:color="000000"/>
              <w:bottom w:val="single" w:sz="6" w:space="0" w:color="000000"/>
            </w:tcBorders>
          </w:tcPr>
          <w:p>
            <w:pPr>
              <w:pStyle w:val="TableParagraph"/>
              <w:spacing w:before="57"/>
              <w:ind w:left="87"/>
              <w:rPr>
                <w:sz w:val="12"/>
              </w:rPr>
            </w:pPr>
            <w:r>
              <w:rPr>
                <w:w w:val="110"/>
                <w:sz w:val="12"/>
              </w:rPr>
              <w:t>Dressing</w:t>
            </w:r>
          </w:p>
        </w:tc>
        <w:tc>
          <w:tcPr>
            <w:tcW w:w="433" w:type="dxa"/>
            <w:tcBorders>
              <w:top w:val="single" w:sz="4" w:space="0" w:color="000000"/>
              <w:bottom w:val="single" w:sz="6" w:space="0" w:color="000000"/>
            </w:tcBorders>
          </w:tcPr>
          <w:p>
            <w:pPr>
              <w:pStyle w:val="TableParagraph"/>
              <w:spacing w:before="57"/>
              <w:ind w:left="86"/>
              <w:rPr>
                <w:sz w:val="12"/>
              </w:rPr>
            </w:pPr>
            <w:r>
              <w:rPr>
                <w:w w:val="110"/>
                <w:sz w:val="12"/>
              </w:rPr>
              <w:t>Other</w:t>
            </w:r>
          </w:p>
        </w:tc>
        <w:tc>
          <w:tcPr>
            <w:tcW w:w="174" w:type="dxa"/>
            <w:tcBorders>
              <w:bottom w:val="single" w:sz="6" w:space="0" w:color="000000"/>
            </w:tcBorders>
          </w:tcPr>
          <w:p>
            <w:pPr>
              <w:pStyle w:val="TableParagraph"/>
              <w:rPr>
                <w:rFonts w:ascii="Times New Roman"/>
                <w:sz w:val="12"/>
              </w:rPr>
            </w:pPr>
          </w:p>
        </w:tc>
        <w:tc>
          <w:tcPr>
            <w:tcW w:w="509" w:type="dxa"/>
            <w:tcBorders>
              <w:top w:val="single" w:sz="4" w:space="0" w:color="000000"/>
              <w:bottom w:val="single" w:sz="6" w:space="0" w:color="000000"/>
            </w:tcBorders>
          </w:tcPr>
          <w:p>
            <w:pPr>
              <w:pStyle w:val="TableParagraph"/>
              <w:spacing w:before="57"/>
              <w:ind w:left="-4"/>
              <w:rPr>
                <w:sz w:val="12"/>
              </w:rPr>
            </w:pPr>
            <w:r>
              <w:rPr>
                <w:w w:val="110"/>
                <w:sz w:val="12"/>
              </w:rPr>
              <w:t>Deep</w:t>
            </w:r>
          </w:p>
        </w:tc>
        <w:tc>
          <w:tcPr>
            <w:tcW w:w="726" w:type="dxa"/>
            <w:tcBorders>
              <w:top w:val="single" w:sz="4" w:space="0" w:color="000000"/>
              <w:bottom w:val="single" w:sz="6" w:space="0" w:color="000000"/>
            </w:tcBorders>
          </w:tcPr>
          <w:p>
            <w:pPr>
              <w:pStyle w:val="TableParagraph"/>
              <w:spacing w:before="57"/>
              <w:ind w:left="81"/>
              <w:rPr>
                <w:sz w:val="12"/>
              </w:rPr>
            </w:pPr>
            <w:r>
              <w:rPr>
                <w:w w:val="110"/>
                <w:sz w:val="12"/>
              </w:rPr>
              <w:t>Super</w:t>
            </w:r>
            <w:r>
              <w:rPr>
                <w:rFonts w:ascii="Times New Roman" w:hAnsi="Times New Roman"/>
                <w:w w:val="110"/>
                <w:sz w:val="12"/>
              </w:rPr>
              <w:t>ﬁ</w:t>
            </w:r>
            <w:r>
              <w:rPr>
                <w:w w:val="110"/>
                <w:sz w:val="12"/>
              </w:rPr>
              <w:t>cial</w:t>
            </w:r>
          </w:p>
        </w:tc>
        <w:tc>
          <w:tcPr>
            <w:tcW w:w="2806" w:type="dxa"/>
            <w:gridSpan w:val="2"/>
            <w:tcBorders>
              <w:bottom w:val="single" w:sz="6" w:space="0" w:color="000000"/>
            </w:tcBorders>
          </w:tcPr>
          <w:p>
            <w:pPr>
              <w:pStyle w:val="TableParagraph"/>
              <w:rPr>
                <w:rFonts w:ascii="Times New Roman"/>
                <w:sz w:val="12"/>
              </w:rPr>
            </w:pPr>
          </w:p>
        </w:tc>
      </w:tr>
      <w:tr>
        <w:trPr>
          <w:trHeight w:val="210" w:hRule="atLeast"/>
        </w:trPr>
        <w:tc>
          <w:tcPr>
            <w:tcW w:w="2011" w:type="dxa"/>
            <w:tcBorders>
              <w:top w:val="single" w:sz="6" w:space="0" w:color="000000"/>
            </w:tcBorders>
          </w:tcPr>
          <w:p>
            <w:pPr>
              <w:pStyle w:val="TableParagraph"/>
              <w:spacing w:line="134" w:lineRule="exact" w:before="56"/>
              <w:ind w:left="120"/>
              <w:rPr>
                <w:sz w:val="12"/>
              </w:rPr>
            </w:pPr>
            <w:r>
              <w:rPr>
                <w:w w:val="115"/>
                <w:sz w:val="12"/>
              </w:rPr>
              <w:t>Khan et al., 2006 [</w:t>
            </w:r>
            <w:hyperlink w:history="true" w:anchor="_bookmark31">
              <w:r>
                <w:rPr>
                  <w:color w:val="007FAC"/>
                  <w:w w:val="115"/>
                  <w:sz w:val="12"/>
                </w:rPr>
                <w:t>20</w:t>
              </w:r>
            </w:hyperlink>
            <w:r>
              <w:rPr>
                <w:w w:val="115"/>
                <w:sz w:val="12"/>
              </w:rPr>
              <w:t>]</w:t>
            </w:r>
            <w:r>
              <w:rPr>
                <w:w w:val="115"/>
                <w:sz w:val="12"/>
                <w:vertAlign w:val="superscript"/>
              </w:rPr>
              <w:t>,</w:t>
            </w:r>
            <w:hyperlink w:history="true" w:anchor="_bookmark106">
              <w:r>
                <w:rPr>
                  <w:color w:val="007FAC"/>
                  <w:w w:val="115"/>
                  <w:sz w:val="12"/>
                  <w:vertAlign w:val="superscript"/>
                </w:rPr>
                <w:t>a</w:t>
              </w:r>
            </w:hyperlink>
          </w:p>
        </w:tc>
        <w:tc>
          <w:tcPr>
            <w:tcW w:w="973" w:type="dxa"/>
            <w:tcBorders>
              <w:top w:val="single" w:sz="6" w:space="0" w:color="000000"/>
            </w:tcBorders>
          </w:tcPr>
          <w:p>
            <w:pPr>
              <w:pStyle w:val="TableParagraph"/>
              <w:spacing w:line="134" w:lineRule="exact" w:before="56"/>
              <w:ind w:left="162"/>
              <w:rPr>
                <w:sz w:val="12"/>
              </w:rPr>
            </w:pPr>
            <w:r>
              <w:rPr>
                <w:w w:val="125"/>
                <w:sz w:val="12"/>
              </w:rPr>
              <w:t>36</w:t>
            </w:r>
          </w:p>
        </w:tc>
        <w:tc>
          <w:tcPr>
            <w:tcW w:w="234" w:type="dxa"/>
            <w:tcBorders>
              <w:top w:val="single" w:sz="6" w:space="0" w:color="000000"/>
            </w:tcBorders>
          </w:tcPr>
          <w:p>
            <w:pPr>
              <w:pStyle w:val="TableParagraph"/>
              <w:spacing w:line="135" w:lineRule="exact" w:before="55"/>
              <w:rPr>
                <w:rFonts w:ascii="Lucida Sans"/>
                <w:sz w:val="12"/>
              </w:rPr>
            </w:pPr>
            <w:r>
              <w:rPr>
                <w:rFonts w:ascii="Lucida Sans"/>
                <w:w w:val="174"/>
                <w:sz w:val="12"/>
              </w:rPr>
              <w:t>C</w:t>
            </w:r>
          </w:p>
        </w:tc>
        <w:tc>
          <w:tcPr>
            <w:tcW w:w="242" w:type="dxa"/>
            <w:tcBorders>
              <w:top w:val="single" w:sz="6" w:space="0" w:color="000000"/>
            </w:tcBorders>
          </w:tcPr>
          <w:p>
            <w:pPr>
              <w:pStyle w:val="TableParagraph"/>
              <w:rPr>
                <w:rFonts w:ascii="Times New Roman"/>
                <w:sz w:val="12"/>
              </w:rPr>
            </w:pPr>
          </w:p>
        </w:tc>
        <w:tc>
          <w:tcPr>
            <w:tcW w:w="172" w:type="dxa"/>
            <w:tcBorders>
              <w:top w:val="single" w:sz="6" w:space="0" w:color="000000"/>
            </w:tcBorders>
          </w:tcPr>
          <w:p>
            <w:pPr>
              <w:pStyle w:val="TableParagraph"/>
              <w:rPr>
                <w:rFonts w:ascii="Times New Roman"/>
                <w:sz w:val="12"/>
              </w:rPr>
            </w:pPr>
          </w:p>
        </w:tc>
        <w:tc>
          <w:tcPr>
            <w:tcW w:w="354" w:type="dxa"/>
            <w:tcBorders>
              <w:top w:val="single" w:sz="6" w:space="0" w:color="000000"/>
            </w:tcBorders>
          </w:tcPr>
          <w:p>
            <w:pPr>
              <w:pStyle w:val="TableParagraph"/>
              <w:spacing w:line="135" w:lineRule="exact" w:before="55"/>
              <w:rPr>
                <w:rFonts w:ascii="Lucida Sans"/>
                <w:sz w:val="12"/>
              </w:rPr>
            </w:pPr>
            <w:r>
              <w:rPr>
                <w:rFonts w:ascii="Lucida Sans"/>
                <w:w w:val="174"/>
                <w:sz w:val="12"/>
              </w:rPr>
              <w:t>C</w:t>
            </w:r>
          </w:p>
        </w:tc>
        <w:tc>
          <w:tcPr>
            <w:tcW w:w="602" w:type="dxa"/>
            <w:tcBorders>
              <w:top w:val="single" w:sz="6" w:space="0" w:color="000000"/>
            </w:tcBorders>
          </w:tcPr>
          <w:p>
            <w:pPr>
              <w:pStyle w:val="TableParagraph"/>
              <w:rPr>
                <w:rFonts w:ascii="Times New Roman"/>
                <w:sz w:val="12"/>
              </w:rPr>
            </w:pPr>
          </w:p>
        </w:tc>
        <w:tc>
          <w:tcPr>
            <w:tcW w:w="172" w:type="dxa"/>
            <w:tcBorders>
              <w:top w:val="single" w:sz="6" w:space="0" w:color="000000"/>
            </w:tcBorders>
          </w:tcPr>
          <w:p>
            <w:pPr>
              <w:pStyle w:val="TableParagraph"/>
              <w:rPr>
                <w:rFonts w:ascii="Times New Roman"/>
                <w:sz w:val="12"/>
              </w:rPr>
            </w:pPr>
          </w:p>
        </w:tc>
        <w:tc>
          <w:tcPr>
            <w:tcW w:w="332" w:type="dxa"/>
            <w:tcBorders>
              <w:top w:val="single" w:sz="6" w:space="0" w:color="000000"/>
            </w:tcBorders>
          </w:tcPr>
          <w:p>
            <w:pPr>
              <w:pStyle w:val="TableParagraph"/>
              <w:rPr>
                <w:rFonts w:ascii="Times New Roman"/>
                <w:sz w:val="12"/>
              </w:rPr>
            </w:pPr>
          </w:p>
        </w:tc>
        <w:tc>
          <w:tcPr>
            <w:tcW w:w="536" w:type="dxa"/>
            <w:tcBorders>
              <w:top w:val="single" w:sz="6" w:space="0" w:color="000000"/>
            </w:tcBorders>
          </w:tcPr>
          <w:p>
            <w:pPr>
              <w:pStyle w:val="TableParagraph"/>
              <w:rPr>
                <w:rFonts w:ascii="Times New Roman"/>
                <w:sz w:val="12"/>
              </w:rPr>
            </w:pPr>
          </w:p>
        </w:tc>
        <w:tc>
          <w:tcPr>
            <w:tcW w:w="172" w:type="dxa"/>
            <w:tcBorders>
              <w:top w:val="single" w:sz="6" w:space="0" w:color="000000"/>
            </w:tcBorders>
          </w:tcPr>
          <w:p>
            <w:pPr>
              <w:pStyle w:val="TableParagraph"/>
              <w:rPr>
                <w:rFonts w:ascii="Times New Roman"/>
                <w:sz w:val="12"/>
              </w:rPr>
            </w:pPr>
          </w:p>
        </w:tc>
        <w:tc>
          <w:tcPr>
            <w:tcW w:w="231" w:type="dxa"/>
            <w:tcBorders>
              <w:top w:val="single" w:sz="6" w:space="0" w:color="000000"/>
            </w:tcBorders>
          </w:tcPr>
          <w:p>
            <w:pPr>
              <w:pStyle w:val="TableParagraph"/>
              <w:rPr>
                <w:rFonts w:ascii="Times New Roman"/>
                <w:sz w:val="12"/>
              </w:rPr>
            </w:pPr>
          </w:p>
        </w:tc>
        <w:tc>
          <w:tcPr>
            <w:tcW w:w="320" w:type="dxa"/>
            <w:tcBorders>
              <w:top w:val="single" w:sz="6" w:space="0" w:color="000000"/>
            </w:tcBorders>
          </w:tcPr>
          <w:p>
            <w:pPr>
              <w:pStyle w:val="TableParagraph"/>
              <w:rPr>
                <w:rFonts w:ascii="Times New Roman"/>
                <w:sz w:val="12"/>
              </w:rPr>
            </w:pPr>
          </w:p>
        </w:tc>
        <w:tc>
          <w:tcPr>
            <w:tcW w:w="602" w:type="dxa"/>
            <w:tcBorders>
              <w:top w:val="single" w:sz="6" w:space="0" w:color="000000"/>
            </w:tcBorders>
          </w:tcPr>
          <w:p>
            <w:pPr>
              <w:pStyle w:val="TableParagraph"/>
              <w:spacing w:line="135" w:lineRule="exact" w:before="55"/>
              <w:ind w:left="89"/>
              <w:rPr>
                <w:rFonts w:ascii="Lucida Sans"/>
                <w:sz w:val="12"/>
              </w:rPr>
            </w:pPr>
            <w:r>
              <w:rPr>
                <w:rFonts w:ascii="Lucida Sans"/>
                <w:w w:val="174"/>
                <w:sz w:val="12"/>
              </w:rPr>
              <w:t>C</w:t>
            </w:r>
          </w:p>
        </w:tc>
        <w:tc>
          <w:tcPr>
            <w:tcW w:w="425" w:type="dxa"/>
            <w:tcBorders>
              <w:top w:val="single" w:sz="6" w:space="0" w:color="000000"/>
            </w:tcBorders>
          </w:tcPr>
          <w:p>
            <w:pPr>
              <w:pStyle w:val="TableParagraph"/>
              <w:rPr>
                <w:rFonts w:ascii="Times New Roman"/>
                <w:sz w:val="12"/>
              </w:rPr>
            </w:pPr>
          </w:p>
        </w:tc>
        <w:tc>
          <w:tcPr>
            <w:tcW w:w="778" w:type="dxa"/>
            <w:tcBorders>
              <w:top w:val="single" w:sz="6" w:space="0" w:color="000000"/>
            </w:tcBorders>
          </w:tcPr>
          <w:p>
            <w:pPr>
              <w:pStyle w:val="TableParagraph"/>
              <w:rPr>
                <w:rFonts w:ascii="Times New Roman"/>
                <w:sz w:val="12"/>
              </w:rPr>
            </w:pPr>
          </w:p>
        </w:tc>
        <w:tc>
          <w:tcPr>
            <w:tcW w:w="697" w:type="dxa"/>
            <w:tcBorders>
              <w:top w:val="single" w:sz="6" w:space="0" w:color="000000"/>
            </w:tcBorders>
          </w:tcPr>
          <w:p>
            <w:pPr>
              <w:pStyle w:val="TableParagraph"/>
              <w:spacing w:line="135" w:lineRule="exact" w:before="55"/>
              <w:ind w:left="87"/>
              <w:rPr>
                <w:rFonts w:ascii="Lucida Sans"/>
                <w:sz w:val="12"/>
              </w:rPr>
            </w:pPr>
            <w:r>
              <w:rPr>
                <w:rFonts w:ascii="Lucida Sans"/>
                <w:w w:val="174"/>
                <w:sz w:val="12"/>
              </w:rPr>
              <w:t>C</w:t>
            </w:r>
          </w:p>
        </w:tc>
        <w:tc>
          <w:tcPr>
            <w:tcW w:w="433" w:type="dxa"/>
            <w:tcBorders>
              <w:top w:val="single" w:sz="6" w:space="0" w:color="000000"/>
            </w:tcBorders>
          </w:tcPr>
          <w:p>
            <w:pPr>
              <w:pStyle w:val="TableParagraph"/>
              <w:rPr>
                <w:rFonts w:ascii="Times New Roman"/>
                <w:sz w:val="12"/>
              </w:rPr>
            </w:pPr>
          </w:p>
        </w:tc>
        <w:tc>
          <w:tcPr>
            <w:tcW w:w="174" w:type="dxa"/>
            <w:tcBorders>
              <w:top w:val="single" w:sz="6" w:space="0" w:color="000000"/>
            </w:tcBorders>
          </w:tcPr>
          <w:p>
            <w:pPr>
              <w:pStyle w:val="TableParagraph"/>
              <w:rPr>
                <w:rFonts w:ascii="Times New Roman"/>
                <w:sz w:val="12"/>
              </w:rPr>
            </w:pPr>
          </w:p>
        </w:tc>
        <w:tc>
          <w:tcPr>
            <w:tcW w:w="509" w:type="dxa"/>
            <w:tcBorders>
              <w:top w:val="single" w:sz="6" w:space="0" w:color="000000"/>
            </w:tcBorders>
          </w:tcPr>
          <w:p>
            <w:pPr>
              <w:pStyle w:val="TableParagraph"/>
              <w:spacing w:line="134" w:lineRule="exact" w:before="56"/>
              <w:ind w:left="78"/>
              <w:rPr>
                <w:sz w:val="12"/>
              </w:rPr>
            </w:pPr>
            <w:r>
              <w:rPr>
                <w:w w:val="105"/>
                <w:sz w:val="12"/>
              </w:rPr>
              <w:t>0.0%</w:t>
            </w:r>
          </w:p>
        </w:tc>
        <w:tc>
          <w:tcPr>
            <w:tcW w:w="726" w:type="dxa"/>
            <w:tcBorders>
              <w:top w:val="single" w:sz="6" w:space="0" w:color="000000"/>
            </w:tcBorders>
          </w:tcPr>
          <w:p>
            <w:pPr>
              <w:pStyle w:val="TableParagraph"/>
              <w:spacing w:line="134" w:lineRule="exact" w:before="56"/>
              <w:ind w:left="163"/>
              <w:rPr>
                <w:sz w:val="12"/>
              </w:rPr>
            </w:pPr>
            <w:r>
              <w:rPr>
                <w:w w:val="105"/>
                <w:sz w:val="12"/>
              </w:rPr>
              <w:t>8.3%</w:t>
            </w:r>
          </w:p>
        </w:tc>
        <w:tc>
          <w:tcPr>
            <w:tcW w:w="1061" w:type="dxa"/>
            <w:tcBorders>
              <w:top w:val="single" w:sz="6" w:space="0" w:color="000000"/>
            </w:tcBorders>
          </w:tcPr>
          <w:p>
            <w:pPr>
              <w:pStyle w:val="TableParagraph"/>
              <w:spacing w:line="134" w:lineRule="exact" w:before="56"/>
              <w:ind w:right="472"/>
              <w:jc w:val="right"/>
              <w:rPr>
                <w:sz w:val="12"/>
              </w:rPr>
            </w:pPr>
            <w:r>
              <w:rPr>
                <w:w w:val="110"/>
                <w:sz w:val="12"/>
              </w:rPr>
              <w:t>13.9%</w:t>
            </w:r>
          </w:p>
        </w:tc>
        <w:tc>
          <w:tcPr>
            <w:tcW w:w="1745" w:type="dxa"/>
            <w:tcBorders>
              <w:top w:val="single" w:sz="6" w:space="0" w:color="000000"/>
            </w:tcBorders>
          </w:tcPr>
          <w:p>
            <w:pPr>
              <w:pStyle w:val="TableParagraph"/>
              <w:spacing w:line="134" w:lineRule="exact" w:before="56"/>
              <w:ind w:left="541"/>
              <w:rPr>
                <w:sz w:val="12"/>
              </w:rPr>
            </w:pPr>
            <w:r>
              <w:rPr>
                <w:w w:val="105"/>
                <w:sz w:val="12"/>
              </w:rPr>
              <w:t>0.0%</w:t>
            </w:r>
          </w:p>
        </w:tc>
      </w:tr>
      <w:tr>
        <w:trPr>
          <w:trHeight w:val="176" w:hRule="atLeast"/>
        </w:trPr>
        <w:tc>
          <w:tcPr>
            <w:tcW w:w="2011" w:type="dxa"/>
          </w:tcPr>
          <w:p>
            <w:pPr>
              <w:pStyle w:val="TableParagraph"/>
              <w:rPr>
                <w:rFonts w:ascii="Times New Roman"/>
                <w:sz w:val="10"/>
              </w:rPr>
            </w:pPr>
          </w:p>
        </w:tc>
        <w:tc>
          <w:tcPr>
            <w:tcW w:w="973" w:type="dxa"/>
          </w:tcPr>
          <w:p>
            <w:pPr>
              <w:pStyle w:val="TableParagraph"/>
              <w:spacing w:line="140" w:lineRule="exact" w:before="17"/>
              <w:ind w:left="162"/>
              <w:rPr>
                <w:sz w:val="12"/>
              </w:rPr>
            </w:pPr>
            <w:r>
              <w:rPr>
                <w:w w:val="125"/>
                <w:sz w:val="12"/>
              </w:rPr>
              <w:t>33</w:t>
            </w:r>
          </w:p>
        </w:tc>
        <w:tc>
          <w:tcPr>
            <w:tcW w:w="234" w:type="dxa"/>
          </w:tcPr>
          <w:p>
            <w:pPr>
              <w:pStyle w:val="TableParagraph"/>
              <w:spacing w:line="141" w:lineRule="exact" w:before="16"/>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41" w:lineRule="exact" w:before="16"/>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56" w:lineRule="exact"/>
              <w:ind w:left="2"/>
              <w:rPr>
                <w:rFonts w:ascii="Arial"/>
                <w:sz w:val="14"/>
              </w:rPr>
            </w:pPr>
            <w:r>
              <w:rPr>
                <w:rFonts w:ascii="Arial"/>
                <w:w w:val="97"/>
                <w:sz w:val="14"/>
              </w:rPr>
              <w:t>a</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spacing w:line="140" w:lineRule="exact" w:before="17"/>
              <w:ind w:left="89"/>
              <w:rPr>
                <w:sz w:val="12"/>
              </w:rPr>
            </w:pPr>
            <w:r>
              <w:rPr>
                <w:w w:val="101"/>
                <w:sz w:val="12"/>
              </w:rPr>
              <w:t>D</w:t>
            </w:r>
          </w:p>
        </w:tc>
        <w:tc>
          <w:tcPr>
            <w:tcW w:w="778" w:type="dxa"/>
          </w:tcPr>
          <w:p>
            <w:pPr>
              <w:pStyle w:val="TableParagraph"/>
              <w:rPr>
                <w:rFonts w:ascii="Times New Roman"/>
                <w:sz w:val="10"/>
              </w:rPr>
            </w:pPr>
          </w:p>
        </w:tc>
        <w:tc>
          <w:tcPr>
            <w:tcW w:w="697" w:type="dxa"/>
          </w:tcPr>
          <w:p>
            <w:pPr>
              <w:pStyle w:val="TableParagraph"/>
              <w:spacing w:line="141" w:lineRule="exact" w:before="16"/>
              <w:ind w:left="87"/>
              <w:rPr>
                <w:rFonts w:ascii="Lucida Sans"/>
                <w:sz w:val="12"/>
              </w:rPr>
            </w:pPr>
            <w:r>
              <w:rPr>
                <w:rFonts w:ascii="Lucida Sans"/>
                <w:w w:val="174"/>
                <w:sz w:val="12"/>
              </w:rPr>
              <w:t>C</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40" w:lineRule="exact" w:before="17"/>
              <w:ind w:left="78"/>
              <w:rPr>
                <w:sz w:val="12"/>
              </w:rPr>
            </w:pPr>
            <w:r>
              <w:rPr>
                <w:w w:val="105"/>
                <w:sz w:val="12"/>
              </w:rPr>
              <w:t>0.0%</w:t>
            </w:r>
          </w:p>
        </w:tc>
        <w:tc>
          <w:tcPr>
            <w:tcW w:w="726" w:type="dxa"/>
          </w:tcPr>
          <w:p>
            <w:pPr>
              <w:pStyle w:val="TableParagraph"/>
              <w:spacing w:line="140" w:lineRule="exact" w:before="17"/>
              <w:ind w:left="87"/>
              <w:rPr>
                <w:sz w:val="12"/>
              </w:rPr>
            </w:pPr>
            <w:r>
              <w:rPr>
                <w:w w:val="110"/>
                <w:sz w:val="12"/>
              </w:rPr>
              <w:t>12.1%</w:t>
            </w:r>
          </w:p>
        </w:tc>
        <w:tc>
          <w:tcPr>
            <w:tcW w:w="1061" w:type="dxa"/>
          </w:tcPr>
          <w:p>
            <w:pPr>
              <w:pStyle w:val="TableParagraph"/>
              <w:spacing w:line="140" w:lineRule="exact" w:before="17"/>
              <w:ind w:right="472"/>
              <w:jc w:val="right"/>
              <w:rPr>
                <w:sz w:val="12"/>
              </w:rPr>
            </w:pPr>
            <w:r>
              <w:rPr>
                <w:w w:val="110"/>
                <w:sz w:val="12"/>
              </w:rPr>
              <w:t>12.1%</w:t>
            </w:r>
          </w:p>
        </w:tc>
        <w:tc>
          <w:tcPr>
            <w:tcW w:w="1745" w:type="dxa"/>
          </w:tcPr>
          <w:p>
            <w:pPr>
              <w:pStyle w:val="TableParagraph"/>
              <w:spacing w:line="140" w:lineRule="exact" w:before="17"/>
              <w:ind w:left="541"/>
              <w:rPr>
                <w:sz w:val="12"/>
              </w:rPr>
            </w:pPr>
            <w:r>
              <w:rPr>
                <w:w w:val="105"/>
                <w:sz w:val="12"/>
              </w:rPr>
              <w:t>0.0%</w:t>
            </w:r>
          </w:p>
        </w:tc>
      </w:tr>
      <w:tr>
        <w:trPr>
          <w:trHeight w:val="161" w:hRule="atLeast"/>
        </w:trPr>
        <w:tc>
          <w:tcPr>
            <w:tcW w:w="2011" w:type="dxa"/>
          </w:tcPr>
          <w:p>
            <w:pPr>
              <w:pStyle w:val="TableParagraph"/>
              <w:rPr>
                <w:rFonts w:ascii="Times New Roman"/>
                <w:sz w:val="10"/>
              </w:rPr>
            </w:pPr>
          </w:p>
        </w:tc>
        <w:tc>
          <w:tcPr>
            <w:tcW w:w="973" w:type="dxa"/>
          </w:tcPr>
          <w:p>
            <w:pPr>
              <w:pStyle w:val="TableParagraph"/>
              <w:spacing w:line="130" w:lineRule="exact" w:before="11"/>
              <w:ind w:left="162"/>
              <w:rPr>
                <w:sz w:val="12"/>
              </w:rPr>
            </w:pPr>
            <w:r>
              <w:rPr>
                <w:w w:val="125"/>
                <w:sz w:val="12"/>
              </w:rPr>
              <w:t>33</w:t>
            </w:r>
          </w:p>
        </w:tc>
        <w:tc>
          <w:tcPr>
            <w:tcW w:w="234" w:type="dxa"/>
          </w:tcPr>
          <w:p>
            <w:pPr>
              <w:pStyle w:val="TableParagraph"/>
              <w:spacing w:line="131" w:lineRule="exact" w:before="10"/>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1" w:lineRule="exact" w:before="10"/>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1" w:lineRule="exact" w:before="10"/>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42" w:lineRule="exact"/>
              <w:ind w:left="3"/>
              <w:rPr>
                <w:rFonts w:ascii="Arial"/>
                <w:sz w:val="14"/>
              </w:rPr>
            </w:pPr>
            <w:r>
              <w:rPr>
                <w:rFonts w:ascii="Arial"/>
                <w:w w:val="97"/>
                <w:sz w:val="14"/>
              </w:rPr>
              <w:t>a</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31" w:lineRule="exact" w:before="10"/>
              <w:ind w:left="87"/>
              <w:rPr>
                <w:rFonts w:ascii="Lucida Sans"/>
                <w:sz w:val="12"/>
              </w:rPr>
            </w:pPr>
            <w:r>
              <w:rPr>
                <w:rFonts w:ascii="Lucida Sans"/>
                <w:w w:val="174"/>
                <w:sz w:val="12"/>
              </w:rPr>
              <w:t>C</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0" w:lineRule="exact" w:before="11"/>
              <w:ind w:left="78"/>
              <w:rPr>
                <w:sz w:val="12"/>
              </w:rPr>
            </w:pPr>
            <w:r>
              <w:rPr>
                <w:w w:val="105"/>
                <w:sz w:val="12"/>
              </w:rPr>
              <w:t>0.0%</w:t>
            </w:r>
          </w:p>
        </w:tc>
        <w:tc>
          <w:tcPr>
            <w:tcW w:w="726" w:type="dxa"/>
          </w:tcPr>
          <w:p>
            <w:pPr>
              <w:pStyle w:val="TableParagraph"/>
              <w:spacing w:line="130" w:lineRule="exact" w:before="11"/>
              <w:ind w:left="163"/>
              <w:rPr>
                <w:sz w:val="12"/>
              </w:rPr>
            </w:pPr>
            <w:r>
              <w:rPr>
                <w:w w:val="105"/>
                <w:sz w:val="12"/>
              </w:rPr>
              <w:t>0.0%</w:t>
            </w:r>
          </w:p>
        </w:tc>
        <w:tc>
          <w:tcPr>
            <w:tcW w:w="1061" w:type="dxa"/>
          </w:tcPr>
          <w:p>
            <w:pPr>
              <w:pStyle w:val="TableParagraph"/>
              <w:spacing w:line="130" w:lineRule="exact" w:before="11"/>
              <w:ind w:right="472"/>
              <w:jc w:val="right"/>
              <w:rPr>
                <w:sz w:val="12"/>
              </w:rPr>
            </w:pPr>
            <w:r>
              <w:rPr>
                <w:w w:val="105"/>
                <w:sz w:val="12"/>
              </w:rPr>
              <w:t>9.1%</w:t>
            </w:r>
          </w:p>
        </w:tc>
        <w:tc>
          <w:tcPr>
            <w:tcW w:w="1745" w:type="dxa"/>
          </w:tcPr>
          <w:p>
            <w:pPr>
              <w:pStyle w:val="TableParagraph"/>
              <w:spacing w:line="130" w:lineRule="exact" w:before="11"/>
              <w:ind w:left="541"/>
              <w:rPr>
                <w:sz w:val="12"/>
              </w:rPr>
            </w:pPr>
            <w:r>
              <w:rPr>
                <w:w w:val="105"/>
                <w:sz w:val="12"/>
              </w:rPr>
              <w:t>0.0%</w:t>
            </w:r>
          </w:p>
        </w:tc>
      </w:tr>
      <w:tr>
        <w:trPr>
          <w:trHeight w:val="171" w:hRule="atLeast"/>
        </w:trPr>
        <w:tc>
          <w:tcPr>
            <w:tcW w:w="2011" w:type="dxa"/>
          </w:tcPr>
          <w:p>
            <w:pPr>
              <w:pStyle w:val="TableParagraph"/>
              <w:spacing w:line="130" w:lineRule="exact" w:before="20"/>
              <w:ind w:left="120"/>
              <w:rPr>
                <w:sz w:val="12"/>
              </w:rPr>
            </w:pPr>
            <w:r>
              <w:rPr>
                <w:w w:val="115"/>
                <w:sz w:val="12"/>
              </w:rPr>
              <w:t>Khurana et al., 2008 [</w:t>
            </w:r>
            <w:hyperlink w:history="true" w:anchor="_bookmark26">
              <w:r>
                <w:rPr>
                  <w:color w:val="007FAC"/>
                  <w:w w:val="115"/>
                  <w:sz w:val="12"/>
                </w:rPr>
                <w:t>15</w:t>
              </w:r>
            </w:hyperlink>
            <w:r>
              <w:rPr>
                <w:w w:val="115"/>
                <w:sz w:val="12"/>
              </w:rPr>
              <w:t>]</w:t>
            </w:r>
            <w:r>
              <w:rPr>
                <w:w w:val="115"/>
                <w:sz w:val="12"/>
                <w:vertAlign w:val="superscript"/>
              </w:rPr>
              <w:t>,</w:t>
            </w:r>
            <w:hyperlink w:history="true" w:anchor="_bookmark105">
              <w:r>
                <w:rPr>
                  <w:color w:val="007FAC"/>
                  <w:w w:val="115"/>
                  <w:sz w:val="12"/>
                  <w:vertAlign w:val="superscript"/>
                </w:rPr>
                <w:t>b</w:t>
              </w:r>
            </w:hyperlink>
          </w:p>
        </w:tc>
        <w:tc>
          <w:tcPr>
            <w:tcW w:w="973" w:type="dxa"/>
          </w:tcPr>
          <w:p>
            <w:pPr>
              <w:pStyle w:val="TableParagraph"/>
              <w:spacing w:line="130" w:lineRule="exact" w:before="20"/>
              <w:ind w:left="162"/>
              <w:rPr>
                <w:sz w:val="12"/>
              </w:rPr>
            </w:pPr>
            <w:r>
              <w:rPr>
                <w:w w:val="125"/>
                <w:sz w:val="12"/>
              </w:rPr>
              <w:t>93</w:t>
            </w:r>
          </w:p>
        </w:tc>
        <w:tc>
          <w:tcPr>
            <w:tcW w:w="234" w:type="dxa"/>
          </w:tcPr>
          <w:p>
            <w:pPr>
              <w:pStyle w:val="TableParagraph"/>
              <w:spacing w:line="131" w:lineRule="exact" w:before="20"/>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1" w:lineRule="exact" w:before="20"/>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1" w:lineRule="exact" w:before="20"/>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47" w:lineRule="exact" w:before="4"/>
              <w:ind w:left="3"/>
              <w:rPr>
                <w:rFonts w:ascii="Arial"/>
                <w:sz w:val="14"/>
              </w:rPr>
            </w:pPr>
            <w:r>
              <w:rPr>
                <w:rFonts w:ascii="Arial"/>
                <w:w w:val="97"/>
                <w:sz w:val="14"/>
              </w:rPr>
              <w:t>a</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spacing w:line="130" w:lineRule="exact" w:before="20"/>
              <w:ind w:left="89"/>
              <w:rPr>
                <w:sz w:val="12"/>
              </w:rPr>
            </w:pPr>
            <w:r>
              <w:rPr>
                <w:w w:val="101"/>
                <w:sz w:val="12"/>
              </w:rPr>
              <w:t>D</w:t>
            </w:r>
          </w:p>
        </w:tc>
        <w:tc>
          <w:tcPr>
            <w:tcW w:w="778" w:type="dxa"/>
          </w:tcPr>
          <w:p>
            <w:pPr>
              <w:pStyle w:val="TableParagraph"/>
              <w:rPr>
                <w:rFonts w:ascii="Times New Roman"/>
                <w:sz w:val="10"/>
              </w:rPr>
            </w:pPr>
          </w:p>
        </w:tc>
        <w:tc>
          <w:tcPr>
            <w:tcW w:w="697" w:type="dxa"/>
          </w:tcPr>
          <w:p>
            <w:pPr>
              <w:pStyle w:val="TableParagraph"/>
              <w:rPr>
                <w:rFonts w:ascii="Times New Roman"/>
                <w:sz w:val="10"/>
              </w:rPr>
            </w:pP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0" w:lineRule="exact" w:before="20"/>
              <w:ind w:left="78"/>
              <w:rPr>
                <w:sz w:val="12"/>
              </w:rPr>
            </w:pPr>
            <w:r>
              <w:rPr>
                <w:w w:val="105"/>
                <w:sz w:val="12"/>
              </w:rPr>
              <w:t>0.0%</w:t>
            </w:r>
          </w:p>
        </w:tc>
        <w:tc>
          <w:tcPr>
            <w:tcW w:w="726" w:type="dxa"/>
          </w:tcPr>
          <w:p>
            <w:pPr>
              <w:pStyle w:val="TableParagraph"/>
              <w:spacing w:line="130" w:lineRule="exact" w:before="20"/>
              <w:ind w:left="163"/>
              <w:rPr>
                <w:sz w:val="12"/>
              </w:rPr>
            </w:pPr>
            <w:r>
              <w:rPr>
                <w:w w:val="105"/>
                <w:sz w:val="12"/>
              </w:rPr>
              <w:t>0.0%</w:t>
            </w:r>
          </w:p>
        </w:tc>
        <w:tc>
          <w:tcPr>
            <w:tcW w:w="1061" w:type="dxa"/>
          </w:tcPr>
          <w:p>
            <w:pPr>
              <w:pStyle w:val="TableParagraph"/>
              <w:spacing w:line="130" w:lineRule="exact" w:before="20"/>
              <w:ind w:right="472"/>
              <w:jc w:val="right"/>
              <w:rPr>
                <w:sz w:val="12"/>
              </w:rPr>
            </w:pPr>
            <w:r>
              <w:rPr>
                <w:w w:val="105"/>
                <w:sz w:val="12"/>
              </w:rPr>
              <w:t>2.2%</w:t>
            </w:r>
          </w:p>
        </w:tc>
        <w:tc>
          <w:tcPr>
            <w:tcW w:w="1745" w:type="dxa"/>
          </w:tcPr>
          <w:p>
            <w:pPr>
              <w:pStyle w:val="TableParagraph"/>
              <w:spacing w:line="130" w:lineRule="exact" w:before="20"/>
              <w:ind w:left="541"/>
              <w:rPr>
                <w:sz w:val="12"/>
              </w:rPr>
            </w:pPr>
            <w:r>
              <w:rPr>
                <w:w w:val="105"/>
                <w:sz w:val="12"/>
              </w:rPr>
              <w:t>1.1%</w:t>
            </w:r>
          </w:p>
        </w:tc>
      </w:tr>
      <w:tr>
        <w:trPr>
          <w:trHeight w:val="175" w:hRule="atLeast"/>
        </w:trPr>
        <w:tc>
          <w:tcPr>
            <w:tcW w:w="2011" w:type="dxa"/>
          </w:tcPr>
          <w:p>
            <w:pPr>
              <w:pStyle w:val="TableParagraph"/>
              <w:spacing w:line="135" w:lineRule="exact" w:before="20"/>
              <w:ind w:left="120"/>
              <w:rPr>
                <w:sz w:val="12"/>
              </w:rPr>
            </w:pPr>
            <w:r>
              <w:rPr>
                <w:w w:val="115"/>
                <w:sz w:val="12"/>
              </w:rPr>
              <w:t>Livesey et al., 2009 [</w:t>
            </w:r>
            <w:hyperlink w:history="true" w:anchor="_bookmark35">
              <w:r>
                <w:rPr>
                  <w:color w:val="007FAC"/>
                  <w:w w:val="115"/>
                  <w:sz w:val="12"/>
                </w:rPr>
                <w:t>24</w:t>
              </w:r>
            </w:hyperlink>
            <w:r>
              <w:rPr>
                <w:w w:val="115"/>
                <w:sz w:val="12"/>
              </w:rPr>
              <w:t>]</w:t>
            </w:r>
            <w:r>
              <w:rPr>
                <w:w w:val="115"/>
                <w:sz w:val="12"/>
                <w:vertAlign w:val="superscript"/>
              </w:rPr>
              <w:t>,</w:t>
            </w:r>
            <w:hyperlink w:history="true" w:anchor="_bookmark104">
              <w:r>
                <w:rPr>
                  <w:color w:val="007FAC"/>
                  <w:w w:val="115"/>
                  <w:sz w:val="12"/>
                  <w:vertAlign w:val="superscript"/>
                </w:rPr>
                <w:t>c</w:t>
              </w:r>
            </w:hyperlink>
          </w:p>
        </w:tc>
        <w:tc>
          <w:tcPr>
            <w:tcW w:w="973" w:type="dxa"/>
          </w:tcPr>
          <w:p>
            <w:pPr>
              <w:pStyle w:val="TableParagraph"/>
              <w:spacing w:line="135" w:lineRule="exact" w:before="20"/>
              <w:ind w:left="162"/>
              <w:rPr>
                <w:sz w:val="12"/>
              </w:rPr>
            </w:pPr>
            <w:r>
              <w:rPr>
                <w:w w:val="125"/>
                <w:sz w:val="12"/>
              </w:rPr>
              <w:t>39</w:t>
            </w:r>
          </w:p>
        </w:tc>
        <w:tc>
          <w:tcPr>
            <w:tcW w:w="234" w:type="dxa"/>
          </w:tcPr>
          <w:p>
            <w:pPr>
              <w:pStyle w:val="TableParagraph"/>
              <w:spacing w:line="136" w:lineRule="exact" w:before="20"/>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6" w:lineRule="exact" w:before="20"/>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6" w:lineRule="exact" w:before="20"/>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spacing w:line="136" w:lineRule="exact" w:before="20"/>
              <w:ind w:left="89"/>
              <w:rPr>
                <w:rFonts w:ascii="Lucida Sans"/>
                <w:sz w:val="12"/>
              </w:rPr>
            </w:pPr>
            <w:r>
              <w:rPr>
                <w:rFonts w:ascii="Lucida Sans"/>
                <w:w w:val="174"/>
                <w:sz w:val="12"/>
              </w:rPr>
              <w:t>C</w:t>
            </w: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35" w:lineRule="exact" w:before="20"/>
              <w:ind w:left="87"/>
              <w:rPr>
                <w:sz w:val="12"/>
              </w:rPr>
            </w:pPr>
            <w:r>
              <w:rPr>
                <w:w w:val="99"/>
                <w:sz w:val="12"/>
              </w:rPr>
              <w:t>O</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5" w:lineRule="exact" w:before="20"/>
              <w:ind w:left="-4"/>
              <w:rPr>
                <w:sz w:val="12"/>
              </w:rPr>
            </w:pPr>
            <w:r>
              <w:rPr>
                <w:sz w:val="12"/>
              </w:rPr>
              <w:t>NR</w:t>
            </w:r>
          </w:p>
        </w:tc>
        <w:tc>
          <w:tcPr>
            <w:tcW w:w="726" w:type="dxa"/>
          </w:tcPr>
          <w:p>
            <w:pPr>
              <w:pStyle w:val="TableParagraph"/>
              <w:spacing w:line="135" w:lineRule="exact" w:before="20"/>
              <w:ind w:left="163"/>
              <w:rPr>
                <w:sz w:val="12"/>
              </w:rPr>
            </w:pPr>
            <w:r>
              <w:rPr>
                <w:w w:val="105"/>
                <w:sz w:val="12"/>
              </w:rPr>
              <w:t>2.6%</w:t>
            </w:r>
          </w:p>
        </w:tc>
        <w:tc>
          <w:tcPr>
            <w:tcW w:w="1061" w:type="dxa"/>
          </w:tcPr>
          <w:p>
            <w:pPr>
              <w:pStyle w:val="TableParagraph"/>
              <w:spacing w:line="135" w:lineRule="exact" w:before="20"/>
              <w:ind w:right="472"/>
              <w:jc w:val="right"/>
              <w:rPr>
                <w:sz w:val="12"/>
              </w:rPr>
            </w:pPr>
            <w:r>
              <w:rPr>
                <w:w w:val="110"/>
                <w:sz w:val="12"/>
              </w:rPr>
              <w:t>51.3%</w:t>
            </w:r>
          </w:p>
        </w:tc>
        <w:tc>
          <w:tcPr>
            <w:tcW w:w="1745" w:type="dxa"/>
          </w:tcPr>
          <w:p>
            <w:pPr>
              <w:pStyle w:val="TableParagraph"/>
              <w:spacing w:line="135" w:lineRule="exact" w:before="20"/>
              <w:ind w:left="541"/>
              <w:rPr>
                <w:sz w:val="12"/>
              </w:rPr>
            </w:pPr>
            <w:r>
              <w:rPr>
                <w:w w:val="105"/>
                <w:sz w:val="12"/>
              </w:rPr>
              <w:t>0.0%</w:t>
            </w:r>
          </w:p>
        </w:tc>
      </w:tr>
      <w:tr>
        <w:trPr>
          <w:trHeight w:val="162" w:hRule="atLeast"/>
        </w:trPr>
        <w:tc>
          <w:tcPr>
            <w:tcW w:w="2011" w:type="dxa"/>
          </w:tcPr>
          <w:p>
            <w:pPr>
              <w:pStyle w:val="TableParagraph"/>
              <w:rPr>
                <w:rFonts w:ascii="Times New Roman"/>
                <w:sz w:val="10"/>
              </w:rPr>
            </w:pPr>
          </w:p>
        </w:tc>
        <w:tc>
          <w:tcPr>
            <w:tcW w:w="973" w:type="dxa"/>
          </w:tcPr>
          <w:p>
            <w:pPr>
              <w:pStyle w:val="TableParagraph"/>
              <w:spacing w:line="125" w:lineRule="exact" w:before="17"/>
              <w:ind w:left="162"/>
              <w:rPr>
                <w:sz w:val="12"/>
              </w:rPr>
            </w:pPr>
            <w:r>
              <w:rPr>
                <w:w w:val="125"/>
                <w:sz w:val="12"/>
              </w:rPr>
              <w:t>38</w:t>
            </w:r>
          </w:p>
        </w:tc>
        <w:tc>
          <w:tcPr>
            <w:tcW w:w="234" w:type="dxa"/>
          </w:tcPr>
          <w:p>
            <w:pPr>
              <w:pStyle w:val="TableParagraph"/>
              <w:spacing w:line="126" w:lineRule="exact" w:before="16"/>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26" w:lineRule="exact" w:before="16"/>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26" w:lineRule="exact" w:before="16"/>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spacing w:line="125" w:lineRule="exact" w:before="17"/>
              <w:ind w:left="89"/>
              <w:rPr>
                <w:sz w:val="12"/>
              </w:rPr>
            </w:pPr>
            <w:r>
              <w:rPr>
                <w:w w:val="88"/>
                <w:sz w:val="12"/>
              </w:rPr>
              <w:t>L</w:t>
            </w:r>
          </w:p>
        </w:tc>
        <w:tc>
          <w:tcPr>
            <w:tcW w:w="778" w:type="dxa"/>
          </w:tcPr>
          <w:p>
            <w:pPr>
              <w:pStyle w:val="TableParagraph"/>
              <w:rPr>
                <w:rFonts w:ascii="Times New Roman"/>
                <w:sz w:val="10"/>
              </w:rPr>
            </w:pPr>
          </w:p>
        </w:tc>
        <w:tc>
          <w:tcPr>
            <w:tcW w:w="697" w:type="dxa"/>
          </w:tcPr>
          <w:p>
            <w:pPr>
              <w:pStyle w:val="TableParagraph"/>
              <w:spacing w:line="125" w:lineRule="exact" w:before="17"/>
              <w:ind w:left="87"/>
              <w:rPr>
                <w:sz w:val="12"/>
              </w:rPr>
            </w:pPr>
            <w:r>
              <w:rPr>
                <w:w w:val="99"/>
                <w:sz w:val="12"/>
              </w:rPr>
              <w:t>O</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25" w:lineRule="exact" w:before="17"/>
              <w:ind w:left="-4"/>
              <w:rPr>
                <w:sz w:val="12"/>
              </w:rPr>
            </w:pPr>
            <w:r>
              <w:rPr>
                <w:sz w:val="12"/>
              </w:rPr>
              <w:t>NR</w:t>
            </w:r>
          </w:p>
        </w:tc>
        <w:tc>
          <w:tcPr>
            <w:tcW w:w="726" w:type="dxa"/>
          </w:tcPr>
          <w:p>
            <w:pPr>
              <w:pStyle w:val="TableParagraph"/>
              <w:spacing w:line="125" w:lineRule="exact" w:before="17"/>
              <w:ind w:left="163"/>
              <w:rPr>
                <w:sz w:val="12"/>
              </w:rPr>
            </w:pPr>
            <w:r>
              <w:rPr>
                <w:w w:val="105"/>
                <w:sz w:val="12"/>
              </w:rPr>
              <w:t>2.6%</w:t>
            </w:r>
          </w:p>
        </w:tc>
        <w:tc>
          <w:tcPr>
            <w:tcW w:w="1061" w:type="dxa"/>
          </w:tcPr>
          <w:p>
            <w:pPr>
              <w:pStyle w:val="TableParagraph"/>
              <w:spacing w:line="125" w:lineRule="exact" w:before="17"/>
              <w:ind w:right="472"/>
              <w:jc w:val="right"/>
              <w:rPr>
                <w:sz w:val="12"/>
              </w:rPr>
            </w:pPr>
            <w:r>
              <w:rPr>
                <w:w w:val="110"/>
                <w:sz w:val="12"/>
              </w:rPr>
              <w:t>39.5%</w:t>
            </w:r>
          </w:p>
        </w:tc>
        <w:tc>
          <w:tcPr>
            <w:tcW w:w="1745" w:type="dxa"/>
          </w:tcPr>
          <w:p>
            <w:pPr>
              <w:pStyle w:val="TableParagraph"/>
              <w:spacing w:line="125" w:lineRule="exact" w:before="17"/>
              <w:ind w:left="541"/>
              <w:rPr>
                <w:sz w:val="12"/>
              </w:rPr>
            </w:pPr>
            <w:r>
              <w:rPr>
                <w:w w:val="105"/>
                <w:sz w:val="12"/>
              </w:rPr>
              <w:t>0.0%</w:t>
            </w:r>
          </w:p>
        </w:tc>
      </w:tr>
      <w:tr>
        <w:trPr>
          <w:trHeight w:val="180" w:hRule="atLeast"/>
        </w:trPr>
        <w:tc>
          <w:tcPr>
            <w:tcW w:w="2011" w:type="dxa"/>
          </w:tcPr>
          <w:p>
            <w:pPr>
              <w:pStyle w:val="TableParagraph"/>
              <w:spacing w:line="134" w:lineRule="exact" w:before="26"/>
              <w:ind w:left="120"/>
              <w:rPr>
                <w:sz w:val="12"/>
              </w:rPr>
            </w:pPr>
            <w:r>
              <w:rPr>
                <w:w w:val="115"/>
                <w:sz w:val="12"/>
              </w:rPr>
              <w:t>Fisher et al., 2010 [</w:t>
            </w:r>
            <w:hyperlink w:history="true" w:anchor="_bookmark37">
              <w:r>
                <w:rPr>
                  <w:color w:val="007FAC"/>
                  <w:w w:val="115"/>
                  <w:sz w:val="12"/>
                </w:rPr>
                <w:t>26</w:t>
              </w:r>
            </w:hyperlink>
            <w:r>
              <w:rPr>
                <w:w w:val="115"/>
                <w:sz w:val="12"/>
              </w:rPr>
              <w:t>]</w:t>
            </w:r>
            <w:r>
              <w:rPr>
                <w:w w:val="115"/>
                <w:sz w:val="12"/>
                <w:vertAlign w:val="superscript"/>
              </w:rPr>
              <w:t>,</w:t>
            </w:r>
            <w:hyperlink w:history="true" w:anchor="_bookmark103">
              <w:r>
                <w:rPr>
                  <w:color w:val="007FAC"/>
                  <w:w w:val="115"/>
                  <w:sz w:val="12"/>
                  <w:vertAlign w:val="superscript"/>
                </w:rPr>
                <w:t>d</w:t>
              </w:r>
            </w:hyperlink>
          </w:p>
        </w:tc>
        <w:tc>
          <w:tcPr>
            <w:tcW w:w="973" w:type="dxa"/>
          </w:tcPr>
          <w:p>
            <w:pPr>
              <w:pStyle w:val="TableParagraph"/>
              <w:spacing w:line="134" w:lineRule="exact" w:before="26"/>
              <w:ind w:left="162"/>
              <w:rPr>
                <w:sz w:val="12"/>
              </w:rPr>
            </w:pPr>
            <w:r>
              <w:rPr>
                <w:w w:val="125"/>
                <w:sz w:val="12"/>
              </w:rPr>
              <w:t>30</w:t>
            </w:r>
          </w:p>
        </w:tc>
        <w:tc>
          <w:tcPr>
            <w:tcW w:w="234" w:type="dxa"/>
          </w:tcPr>
          <w:p>
            <w:pPr>
              <w:pStyle w:val="TableParagraph"/>
              <w:spacing w:line="135" w:lineRule="exact" w:before="25"/>
              <w:rPr>
                <w:rFonts w:ascii="Lucida Sans"/>
                <w:sz w:val="12"/>
              </w:rPr>
            </w:pPr>
            <w:r>
              <w:rPr>
                <w:rFonts w:ascii="Lucida Sans"/>
                <w:w w:val="174"/>
                <w:sz w:val="12"/>
              </w:rPr>
              <w:t>C</w:t>
            </w:r>
          </w:p>
        </w:tc>
        <w:tc>
          <w:tcPr>
            <w:tcW w:w="242" w:type="dxa"/>
          </w:tcPr>
          <w:p>
            <w:pPr>
              <w:pStyle w:val="TableParagraph"/>
              <w:rPr>
                <w:rFonts w:ascii="Times New Roman"/>
                <w:sz w:val="12"/>
              </w:rPr>
            </w:pPr>
          </w:p>
        </w:tc>
        <w:tc>
          <w:tcPr>
            <w:tcW w:w="172" w:type="dxa"/>
          </w:tcPr>
          <w:p>
            <w:pPr>
              <w:pStyle w:val="TableParagraph"/>
              <w:rPr>
                <w:rFonts w:ascii="Times New Roman"/>
                <w:sz w:val="12"/>
              </w:rPr>
            </w:pPr>
          </w:p>
        </w:tc>
        <w:tc>
          <w:tcPr>
            <w:tcW w:w="354" w:type="dxa"/>
          </w:tcPr>
          <w:p>
            <w:pPr>
              <w:pStyle w:val="TableParagraph"/>
              <w:spacing w:line="135" w:lineRule="exact" w:before="25"/>
              <w:rPr>
                <w:rFonts w:ascii="Lucida Sans"/>
                <w:sz w:val="12"/>
              </w:rPr>
            </w:pPr>
            <w:r>
              <w:rPr>
                <w:rFonts w:ascii="Lucida Sans"/>
                <w:w w:val="174"/>
                <w:sz w:val="12"/>
              </w:rPr>
              <w:t>C</w:t>
            </w:r>
          </w:p>
        </w:tc>
        <w:tc>
          <w:tcPr>
            <w:tcW w:w="602" w:type="dxa"/>
          </w:tcPr>
          <w:p>
            <w:pPr>
              <w:pStyle w:val="TableParagraph"/>
              <w:rPr>
                <w:rFonts w:ascii="Times New Roman"/>
                <w:sz w:val="12"/>
              </w:rPr>
            </w:pPr>
          </w:p>
        </w:tc>
        <w:tc>
          <w:tcPr>
            <w:tcW w:w="172" w:type="dxa"/>
          </w:tcPr>
          <w:p>
            <w:pPr>
              <w:pStyle w:val="TableParagraph"/>
              <w:rPr>
                <w:rFonts w:ascii="Times New Roman"/>
                <w:sz w:val="12"/>
              </w:rPr>
            </w:pPr>
          </w:p>
        </w:tc>
        <w:tc>
          <w:tcPr>
            <w:tcW w:w="332" w:type="dxa"/>
          </w:tcPr>
          <w:p>
            <w:pPr>
              <w:pStyle w:val="TableParagraph"/>
              <w:rPr>
                <w:rFonts w:ascii="Times New Roman"/>
                <w:sz w:val="12"/>
              </w:rPr>
            </w:pPr>
          </w:p>
        </w:tc>
        <w:tc>
          <w:tcPr>
            <w:tcW w:w="536" w:type="dxa"/>
          </w:tcPr>
          <w:p>
            <w:pPr>
              <w:pStyle w:val="TableParagraph"/>
              <w:rPr>
                <w:rFonts w:ascii="Times New Roman"/>
                <w:sz w:val="12"/>
              </w:rPr>
            </w:pPr>
          </w:p>
        </w:tc>
        <w:tc>
          <w:tcPr>
            <w:tcW w:w="172" w:type="dxa"/>
          </w:tcPr>
          <w:p>
            <w:pPr>
              <w:pStyle w:val="TableParagraph"/>
              <w:rPr>
                <w:rFonts w:ascii="Times New Roman"/>
                <w:sz w:val="12"/>
              </w:rPr>
            </w:pPr>
          </w:p>
        </w:tc>
        <w:tc>
          <w:tcPr>
            <w:tcW w:w="231" w:type="dxa"/>
          </w:tcPr>
          <w:p>
            <w:pPr>
              <w:pStyle w:val="TableParagraph"/>
              <w:rPr>
                <w:rFonts w:ascii="Times New Roman"/>
                <w:sz w:val="12"/>
              </w:rPr>
            </w:pPr>
          </w:p>
        </w:tc>
        <w:tc>
          <w:tcPr>
            <w:tcW w:w="320" w:type="dxa"/>
          </w:tcPr>
          <w:p>
            <w:pPr>
              <w:pStyle w:val="TableParagraph"/>
              <w:rPr>
                <w:rFonts w:ascii="Times New Roman"/>
                <w:sz w:val="12"/>
              </w:rPr>
            </w:pPr>
          </w:p>
        </w:tc>
        <w:tc>
          <w:tcPr>
            <w:tcW w:w="602" w:type="dxa"/>
          </w:tcPr>
          <w:p>
            <w:pPr>
              <w:pStyle w:val="TableParagraph"/>
              <w:spacing w:line="134" w:lineRule="exact" w:before="26"/>
              <w:ind w:left="89"/>
              <w:rPr>
                <w:sz w:val="12"/>
              </w:rPr>
            </w:pPr>
            <w:r>
              <w:rPr>
                <w:w w:val="99"/>
                <w:sz w:val="12"/>
              </w:rPr>
              <w:t>I</w:t>
            </w:r>
          </w:p>
        </w:tc>
        <w:tc>
          <w:tcPr>
            <w:tcW w:w="425" w:type="dxa"/>
          </w:tcPr>
          <w:p>
            <w:pPr>
              <w:pStyle w:val="TableParagraph"/>
              <w:rPr>
                <w:rFonts w:ascii="Times New Roman"/>
                <w:sz w:val="12"/>
              </w:rPr>
            </w:pPr>
          </w:p>
        </w:tc>
        <w:tc>
          <w:tcPr>
            <w:tcW w:w="778" w:type="dxa"/>
          </w:tcPr>
          <w:p>
            <w:pPr>
              <w:pStyle w:val="TableParagraph"/>
              <w:rPr>
                <w:rFonts w:ascii="Times New Roman"/>
                <w:sz w:val="12"/>
              </w:rPr>
            </w:pPr>
          </w:p>
        </w:tc>
        <w:tc>
          <w:tcPr>
            <w:tcW w:w="697" w:type="dxa"/>
          </w:tcPr>
          <w:p>
            <w:pPr>
              <w:pStyle w:val="TableParagraph"/>
              <w:spacing w:line="135" w:lineRule="exact" w:before="25"/>
              <w:ind w:left="87"/>
              <w:rPr>
                <w:rFonts w:ascii="Lucida Sans"/>
                <w:sz w:val="12"/>
              </w:rPr>
            </w:pPr>
            <w:r>
              <w:rPr>
                <w:rFonts w:ascii="Lucida Sans"/>
                <w:w w:val="174"/>
                <w:sz w:val="12"/>
              </w:rPr>
              <w:t>C</w:t>
            </w:r>
          </w:p>
        </w:tc>
        <w:tc>
          <w:tcPr>
            <w:tcW w:w="433" w:type="dxa"/>
          </w:tcPr>
          <w:p>
            <w:pPr>
              <w:pStyle w:val="TableParagraph"/>
              <w:spacing w:line="134" w:lineRule="exact" w:before="26"/>
              <w:ind w:left="86"/>
              <w:rPr>
                <w:sz w:val="12"/>
              </w:rPr>
            </w:pPr>
            <w:r>
              <w:rPr>
                <w:w w:val="110"/>
                <w:sz w:val="12"/>
              </w:rPr>
              <w:t>SS</w:t>
            </w:r>
          </w:p>
        </w:tc>
        <w:tc>
          <w:tcPr>
            <w:tcW w:w="174" w:type="dxa"/>
          </w:tcPr>
          <w:p>
            <w:pPr>
              <w:pStyle w:val="TableParagraph"/>
              <w:rPr>
                <w:rFonts w:ascii="Times New Roman"/>
                <w:sz w:val="12"/>
              </w:rPr>
            </w:pPr>
          </w:p>
        </w:tc>
        <w:tc>
          <w:tcPr>
            <w:tcW w:w="509" w:type="dxa"/>
          </w:tcPr>
          <w:p>
            <w:pPr>
              <w:pStyle w:val="TableParagraph"/>
              <w:spacing w:line="134" w:lineRule="exact" w:before="26"/>
              <w:ind w:left="78"/>
              <w:rPr>
                <w:sz w:val="12"/>
              </w:rPr>
            </w:pPr>
            <w:r>
              <w:rPr>
                <w:w w:val="105"/>
                <w:sz w:val="12"/>
              </w:rPr>
              <w:t>0.0%</w:t>
            </w:r>
          </w:p>
        </w:tc>
        <w:tc>
          <w:tcPr>
            <w:tcW w:w="726" w:type="dxa"/>
          </w:tcPr>
          <w:p>
            <w:pPr>
              <w:pStyle w:val="TableParagraph"/>
              <w:spacing w:line="134" w:lineRule="exact" w:before="26"/>
              <w:ind w:left="163"/>
              <w:rPr>
                <w:sz w:val="12"/>
              </w:rPr>
            </w:pPr>
            <w:r>
              <w:rPr>
                <w:w w:val="105"/>
                <w:sz w:val="12"/>
              </w:rPr>
              <w:t>0.0%</w:t>
            </w:r>
          </w:p>
        </w:tc>
        <w:tc>
          <w:tcPr>
            <w:tcW w:w="1061" w:type="dxa"/>
          </w:tcPr>
          <w:p>
            <w:pPr>
              <w:pStyle w:val="TableParagraph"/>
              <w:spacing w:line="134" w:lineRule="exact" w:before="26"/>
              <w:ind w:right="472"/>
              <w:jc w:val="right"/>
              <w:rPr>
                <w:sz w:val="12"/>
              </w:rPr>
            </w:pPr>
            <w:r>
              <w:rPr>
                <w:w w:val="105"/>
                <w:sz w:val="12"/>
              </w:rPr>
              <w:t>3.0%</w:t>
            </w:r>
          </w:p>
        </w:tc>
        <w:tc>
          <w:tcPr>
            <w:tcW w:w="1745" w:type="dxa"/>
          </w:tcPr>
          <w:p>
            <w:pPr>
              <w:pStyle w:val="TableParagraph"/>
              <w:spacing w:line="134" w:lineRule="exact" w:before="26"/>
              <w:ind w:left="460"/>
              <w:rPr>
                <w:sz w:val="12"/>
              </w:rPr>
            </w:pPr>
            <w:r>
              <w:rPr>
                <w:sz w:val="12"/>
              </w:rPr>
              <w:t>NR</w:t>
            </w:r>
          </w:p>
        </w:tc>
      </w:tr>
      <w:tr>
        <w:trPr>
          <w:trHeight w:val="161" w:hRule="atLeast"/>
        </w:trPr>
        <w:tc>
          <w:tcPr>
            <w:tcW w:w="2011" w:type="dxa"/>
          </w:tcPr>
          <w:p>
            <w:pPr>
              <w:pStyle w:val="TableParagraph"/>
              <w:rPr>
                <w:rFonts w:ascii="Times New Roman"/>
                <w:sz w:val="10"/>
              </w:rPr>
            </w:pPr>
          </w:p>
        </w:tc>
        <w:tc>
          <w:tcPr>
            <w:tcW w:w="973" w:type="dxa"/>
          </w:tcPr>
          <w:p>
            <w:pPr>
              <w:pStyle w:val="TableParagraph"/>
              <w:spacing w:line="125" w:lineRule="exact" w:before="17"/>
              <w:ind w:left="162"/>
              <w:rPr>
                <w:sz w:val="12"/>
              </w:rPr>
            </w:pPr>
            <w:r>
              <w:rPr>
                <w:w w:val="125"/>
                <w:sz w:val="12"/>
              </w:rPr>
              <w:t>30</w:t>
            </w:r>
          </w:p>
        </w:tc>
        <w:tc>
          <w:tcPr>
            <w:tcW w:w="234" w:type="dxa"/>
          </w:tcPr>
          <w:p>
            <w:pPr>
              <w:pStyle w:val="TableParagraph"/>
              <w:spacing w:line="126" w:lineRule="exact" w:before="16"/>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26" w:lineRule="exact" w:before="16"/>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rPr>
                <w:rFonts w:ascii="Times New Roman"/>
                <w:sz w:val="10"/>
              </w:rPr>
            </w:pP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spacing w:line="126" w:lineRule="exact" w:before="16"/>
              <w:ind w:left="89"/>
              <w:rPr>
                <w:rFonts w:ascii="Lucida Sans"/>
                <w:sz w:val="12"/>
              </w:rPr>
            </w:pPr>
            <w:r>
              <w:rPr>
                <w:rFonts w:ascii="Lucida Sans"/>
                <w:w w:val="174"/>
                <w:sz w:val="12"/>
              </w:rPr>
              <w:t>C</w:t>
            </w: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26" w:lineRule="exact" w:before="16"/>
              <w:ind w:left="87"/>
              <w:rPr>
                <w:rFonts w:ascii="Lucida Sans"/>
                <w:sz w:val="12"/>
              </w:rPr>
            </w:pPr>
            <w:r>
              <w:rPr>
                <w:rFonts w:ascii="Lucida Sans"/>
                <w:w w:val="174"/>
                <w:sz w:val="12"/>
              </w:rPr>
              <w:t>C</w:t>
            </w:r>
          </w:p>
        </w:tc>
        <w:tc>
          <w:tcPr>
            <w:tcW w:w="433" w:type="dxa"/>
          </w:tcPr>
          <w:p>
            <w:pPr>
              <w:pStyle w:val="TableParagraph"/>
              <w:spacing w:line="125" w:lineRule="exact" w:before="17"/>
              <w:ind w:left="86"/>
              <w:rPr>
                <w:sz w:val="12"/>
              </w:rPr>
            </w:pPr>
            <w:r>
              <w:rPr>
                <w:w w:val="110"/>
                <w:sz w:val="12"/>
              </w:rPr>
              <w:t>SS</w:t>
            </w:r>
          </w:p>
        </w:tc>
        <w:tc>
          <w:tcPr>
            <w:tcW w:w="174" w:type="dxa"/>
          </w:tcPr>
          <w:p>
            <w:pPr>
              <w:pStyle w:val="TableParagraph"/>
              <w:rPr>
                <w:rFonts w:ascii="Times New Roman"/>
                <w:sz w:val="10"/>
              </w:rPr>
            </w:pPr>
          </w:p>
        </w:tc>
        <w:tc>
          <w:tcPr>
            <w:tcW w:w="509" w:type="dxa"/>
          </w:tcPr>
          <w:p>
            <w:pPr>
              <w:pStyle w:val="TableParagraph"/>
              <w:spacing w:line="125" w:lineRule="exact" w:before="17"/>
              <w:ind w:left="78"/>
              <w:rPr>
                <w:sz w:val="12"/>
              </w:rPr>
            </w:pPr>
            <w:r>
              <w:rPr>
                <w:w w:val="105"/>
                <w:sz w:val="12"/>
              </w:rPr>
              <w:t>0.0%</w:t>
            </w:r>
          </w:p>
        </w:tc>
        <w:tc>
          <w:tcPr>
            <w:tcW w:w="726" w:type="dxa"/>
          </w:tcPr>
          <w:p>
            <w:pPr>
              <w:pStyle w:val="TableParagraph"/>
              <w:spacing w:line="125" w:lineRule="exact" w:before="17"/>
              <w:ind w:left="163"/>
              <w:rPr>
                <w:sz w:val="12"/>
              </w:rPr>
            </w:pPr>
            <w:r>
              <w:rPr>
                <w:w w:val="105"/>
                <w:sz w:val="12"/>
              </w:rPr>
              <w:t>0.0%</w:t>
            </w:r>
          </w:p>
        </w:tc>
        <w:tc>
          <w:tcPr>
            <w:tcW w:w="1061" w:type="dxa"/>
          </w:tcPr>
          <w:p>
            <w:pPr>
              <w:pStyle w:val="TableParagraph"/>
              <w:spacing w:line="125" w:lineRule="exact" w:before="17"/>
              <w:ind w:right="472"/>
              <w:jc w:val="right"/>
              <w:rPr>
                <w:sz w:val="12"/>
              </w:rPr>
            </w:pPr>
            <w:r>
              <w:rPr>
                <w:w w:val="110"/>
                <w:sz w:val="12"/>
              </w:rPr>
              <w:t>23.0%</w:t>
            </w:r>
          </w:p>
        </w:tc>
        <w:tc>
          <w:tcPr>
            <w:tcW w:w="1745" w:type="dxa"/>
          </w:tcPr>
          <w:p>
            <w:pPr>
              <w:pStyle w:val="TableParagraph"/>
              <w:spacing w:line="125" w:lineRule="exact" w:before="17"/>
              <w:ind w:left="460"/>
              <w:rPr>
                <w:sz w:val="12"/>
              </w:rPr>
            </w:pPr>
            <w:r>
              <w:rPr>
                <w:sz w:val="12"/>
              </w:rPr>
              <w:t>NR</w:t>
            </w:r>
          </w:p>
        </w:tc>
      </w:tr>
      <w:tr>
        <w:trPr>
          <w:trHeight w:val="176" w:hRule="atLeast"/>
        </w:trPr>
        <w:tc>
          <w:tcPr>
            <w:tcW w:w="2011" w:type="dxa"/>
          </w:tcPr>
          <w:p>
            <w:pPr>
              <w:pStyle w:val="TableParagraph"/>
              <w:spacing w:line="130" w:lineRule="exact" w:before="26"/>
              <w:ind w:left="120"/>
              <w:rPr>
                <w:sz w:val="12"/>
              </w:rPr>
            </w:pPr>
            <w:r>
              <w:rPr>
                <w:w w:val="110"/>
                <w:sz w:val="12"/>
              </w:rPr>
              <w:t>Miller and Swank, 2010 [</w:t>
            </w:r>
            <w:hyperlink w:history="true" w:anchor="_bookmark58">
              <w:r>
                <w:rPr>
                  <w:color w:val="007FAC"/>
                  <w:w w:val="110"/>
                  <w:sz w:val="12"/>
                </w:rPr>
                <w:t>47</w:t>
              </w:r>
            </w:hyperlink>
            <w:r>
              <w:rPr>
                <w:w w:val="110"/>
                <w:sz w:val="12"/>
              </w:rPr>
              <w:t>]</w:t>
            </w:r>
            <w:r>
              <w:rPr>
                <w:w w:val="110"/>
                <w:sz w:val="12"/>
                <w:vertAlign w:val="superscript"/>
              </w:rPr>
              <w:t>,</w:t>
            </w:r>
            <w:hyperlink w:history="true" w:anchor="_bookmark102">
              <w:r>
                <w:rPr>
                  <w:color w:val="007FAC"/>
                  <w:w w:val="110"/>
                  <w:sz w:val="12"/>
                  <w:vertAlign w:val="superscript"/>
                </w:rPr>
                <w:t>e</w:t>
              </w:r>
            </w:hyperlink>
          </w:p>
        </w:tc>
        <w:tc>
          <w:tcPr>
            <w:tcW w:w="973" w:type="dxa"/>
          </w:tcPr>
          <w:p>
            <w:pPr>
              <w:pStyle w:val="TableParagraph"/>
              <w:spacing w:line="130" w:lineRule="exact" w:before="26"/>
              <w:ind w:left="86"/>
              <w:rPr>
                <w:sz w:val="12"/>
              </w:rPr>
            </w:pPr>
            <w:r>
              <w:rPr>
                <w:w w:val="125"/>
                <w:sz w:val="12"/>
              </w:rPr>
              <w:t>107</w:t>
            </w:r>
          </w:p>
        </w:tc>
        <w:tc>
          <w:tcPr>
            <w:tcW w:w="234" w:type="dxa"/>
          </w:tcPr>
          <w:p>
            <w:pPr>
              <w:pStyle w:val="TableParagraph"/>
              <w:spacing w:line="131" w:lineRule="exact" w:before="25"/>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1" w:lineRule="exact" w:before="25"/>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1" w:lineRule="exact" w:before="25"/>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47" w:lineRule="exact" w:before="10"/>
              <w:ind w:left="3"/>
              <w:rPr>
                <w:rFonts w:ascii="Arial"/>
                <w:sz w:val="14"/>
              </w:rPr>
            </w:pPr>
            <w:r>
              <w:rPr>
                <w:rFonts w:ascii="Arial"/>
                <w:w w:val="97"/>
                <w:sz w:val="14"/>
              </w:rPr>
              <w:t>a</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spacing w:line="130" w:lineRule="exact" w:before="26"/>
              <w:ind w:left="89"/>
              <w:rPr>
                <w:sz w:val="12"/>
              </w:rPr>
            </w:pPr>
            <w:r>
              <w:rPr>
                <w:w w:val="101"/>
                <w:sz w:val="12"/>
              </w:rPr>
              <w:t>D</w:t>
            </w:r>
          </w:p>
        </w:tc>
        <w:tc>
          <w:tcPr>
            <w:tcW w:w="778" w:type="dxa"/>
          </w:tcPr>
          <w:p>
            <w:pPr>
              <w:pStyle w:val="TableParagraph"/>
              <w:rPr>
                <w:rFonts w:ascii="Times New Roman"/>
                <w:sz w:val="10"/>
              </w:rPr>
            </w:pPr>
          </w:p>
        </w:tc>
        <w:tc>
          <w:tcPr>
            <w:tcW w:w="697" w:type="dxa"/>
          </w:tcPr>
          <w:p>
            <w:pPr>
              <w:pStyle w:val="TableParagraph"/>
              <w:rPr>
                <w:rFonts w:ascii="Times New Roman"/>
                <w:sz w:val="10"/>
              </w:rPr>
            </w:pP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0" w:lineRule="exact" w:before="26"/>
              <w:ind w:left="78"/>
              <w:rPr>
                <w:sz w:val="12"/>
              </w:rPr>
            </w:pPr>
            <w:r>
              <w:rPr>
                <w:w w:val="105"/>
                <w:sz w:val="12"/>
              </w:rPr>
              <w:t>0.0%</w:t>
            </w:r>
          </w:p>
        </w:tc>
        <w:tc>
          <w:tcPr>
            <w:tcW w:w="726" w:type="dxa"/>
          </w:tcPr>
          <w:p>
            <w:pPr>
              <w:pStyle w:val="TableParagraph"/>
              <w:spacing w:line="130" w:lineRule="exact" w:before="26"/>
              <w:ind w:left="163"/>
              <w:rPr>
                <w:sz w:val="12"/>
              </w:rPr>
            </w:pPr>
            <w:r>
              <w:rPr>
                <w:w w:val="105"/>
                <w:sz w:val="12"/>
              </w:rPr>
              <w:t>3.7%</w:t>
            </w:r>
          </w:p>
        </w:tc>
        <w:tc>
          <w:tcPr>
            <w:tcW w:w="1061" w:type="dxa"/>
          </w:tcPr>
          <w:p>
            <w:pPr>
              <w:pStyle w:val="TableParagraph"/>
              <w:spacing w:line="130" w:lineRule="exact" w:before="26"/>
              <w:ind w:right="472"/>
              <w:jc w:val="right"/>
              <w:rPr>
                <w:sz w:val="12"/>
              </w:rPr>
            </w:pPr>
            <w:r>
              <w:rPr>
                <w:w w:val="105"/>
                <w:sz w:val="12"/>
              </w:rPr>
              <w:t>0.9%</w:t>
            </w:r>
          </w:p>
        </w:tc>
        <w:tc>
          <w:tcPr>
            <w:tcW w:w="1745" w:type="dxa"/>
          </w:tcPr>
          <w:p>
            <w:pPr>
              <w:pStyle w:val="TableParagraph"/>
              <w:spacing w:line="130" w:lineRule="exact" w:before="26"/>
              <w:ind w:left="541"/>
              <w:rPr>
                <w:sz w:val="12"/>
              </w:rPr>
            </w:pPr>
            <w:r>
              <w:rPr>
                <w:w w:val="105"/>
                <w:sz w:val="12"/>
              </w:rPr>
              <w:t>1.9%</w:t>
            </w:r>
          </w:p>
        </w:tc>
      </w:tr>
      <w:tr>
        <w:trPr>
          <w:trHeight w:val="175" w:hRule="atLeast"/>
        </w:trPr>
        <w:tc>
          <w:tcPr>
            <w:tcW w:w="2011" w:type="dxa"/>
          </w:tcPr>
          <w:p>
            <w:pPr>
              <w:pStyle w:val="TableParagraph"/>
              <w:spacing w:line="134" w:lineRule="exact" w:before="20"/>
              <w:ind w:left="120"/>
              <w:rPr>
                <w:sz w:val="12"/>
              </w:rPr>
            </w:pPr>
            <w:r>
              <w:rPr>
                <w:w w:val="115"/>
                <w:sz w:val="12"/>
              </w:rPr>
              <w:t>Buttaro et al., 2015 [</w:t>
            </w:r>
            <w:hyperlink w:history="true" w:anchor="_bookmark32">
              <w:r>
                <w:rPr>
                  <w:color w:val="007FAC"/>
                  <w:w w:val="115"/>
                  <w:sz w:val="12"/>
                </w:rPr>
                <w:t>21</w:t>
              </w:r>
            </w:hyperlink>
            <w:r>
              <w:rPr>
                <w:w w:val="115"/>
                <w:sz w:val="12"/>
              </w:rPr>
              <w:t>]</w:t>
            </w:r>
            <w:r>
              <w:rPr>
                <w:w w:val="115"/>
                <w:sz w:val="12"/>
                <w:vertAlign w:val="superscript"/>
              </w:rPr>
              <w:t>,</w:t>
            </w:r>
            <w:hyperlink w:history="true" w:anchor="_bookmark101">
              <w:r>
                <w:rPr>
                  <w:color w:val="007FAC"/>
                  <w:w w:val="115"/>
                  <w:sz w:val="12"/>
                  <w:vertAlign w:val="superscript"/>
                </w:rPr>
                <w:t>f</w:t>
              </w:r>
            </w:hyperlink>
          </w:p>
        </w:tc>
        <w:tc>
          <w:tcPr>
            <w:tcW w:w="973" w:type="dxa"/>
          </w:tcPr>
          <w:p>
            <w:pPr>
              <w:pStyle w:val="TableParagraph"/>
              <w:spacing w:line="134" w:lineRule="exact" w:before="20"/>
              <w:ind w:left="86"/>
              <w:rPr>
                <w:sz w:val="12"/>
              </w:rPr>
            </w:pPr>
            <w:r>
              <w:rPr>
                <w:w w:val="125"/>
                <w:sz w:val="12"/>
              </w:rPr>
              <w:t>105</w:t>
            </w:r>
          </w:p>
        </w:tc>
        <w:tc>
          <w:tcPr>
            <w:tcW w:w="234" w:type="dxa"/>
          </w:tcPr>
          <w:p>
            <w:pPr>
              <w:pStyle w:val="TableParagraph"/>
              <w:spacing w:line="135" w:lineRule="exact" w:before="20"/>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5" w:lineRule="exact" w:before="20"/>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5" w:lineRule="exact" w:before="20"/>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spacing w:line="135" w:lineRule="exact" w:before="20"/>
              <w:ind w:left="89"/>
              <w:rPr>
                <w:rFonts w:ascii="Lucida Sans"/>
                <w:sz w:val="12"/>
              </w:rPr>
            </w:pPr>
            <w:r>
              <w:rPr>
                <w:rFonts w:ascii="Lucida Sans"/>
                <w:w w:val="174"/>
                <w:sz w:val="12"/>
              </w:rPr>
              <w:t>C</w:t>
            </w: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35" w:lineRule="exact" w:before="20"/>
              <w:ind w:left="87"/>
              <w:rPr>
                <w:rFonts w:ascii="Lucida Sans"/>
                <w:sz w:val="12"/>
              </w:rPr>
            </w:pPr>
            <w:r>
              <w:rPr>
                <w:rFonts w:ascii="Lucida Sans"/>
                <w:w w:val="174"/>
                <w:sz w:val="12"/>
              </w:rPr>
              <w:t>C</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4" w:lineRule="exact" w:before="20"/>
              <w:ind w:left="78"/>
              <w:rPr>
                <w:sz w:val="12"/>
              </w:rPr>
            </w:pPr>
            <w:r>
              <w:rPr>
                <w:w w:val="105"/>
                <w:sz w:val="12"/>
              </w:rPr>
              <w:t>0.0%</w:t>
            </w:r>
          </w:p>
        </w:tc>
        <w:tc>
          <w:tcPr>
            <w:tcW w:w="726" w:type="dxa"/>
          </w:tcPr>
          <w:p>
            <w:pPr>
              <w:pStyle w:val="TableParagraph"/>
              <w:spacing w:line="134" w:lineRule="exact" w:before="20"/>
              <w:ind w:left="163"/>
              <w:rPr>
                <w:sz w:val="12"/>
              </w:rPr>
            </w:pPr>
            <w:r>
              <w:rPr>
                <w:w w:val="105"/>
                <w:sz w:val="12"/>
              </w:rPr>
              <w:t>0.0%</w:t>
            </w:r>
          </w:p>
        </w:tc>
        <w:tc>
          <w:tcPr>
            <w:tcW w:w="1061" w:type="dxa"/>
          </w:tcPr>
          <w:p>
            <w:pPr>
              <w:pStyle w:val="TableParagraph"/>
              <w:spacing w:line="134" w:lineRule="exact" w:before="20"/>
              <w:ind w:left="166"/>
              <w:rPr>
                <w:sz w:val="12"/>
              </w:rPr>
            </w:pPr>
            <w:r>
              <w:rPr>
                <w:sz w:val="12"/>
              </w:rPr>
              <w:t>NR</w:t>
            </w:r>
          </w:p>
        </w:tc>
        <w:tc>
          <w:tcPr>
            <w:tcW w:w="1745" w:type="dxa"/>
          </w:tcPr>
          <w:p>
            <w:pPr>
              <w:pStyle w:val="TableParagraph"/>
              <w:spacing w:line="134" w:lineRule="exact" w:before="20"/>
              <w:ind w:left="460"/>
              <w:rPr>
                <w:sz w:val="12"/>
              </w:rPr>
            </w:pPr>
            <w:r>
              <w:rPr>
                <w:w w:val="115"/>
                <w:sz w:val="12"/>
              </w:rPr>
              <w:t>4 cases (arm NR)</w:t>
            </w:r>
          </w:p>
        </w:tc>
      </w:tr>
      <w:tr>
        <w:trPr>
          <w:trHeight w:val="167" w:hRule="atLeast"/>
        </w:trPr>
        <w:tc>
          <w:tcPr>
            <w:tcW w:w="2011" w:type="dxa"/>
          </w:tcPr>
          <w:p>
            <w:pPr>
              <w:pStyle w:val="TableParagraph"/>
              <w:rPr>
                <w:rFonts w:ascii="Times New Roman"/>
                <w:sz w:val="10"/>
              </w:rPr>
            </w:pPr>
          </w:p>
        </w:tc>
        <w:tc>
          <w:tcPr>
            <w:tcW w:w="973" w:type="dxa"/>
          </w:tcPr>
          <w:p>
            <w:pPr>
              <w:pStyle w:val="TableParagraph"/>
              <w:spacing w:line="130" w:lineRule="exact" w:before="17"/>
              <w:ind w:left="86"/>
              <w:rPr>
                <w:sz w:val="12"/>
              </w:rPr>
            </w:pPr>
            <w:r>
              <w:rPr>
                <w:w w:val="125"/>
                <w:sz w:val="12"/>
              </w:rPr>
              <w:t>115</w:t>
            </w:r>
          </w:p>
        </w:tc>
        <w:tc>
          <w:tcPr>
            <w:tcW w:w="234" w:type="dxa"/>
          </w:tcPr>
          <w:p>
            <w:pPr>
              <w:pStyle w:val="TableParagraph"/>
              <w:spacing w:line="131" w:lineRule="exact" w:before="16"/>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1" w:lineRule="exact" w:before="16"/>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1" w:lineRule="exact" w:before="16"/>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47" w:lineRule="exact"/>
              <w:ind w:left="3"/>
              <w:rPr>
                <w:rFonts w:ascii="Arial"/>
                <w:sz w:val="14"/>
              </w:rPr>
            </w:pPr>
            <w:r>
              <w:rPr>
                <w:rFonts w:ascii="Arial"/>
                <w:w w:val="97"/>
                <w:sz w:val="14"/>
              </w:rPr>
              <w:t>a</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31" w:lineRule="exact" w:before="16"/>
              <w:ind w:left="87"/>
              <w:rPr>
                <w:rFonts w:ascii="Lucida Sans"/>
                <w:sz w:val="12"/>
              </w:rPr>
            </w:pPr>
            <w:r>
              <w:rPr>
                <w:rFonts w:ascii="Lucida Sans"/>
                <w:w w:val="174"/>
                <w:sz w:val="12"/>
              </w:rPr>
              <w:t>C</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0" w:lineRule="exact" w:before="17"/>
              <w:ind w:left="78"/>
              <w:rPr>
                <w:sz w:val="12"/>
              </w:rPr>
            </w:pPr>
            <w:r>
              <w:rPr>
                <w:w w:val="105"/>
                <w:sz w:val="12"/>
              </w:rPr>
              <w:t>0.8%</w:t>
            </w:r>
          </w:p>
        </w:tc>
        <w:tc>
          <w:tcPr>
            <w:tcW w:w="726" w:type="dxa"/>
          </w:tcPr>
          <w:p>
            <w:pPr>
              <w:pStyle w:val="TableParagraph"/>
              <w:spacing w:line="130" w:lineRule="exact" w:before="17"/>
              <w:ind w:left="163"/>
              <w:rPr>
                <w:sz w:val="12"/>
              </w:rPr>
            </w:pPr>
            <w:r>
              <w:rPr>
                <w:w w:val="105"/>
                <w:sz w:val="12"/>
              </w:rPr>
              <w:t>0.0%</w:t>
            </w:r>
          </w:p>
        </w:tc>
        <w:tc>
          <w:tcPr>
            <w:tcW w:w="1061" w:type="dxa"/>
          </w:tcPr>
          <w:p>
            <w:pPr>
              <w:pStyle w:val="TableParagraph"/>
              <w:spacing w:line="130" w:lineRule="exact" w:before="17"/>
              <w:ind w:left="166"/>
              <w:rPr>
                <w:sz w:val="12"/>
              </w:rPr>
            </w:pPr>
            <w:r>
              <w:rPr>
                <w:sz w:val="12"/>
              </w:rPr>
              <w:t>NR</w:t>
            </w:r>
          </w:p>
        </w:tc>
        <w:tc>
          <w:tcPr>
            <w:tcW w:w="1745" w:type="dxa"/>
          </w:tcPr>
          <w:p>
            <w:pPr>
              <w:pStyle w:val="TableParagraph"/>
              <w:rPr>
                <w:rFonts w:ascii="Times New Roman"/>
                <w:sz w:val="10"/>
              </w:rPr>
            </w:pPr>
          </w:p>
        </w:tc>
      </w:tr>
      <w:tr>
        <w:trPr>
          <w:trHeight w:val="175" w:hRule="atLeast"/>
        </w:trPr>
        <w:tc>
          <w:tcPr>
            <w:tcW w:w="2011" w:type="dxa"/>
          </w:tcPr>
          <w:p>
            <w:pPr>
              <w:pStyle w:val="TableParagraph"/>
              <w:spacing w:line="134" w:lineRule="exact" w:before="20"/>
              <w:ind w:left="120"/>
              <w:rPr>
                <w:sz w:val="12"/>
              </w:rPr>
            </w:pPr>
            <w:r>
              <w:rPr>
                <w:w w:val="115"/>
                <w:sz w:val="12"/>
              </w:rPr>
              <w:t>Glennie et al., 2017 [</w:t>
            </w:r>
            <w:hyperlink w:history="true" w:anchor="_bookmark30">
              <w:r>
                <w:rPr>
                  <w:color w:val="007FAC"/>
                  <w:w w:val="115"/>
                  <w:sz w:val="12"/>
                </w:rPr>
                <w:t>19</w:t>
              </w:r>
            </w:hyperlink>
            <w:r>
              <w:rPr>
                <w:w w:val="115"/>
                <w:sz w:val="12"/>
              </w:rPr>
              <w:t>]</w:t>
            </w:r>
            <w:r>
              <w:rPr>
                <w:w w:val="115"/>
                <w:sz w:val="12"/>
                <w:vertAlign w:val="superscript"/>
              </w:rPr>
              <w:t>,</w:t>
            </w:r>
            <w:hyperlink w:history="true" w:anchor="_bookmark100">
              <w:r>
                <w:rPr>
                  <w:color w:val="007FAC"/>
                  <w:w w:val="115"/>
                  <w:sz w:val="12"/>
                  <w:vertAlign w:val="superscript"/>
                </w:rPr>
                <w:t>g</w:t>
              </w:r>
            </w:hyperlink>
          </w:p>
        </w:tc>
        <w:tc>
          <w:tcPr>
            <w:tcW w:w="973" w:type="dxa"/>
          </w:tcPr>
          <w:p>
            <w:pPr>
              <w:pStyle w:val="TableParagraph"/>
              <w:spacing w:line="134" w:lineRule="exact" w:before="20"/>
              <w:ind w:left="162"/>
              <w:rPr>
                <w:sz w:val="12"/>
              </w:rPr>
            </w:pPr>
            <w:r>
              <w:rPr>
                <w:w w:val="125"/>
                <w:sz w:val="12"/>
              </w:rPr>
              <w:t>68</w:t>
            </w:r>
          </w:p>
        </w:tc>
        <w:tc>
          <w:tcPr>
            <w:tcW w:w="234" w:type="dxa"/>
          </w:tcPr>
          <w:p>
            <w:pPr>
              <w:pStyle w:val="TableParagraph"/>
              <w:spacing w:line="135" w:lineRule="exact" w:before="20"/>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5" w:lineRule="exact" w:before="20"/>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rPr>
                <w:rFonts w:ascii="Times New Roman"/>
                <w:sz w:val="10"/>
              </w:rPr>
            </w:pP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spacing w:line="135" w:lineRule="exact" w:before="20"/>
              <w:ind w:left="89"/>
              <w:rPr>
                <w:rFonts w:ascii="Lucida Sans"/>
                <w:sz w:val="12"/>
              </w:rPr>
            </w:pPr>
            <w:r>
              <w:rPr>
                <w:rFonts w:ascii="Lucida Sans"/>
                <w:w w:val="174"/>
                <w:sz w:val="12"/>
              </w:rPr>
              <w:t>C</w:t>
            </w: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34" w:lineRule="exact" w:before="20"/>
              <w:ind w:left="87"/>
              <w:rPr>
                <w:sz w:val="12"/>
              </w:rPr>
            </w:pPr>
            <w:r>
              <w:rPr>
                <w:w w:val="99"/>
                <w:sz w:val="12"/>
              </w:rPr>
              <w:t>T</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4" w:lineRule="exact" w:before="20"/>
              <w:ind w:left="78"/>
              <w:rPr>
                <w:sz w:val="12"/>
              </w:rPr>
            </w:pPr>
            <w:r>
              <w:rPr>
                <w:w w:val="105"/>
                <w:sz w:val="12"/>
              </w:rPr>
              <w:t>1.5%</w:t>
            </w:r>
          </w:p>
        </w:tc>
        <w:tc>
          <w:tcPr>
            <w:tcW w:w="726" w:type="dxa"/>
          </w:tcPr>
          <w:p>
            <w:pPr>
              <w:pStyle w:val="TableParagraph"/>
              <w:spacing w:line="134" w:lineRule="exact" w:before="20"/>
              <w:ind w:left="81"/>
              <w:rPr>
                <w:sz w:val="12"/>
              </w:rPr>
            </w:pPr>
            <w:r>
              <w:rPr>
                <w:sz w:val="12"/>
              </w:rPr>
              <w:t>NR</w:t>
            </w:r>
          </w:p>
        </w:tc>
        <w:tc>
          <w:tcPr>
            <w:tcW w:w="1061" w:type="dxa"/>
          </w:tcPr>
          <w:p>
            <w:pPr>
              <w:pStyle w:val="TableParagraph"/>
              <w:spacing w:line="134" w:lineRule="exact" w:before="20"/>
              <w:ind w:left="166"/>
              <w:rPr>
                <w:sz w:val="12"/>
              </w:rPr>
            </w:pPr>
            <w:r>
              <w:rPr>
                <w:sz w:val="12"/>
              </w:rPr>
              <w:t>NR</w:t>
            </w:r>
          </w:p>
        </w:tc>
        <w:tc>
          <w:tcPr>
            <w:tcW w:w="1745" w:type="dxa"/>
          </w:tcPr>
          <w:p>
            <w:pPr>
              <w:pStyle w:val="TableParagraph"/>
              <w:spacing w:line="134" w:lineRule="exact" w:before="20"/>
              <w:ind w:left="460"/>
              <w:rPr>
                <w:sz w:val="12"/>
              </w:rPr>
            </w:pPr>
            <w:r>
              <w:rPr>
                <w:sz w:val="12"/>
              </w:rPr>
              <w:t>NR</w:t>
            </w:r>
          </w:p>
        </w:tc>
      </w:tr>
      <w:tr>
        <w:trPr>
          <w:trHeight w:val="162" w:hRule="atLeast"/>
        </w:trPr>
        <w:tc>
          <w:tcPr>
            <w:tcW w:w="2011" w:type="dxa"/>
          </w:tcPr>
          <w:p>
            <w:pPr>
              <w:pStyle w:val="TableParagraph"/>
              <w:rPr>
                <w:rFonts w:ascii="Times New Roman"/>
                <w:sz w:val="10"/>
              </w:rPr>
            </w:pPr>
          </w:p>
        </w:tc>
        <w:tc>
          <w:tcPr>
            <w:tcW w:w="973" w:type="dxa"/>
          </w:tcPr>
          <w:p>
            <w:pPr>
              <w:pStyle w:val="TableParagraph"/>
              <w:spacing w:line="125" w:lineRule="exact" w:before="17"/>
              <w:ind w:left="162"/>
              <w:rPr>
                <w:sz w:val="12"/>
              </w:rPr>
            </w:pPr>
            <w:r>
              <w:rPr>
                <w:w w:val="125"/>
                <w:sz w:val="12"/>
              </w:rPr>
              <w:t>72</w:t>
            </w:r>
          </w:p>
        </w:tc>
        <w:tc>
          <w:tcPr>
            <w:tcW w:w="234" w:type="dxa"/>
          </w:tcPr>
          <w:p>
            <w:pPr>
              <w:pStyle w:val="TableParagraph"/>
              <w:spacing w:line="126" w:lineRule="exact" w:before="16"/>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26" w:lineRule="exact" w:before="16"/>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26" w:lineRule="exact" w:before="16"/>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26" w:lineRule="exact" w:before="16"/>
              <w:ind w:left="3"/>
              <w:rPr>
                <w:rFonts w:ascii="Lucida Sans"/>
                <w:sz w:val="12"/>
              </w:rPr>
            </w:pPr>
            <w:r>
              <w:rPr>
                <w:rFonts w:ascii="Lucida Sans"/>
                <w:w w:val="174"/>
                <w:sz w:val="12"/>
              </w:rPr>
              <w:t>C</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spacing w:line="125" w:lineRule="exact" w:before="17"/>
              <w:ind w:left="89"/>
              <w:rPr>
                <w:sz w:val="12"/>
              </w:rPr>
            </w:pPr>
            <w:r>
              <w:rPr>
                <w:w w:val="101"/>
                <w:sz w:val="12"/>
              </w:rPr>
              <w:t>D</w:t>
            </w:r>
          </w:p>
        </w:tc>
        <w:tc>
          <w:tcPr>
            <w:tcW w:w="778" w:type="dxa"/>
          </w:tcPr>
          <w:p>
            <w:pPr>
              <w:pStyle w:val="TableParagraph"/>
              <w:rPr>
                <w:rFonts w:ascii="Times New Roman"/>
                <w:sz w:val="10"/>
              </w:rPr>
            </w:pPr>
          </w:p>
        </w:tc>
        <w:tc>
          <w:tcPr>
            <w:tcW w:w="697" w:type="dxa"/>
          </w:tcPr>
          <w:p>
            <w:pPr>
              <w:pStyle w:val="TableParagraph"/>
              <w:spacing w:line="125" w:lineRule="exact" w:before="17"/>
              <w:ind w:left="87"/>
              <w:rPr>
                <w:sz w:val="12"/>
              </w:rPr>
            </w:pPr>
            <w:r>
              <w:rPr>
                <w:w w:val="99"/>
                <w:sz w:val="12"/>
              </w:rPr>
              <w:t>T</w:t>
            </w:r>
          </w:p>
        </w:tc>
        <w:tc>
          <w:tcPr>
            <w:tcW w:w="433" w:type="dxa"/>
          </w:tcPr>
          <w:p>
            <w:pPr>
              <w:pStyle w:val="TableParagraph"/>
              <w:spacing w:line="125" w:lineRule="exact" w:before="17"/>
              <w:ind w:left="86"/>
              <w:rPr>
                <w:sz w:val="12"/>
              </w:rPr>
            </w:pPr>
            <w:r>
              <w:rPr>
                <w:w w:val="110"/>
                <w:sz w:val="12"/>
              </w:rPr>
              <w:t>SS</w:t>
            </w:r>
          </w:p>
        </w:tc>
        <w:tc>
          <w:tcPr>
            <w:tcW w:w="174" w:type="dxa"/>
          </w:tcPr>
          <w:p>
            <w:pPr>
              <w:pStyle w:val="TableParagraph"/>
              <w:rPr>
                <w:rFonts w:ascii="Times New Roman"/>
                <w:sz w:val="10"/>
              </w:rPr>
            </w:pPr>
          </w:p>
        </w:tc>
        <w:tc>
          <w:tcPr>
            <w:tcW w:w="509" w:type="dxa"/>
          </w:tcPr>
          <w:p>
            <w:pPr>
              <w:pStyle w:val="TableParagraph"/>
              <w:spacing w:line="125" w:lineRule="exact" w:before="17"/>
              <w:ind w:left="78"/>
              <w:rPr>
                <w:sz w:val="12"/>
              </w:rPr>
            </w:pPr>
            <w:r>
              <w:rPr>
                <w:w w:val="105"/>
                <w:sz w:val="12"/>
              </w:rPr>
              <w:t>1.4%</w:t>
            </w:r>
          </w:p>
        </w:tc>
        <w:tc>
          <w:tcPr>
            <w:tcW w:w="726" w:type="dxa"/>
          </w:tcPr>
          <w:p>
            <w:pPr>
              <w:pStyle w:val="TableParagraph"/>
              <w:spacing w:line="125" w:lineRule="exact" w:before="17"/>
              <w:ind w:left="81"/>
              <w:rPr>
                <w:sz w:val="12"/>
              </w:rPr>
            </w:pPr>
            <w:r>
              <w:rPr>
                <w:sz w:val="12"/>
              </w:rPr>
              <w:t>NR</w:t>
            </w:r>
          </w:p>
        </w:tc>
        <w:tc>
          <w:tcPr>
            <w:tcW w:w="1061" w:type="dxa"/>
          </w:tcPr>
          <w:p>
            <w:pPr>
              <w:pStyle w:val="TableParagraph"/>
              <w:spacing w:line="125" w:lineRule="exact" w:before="17"/>
              <w:ind w:left="166"/>
              <w:rPr>
                <w:sz w:val="12"/>
              </w:rPr>
            </w:pPr>
            <w:r>
              <w:rPr>
                <w:sz w:val="12"/>
              </w:rPr>
              <w:t>NR</w:t>
            </w:r>
          </w:p>
        </w:tc>
        <w:tc>
          <w:tcPr>
            <w:tcW w:w="1745" w:type="dxa"/>
          </w:tcPr>
          <w:p>
            <w:pPr>
              <w:pStyle w:val="TableParagraph"/>
              <w:spacing w:line="125" w:lineRule="exact" w:before="17"/>
              <w:ind w:left="460"/>
              <w:rPr>
                <w:sz w:val="12"/>
              </w:rPr>
            </w:pPr>
            <w:r>
              <w:rPr>
                <w:sz w:val="12"/>
              </w:rPr>
              <w:t>NR</w:t>
            </w:r>
          </w:p>
        </w:tc>
      </w:tr>
      <w:tr>
        <w:trPr>
          <w:trHeight w:val="181" w:hRule="atLeast"/>
        </w:trPr>
        <w:tc>
          <w:tcPr>
            <w:tcW w:w="2011" w:type="dxa"/>
          </w:tcPr>
          <w:p>
            <w:pPr>
              <w:pStyle w:val="TableParagraph"/>
              <w:spacing w:line="134" w:lineRule="exact" w:before="27"/>
              <w:ind w:left="120"/>
              <w:rPr>
                <w:sz w:val="12"/>
              </w:rPr>
            </w:pPr>
            <w:r>
              <w:rPr>
                <w:w w:val="115"/>
                <w:sz w:val="12"/>
              </w:rPr>
              <w:t>Rui et al., 2018 [</w:t>
            </w:r>
            <w:hyperlink w:history="true" w:anchor="_bookmark36">
              <w:r>
                <w:rPr>
                  <w:color w:val="007FAC"/>
                  <w:w w:val="115"/>
                  <w:sz w:val="12"/>
                </w:rPr>
                <w:t>25</w:t>
              </w:r>
            </w:hyperlink>
            <w:r>
              <w:rPr>
                <w:w w:val="115"/>
                <w:sz w:val="12"/>
              </w:rPr>
              <w:t>]</w:t>
            </w:r>
            <w:r>
              <w:rPr>
                <w:w w:val="115"/>
                <w:sz w:val="12"/>
                <w:vertAlign w:val="superscript"/>
              </w:rPr>
              <w:t>,</w:t>
            </w:r>
            <w:hyperlink w:history="true" w:anchor="_bookmark99">
              <w:r>
                <w:rPr>
                  <w:color w:val="007FAC"/>
                  <w:w w:val="115"/>
                  <w:sz w:val="12"/>
                  <w:vertAlign w:val="superscript"/>
                </w:rPr>
                <w:t>h</w:t>
              </w:r>
            </w:hyperlink>
          </w:p>
        </w:tc>
        <w:tc>
          <w:tcPr>
            <w:tcW w:w="973" w:type="dxa"/>
          </w:tcPr>
          <w:p>
            <w:pPr>
              <w:pStyle w:val="TableParagraph"/>
              <w:spacing w:line="134" w:lineRule="exact" w:before="27"/>
              <w:ind w:left="162"/>
              <w:rPr>
                <w:sz w:val="12"/>
              </w:rPr>
            </w:pPr>
            <w:r>
              <w:rPr>
                <w:w w:val="125"/>
                <w:sz w:val="12"/>
              </w:rPr>
              <w:t>83</w:t>
            </w:r>
          </w:p>
        </w:tc>
        <w:tc>
          <w:tcPr>
            <w:tcW w:w="234" w:type="dxa"/>
          </w:tcPr>
          <w:p>
            <w:pPr>
              <w:pStyle w:val="TableParagraph"/>
              <w:spacing w:line="135" w:lineRule="exact" w:before="26"/>
              <w:rPr>
                <w:rFonts w:ascii="Lucida Sans"/>
                <w:sz w:val="12"/>
              </w:rPr>
            </w:pPr>
            <w:r>
              <w:rPr>
                <w:rFonts w:ascii="Lucida Sans"/>
                <w:w w:val="174"/>
                <w:sz w:val="12"/>
              </w:rPr>
              <w:t>C</w:t>
            </w:r>
          </w:p>
        </w:tc>
        <w:tc>
          <w:tcPr>
            <w:tcW w:w="242" w:type="dxa"/>
          </w:tcPr>
          <w:p>
            <w:pPr>
              <w:pStyle w:val="TableParagraph"/>
              <w:rPr>
                <w:rFonts w:ascii="Times New Roman"/>
                <w:sz w:val="12"/>
              </w:rPr>
            </w:pPr>
          </w:p>
        </w:tc>
        <w:tc>
          <w:tcPr>
            <w:tcW w:w="172" w:type="dxa"/>
          </w:tcPr>
          <w:p>
            <w:pPr>
              <w:pStyle w:val="TableParagraph"/>
              <w:rPr>
                <w:rFonts w:ascii="Times New Roman"/>
                <w:sz w:val="12"/>
              </w:rPr>
            </w:pPr>
          </w:p>
        </w:tc>
        <w:tc>
          <w:tcPr>
            <w:tcW w:w="354" w:type="dxa"/>
          </w:tcPr>
          <w:p>
            <w:pPr>
              <w:pStyle w:val="TableParagraph"/>
              <w:spacing w:line="135" w:lineRule="exact" w:before="26"/>
              <w:rPr>
                <w:rFonts w:ascii="Lucida Sans"/>
                <w:sz w:val="12"/>
              </w:rPr>
            </w:pPr>
            <w:r>
              <w:rPr>
                <w:rFonts w:ascii="Lucida Sans"/>
                <w:w w:val="174"/>
                <w:sz w:val="12"/>
              </w:rPr>
              <w:t>C</w:t>
            </w:r>
          </w:p>
        </w:tc>
        <w:tc>
          <w:tcPr>
            <w:tcW w:w="602" w:type="dxa"/>
          </w:tcPr>
          <w:p>
            <w:pPr>
              <w:pStyle w:val="TableParagraph"/>
              <w:rPr>
                <w:rFonts w:ascii="Times New Roman"/>
                <w:sz w:val="12"/>
              </w:rPr>
            </w:pPr>
          </w:p>
        </w:tc>
        <w:tc>
          <w:tcPr>
            <w:tcW w:w="172" w:type="dxa"/>
          </w:tcPr>
          <w:p>
            <w:pPr>
              <w:pStyle w:val="TableParagraph"/>
              <w:rPr>
                <w:rFonts w:ascii="Times New Roman"/>
                <w:sz w:val="12"/>
              </w:rPr>
            </w:pPr>
          </w:p>
        </w:tc>
        <w:tc>
          <w:tcPr>
            <w:tcW w:w="332" w:type="dxa"/>
          </w:tcPr>
          <w:p>
            <w:pPr>
              <w:pStyle w:val="TableParagraph"/>
              <w:rPr>
                <w:rFonts w:ascii="Times New Roman"/>
                <w:sz w:val="12"/>
              </w:rPr>
            </w:pPr>
          </w:p>
        </w:tc>
        <w:tc>
          <w:tcPr>
            <w:tcW w:w="536" w:type="dxa"/>
          </w:tcPr>
          <w:p>
            <w:pPr>
              <w:pStyle w:val="TableParagraph"/>
              <w:rPr>
                <w:rFonts w:ascii="Times New Roman"/>
                <w:sz w:val="12"/>
              </w:rPr>
            </w:pPr>
          </w:p>
        </w:tc>
        <w:tc>
          <w:tcPr>
            <w:tcW w:w="172" w:type="dxa"/>
          </w:tcPr>
          <w:p>
            <w:pPr>
              <w:pStyle w:val="TableParagraph"/>
              <w:rPr>
                <w:rFonts w:ascii="Times New Roman"/>
                <w:sz w:val="12"/>
              </w:rPr>
            </w:pPr>
          </w:p>
        </w:tc>
        <w:tc>
          <w:tcPr>
            <w:tcW w:w="231" w:type="dxa"/>
          </w:tcPr>
          <w:p>
            <w:pPr>
              <w:pStyle w:val="TableParagraph"/>
              <w:rPr>
                <w:rFonts w:ascii="Times New Roman"/>
                <w:sz w:val="12"/>
              </w:rPr>
            </w:pPr>
          </w:p>
        </w:tc>
        <w:tc>
          <w:tcPr>
            <w:tcW w:w="320" w:type="dxa"/>
          </w:tcPr>
          <w:p>
            <w:pPr>
              <w:pStyle w:val="TableParagraph"/>
              <w:rPr>
                <w:rFonts w:ascii="Times New Roman"/>
                <w:sz w:val="12"/>
              </w:rPr>
            </w:pPr>
          </w:p>
        </w:tc>
        <w:tc>
          <w:tcPr>
            <w:tcW w:w="602" w:type="dxa"/>
          </w:tcPr>
          <w:p>
            <w:pPr>
              <w:pStyle w:val="TableParagraph"/>
              <w:spacing w:line="135" w:lineRule="exact" w:before="26"/>
              <w:ind w:left="89"/>
              <w:rPr>
                <w:rFonts w:ascii="Lucida Sans"/>
                <w:sz w:val="12"/>
              </w:rPr>
            </w:pPr>
            <w:r>
              <w:rPr>
                <w:rFonts w:ascii="Lucida Sans"/>
                <w:w w:val="174"/>
                <w:sz w:val="12"/>
              </w:rPr>
              <w:t>C</w:t>
            </w:r>
          </w:p>
        </w:tc>
        <w:tc>
          <w:tcPr>
            <w:tcW w:w="425" w:type="dxa"/>
          </w:tcPr>
          <w:p>
            <w:pPr>
              <w:pStyle w:val="TableParagraph"/>
              <w:rPr>
                <w:rFonts w:ascii="Times New Roman"/>
                <w:sz w:val="12"/>
              </w:rPr>
            </w:pPr>
          </w:p>
        </w:tc>
        <w:tc>
          <w:tcPr>
            <w:tcW w:w="778" w:type="dxa"/>
          </w:tcPr>
          <w:p>
            <w:pPr>
              <w:pStyle w:val="TableParagraph"/>
              <w:rPr>
                <w:rFonts w:ascii="Times New Roman"/>
                <w:sz w:val="12"/>
              </w:rPr>
            </w:pPr>
          </w:p>
        </w:tc>
        <w:tc>
          <w:tcPr>
            <w:tcW w:w="697" w:type="dxa"/>
          </w:tcPr>
          <w:p>
            <w:pPr>
              <w:pStyle w:val="TableParagraph"/>
              <w:spacing w:line="135" w:lineRule="exact" w:before="26"/>
              <w:ind w:left="87"/>
              <w:rPr>
                <w:rFonts w:ascii="Lucida Sans"/>
                <w:sz w:val="12"/>
              </w:rPr>
            </w:pPr>
            <w:r>
              <w:rPr>
                <w:rFonts w:ascii="Lucida Sans"/>
                <w:w w:val="174"/>
                <w:sz w:val="12"/>
              </w:rPr>
              <w:t>C</w:t>
            </w:r>
          </w:p>
        </w:tc>
        <w:tc>
          <w:tcPr>
            <w:tcW w:w="433" w:type="dxa"/>
          </w:tcPr>
          <w:p>
            <w:pPr>
              <w:pStyle w:val="TableParagraph"/>
              <w:rPr>
                <w:rFonts w:ascii="Times New Roman"/>
                <w:sz w:val="12"/>
              </w:rPr>
            </w:pPr>
          </w:p>
        </w:tc>
        <w:tc>
          <w:tcPr>
            <w:tcW w:w="174" w:type="dxa"/>
          </w:tcPr>
          <w:p>
            <w:pPr>
              <w:pStyle w:val="TableParagraph"/>
              <w:rPr>
                <w:rFonts w:ascii="Times New Roman"/>
                <w:sz w:val="12"/>
              </w:rPr>
            </w:pPr>
          </w:p>
        </w:tc>
        <w:tc>
          <w:tcPr>
            <w:tcW w:w="509" w:type="dxa"/>
          </w:tcPr>
          <w:p>
            <w:pPr>
              <w:pStyle w:val="TableParagraph"/>
              <w:spacing w:line="134" w:lineRule="exact" w:before="27"/>
              <w:ind w:left="78"/>
              <w:rPr>
                <w:sz w:val="12"/>
              </w:rPr>
            </w:pPr>
            <w:r>
              <w:rPr>
                <w:w w:val="105"/>
                <w:sz w:val="12"/>
              </w:rPr>
              <w:t>0.0%</w:t>
            </w:r>
          </w:p>
        </w:tc>
        <w:tc>
          <w:tcPr>
            <w:tcW w:w="726" w:type="dxa"/>
          </w:tcPr>
          <w:p>
            <w:pPr>
              <w:pStyle w:val="TableParagraph"/>
              <w:spacing w:line="134" w:lineRule="exact" w:before="27"/>
              <w:ind w:left="163"/>
              <w:rPr>
                <w:sz w:val="12"/>
              </w:rPr>
            </w:pPr>
            <w:r>
              <w:rPr>
                <w:w w:val="105"/>
                <w:sz w:val="12"/>
              </w:rPr>
              <w:t>2.4%</w:t>
            </w:r>
          </w:p>
        </w:tc>
        <w:tc>
          <w:tcPr>
            <w:tcW w:w="1061" w:type="dxa"/>
          </w:tcPr>
          <w:p>
            <w:pPr>
              <w:pStyle w:val="TableParagraph"/>
              <w:spacing w:line="134" w:lineRule="exact" w:before="27"/>
              <w:ind w:left="166"/>
              <w:rPr>
                <w:sz w:val="12"/>
              </w:rPr>
            </w:pPr>
            <w:r>
              <w:rPr>
                <w:sz w:val="12"/>
              </w:rPr>
              <w:t>NR</w:t>
            </w:r>
          </w:p>
        </w:tc>
        <w:tc>
          <w:tcPr>
            <w:tcW w:w="1745" w:type="dxa"/>
          </w:tcPr>
          <w:p>
            <w:pPr>
              <w:pStyle w:val="TableParagraph"/>
              <w:spacing w:line="134" w:lineRule="exact" w:before="27"/>
              <w:ind w:left="541"/>
              <w:rPr>
                <w:sz w:val="12"/>
              </w:rPr>
            </w:pPr>
            <w:r>
              <w:rPr>
                <w:w w:val="105"/>
                <w:sz w:val="12"/>
              </w:rPr>
              <w:t>0.0%</w:t>
            </w:r>
          </w:p>
        </w:tc>
      </w:tr>
      <w:tr>
        <w:trPr>
          <w:trHeight w:val="171" w:hRule="atLeast"/>
        </w:trPr>
        <w:tc>
          <w:tcPr>
            <w:tcW w:w="2011" w:type="dxa"/>
          </w:tcPr>
          <w:p>
            <w:pPr>
              <w:pStyle w:val="TableParagraph"/>
              <w:rPr>
                <w:rFonts w:ascii="Times New Roman"/>
                <w:sz w:val="10"/>
              </w:rPr>
            </w:pPr>
          </w:p>
        </w:tc>
        <w:tc>
          <w:tcPr>
            <w:tcW w:w="973" w:type="dxa"/>
          </w:tcPr>
          <w:p>
            <w:pPr>
              <w:pStyle w:val="TableParagraph"/>
              <w:spacing w:line="134" w:lineRule="exact" w:before="17"/>
              <w:ind w:left="162"/>
              <w:rPr>
                <w:sz w:val="12"/>
              </w:rPr>
            </w:pPr>
            <w:r>
              <w:rPr>
                <w:w w:val="125"/>
                <w:sz w:val="12"/>
              </w:rPr>
              <w:t>82</w:t>
            </w:r>
          </w:p>
        </w:tc>
        <w:tc>
          <w:tcPr>
            <w:tcW w:w="234" w:type="dxa"/>
          </w:tcPr>
          <w:p>
            <w:pPr>
              <w:pStyle w:val="TableParagraph"/>
              <w:spacing w:line="135" w:lineRule="exact" w:before="16"/>
              <w:rPr>
                <w:rFonts w:ascii="Lucida Sans"/>
                <w:sz w:val="12"/>
              </w:rPr>
            </w:pPr>
            <w:r>
              <w:rPr>
                <w:rFonts w:ascii="Lucida Sans"/>
                <w:w w:val="174"/>
                <w:sz w:val="12"/>
              </w:rPr>
              <w:t>C</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35" w:lineRule="exact" w:before="16"/>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35" w:lineRule="exact" w:before="16"/>
              <w:ind w:left="2"/>
              <w:rPr>
                <w:rFonts w:ascii="Lucida Sans"/>
                <w:sz w:val="12"/>
              </w:rPr>
            </w:pPr>
            <w:r>
              <w:rPr>
                <w:rFonts w:ascii="Lucida Sans"/>
                <w:w w:val="174"/>
                <w:sz w:val="12"/>
              </w:rPr>
              <w:t>C</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35" w:lineRule="exact" w:before="16"/>
              <w:ind w:left="3"/>
              <w:rPr>
                <w:rFonts w:ascii="Lucida Sans"/>
                <w:sz w:val="12"/>
              </w:rPr>
            </w:pPr>
            <w:r>
              <w:rPr>
                <w:rFonts w:ascii="Lucida Sans"/>
                <w:w w:val="174"/>
                <w:sz w:val="12"/>
              </w:rPr>
              <w:t>C</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spacing w:line="135" w:lineRule="exact" w:before="16"/>
              <w:ind w:left="87"/>
              <w:rPr>
                <w:rFonts w:ascii="Lucida Sans"/>
                <w:sz w:val="12"/>
              </w:rPr>
            </w:pPr>
            <w:r>
              <w:rPr>
                <w:rFonts w:ascii="Lucida Sans"/>
                <w:w w:val="174"/>
                <w:sz w:val="12"/>
              </w:rPr>
              <w:t>C</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34" w:lineRule="exact" w:before="17"/>
              <w:ind w:left="78"/>
              <w:rPr>
                <w:sz w:val="12"/>
              </w:rPr>
            </w:pPr>
            <w:r>
              <w:rPr>
                <w:w w:val="105"/>
                <w:sz w:val="12"/>
              </w:rPr>
              <w:t>0.0%</w:t>
            </w:r>
          </w:p>
        </w:tc>
        <w:tc>
          <w:tcPr>
            <w:tcW w:w="726" w:type="dxa"/>
          </w:tcPr>
          <w:p>
            <w:pPr>
              <w:pStyle w:val="TableParagraph"/>
              <w:spacing w:line="134" w:lineRule="exact" w:before="17"/>
              <w:ind w:left="163"/>
              <w:rPr>
                <w:sz w:val="12"/>
              </w:rPr>
            </w:pPr>
            <w:r>
              <w:rPr>
                <w:w w:val="105"/>
                <w:sz w:val="12"/>
              </w:rPr>
              <w:t>0.0%</w:t>
            </w:r>
          </w:p>
        </w:tc>
        <w:tc>
          <w:tcPr>
            <w:tcW w:w="1061" w:type="dxa"/>
          </w:tcPr>
          <w:p>
            <w:pPr>
              <w:pStyle w:val="TableParagraph"/>
              <w:spacing w:line="134" w:lineRule="exact" w:before="17"/>
              <w:ind w:left="166"/>
              <w:rPr>
                <w:sz w:val="12"/>
              </w:rPr>
            </w:pPr>
            <w:r>
              <w:rPr>
                <w:sz w:val="12"/>
              </w:rPr>
              <w:t>NR</w:t>
            </w:r>
          </w:p>
        </w:tc>
        <w:tc>
          <w:tcPr>
            <w:tcW w:w="1745" w:type="dxa"/>
          </w:tcPr>
          <w:p>
            <w:pPr>
              <w:pStyle w:val="TableParagraph"/>
              <w:spacing w:line="134" w:lineRule="exact" w:before="17"/>
              <w:ind w:left="541"/>
              <w:rPr>
                <w:sz w:val="12"/>
              </w:rPr>
            </w:pPr>
            <w:r>
              <w:rPr>
                <w:w w:val="105"/>
                <w:sz w:val="12"/>
              </w:rPr>
              <w:t>0.0%</w:t>
            </w:r>
          </w:p>
        </w:tc>
      </w:tr>
      <w:tr>
        <w:trPr>
          <w:trHeight w:val="176" w:hRule="atLeast"/>
        </w:trPr>
        <w:tc>
          <w:tcPr>
            <w:tcW w:w="2011" w:type="dxa"/>
          </w:tcPr>
          <w:p>
            <w:pPr>
              <w:pStyle w:val="TableParagraph"/>
              <w:spacing w:line="140" w:lineRule="exact" w:before="17"/>
              <w:ind w:left="120"/>
              <w:rPr>
                <w:sz w:val="12"/>
              </w:rPr>
            </w:pPr>
            <w:r>
              <w:rPr>
                <w:w w:val="120"/>
                <w:sz w:val="12"/>
              </w:rPr>
              <w:t>Herndon et al., 2020 [</w:t>
            </w:r>
            <w:hyperlink w:history="true" w:anchor="_bookmark61">
              <w:r>
                <w:rPr>
                  <w:color w:val="007FAC"/>
                  <w:w w:val="120"/>
                  <w:sz w:val="12"/>
                </w:rPr>
                <w:t>50</w:t>
              </w:r>
            </w:hyperlink>
            <w:r>
              <w:rPr>
                <w:w w:val="120"/>
                <w:sz w:val="12"/>
              </w:rPr>
              <w:t>]</w:t>
            </w:r>
          </w:p>
        </w:tc>
        <w:tc>
          <w:tcPr>
            <w:tcW w:w="973" w:type="dxa"/>
          </w:tcPr>
          <w:p>
            <w:pPr>
              <w:pStyle w:val="TableParagraph"/>
              <w:spacing w:line="140" w:lineRule="exact" w:before="17"/>
              <w:ind w:left="86"/>
              <w:rPr>
                <w:sz w:val="12"/>
              </w:rPr>
            </w:pPr>
            <w:r>
              <w:rPr>
                <w:w w:val="125"/>
                <w:sz w:val="12"/>
              </w:rPr>
              <w:t>186</w:t>
            </w:r>
          </w:p>
        </w:tc>
        <w:tc>
          <w:tcPr>
            <w:tcW w:w="234" w:type="dxa"/>
          </w:tcPr>
          <w:p>
            <w:pPr>
              <w:pStyle w:val="TableParagraph"/>
              <w:rPr>
                <w:rFonts w:ascii="Times New Roman"/>
                <w:sz w:val="10"/>
              </w:rPr>
            </w:pPr>
          </w:p>
        </w:tc>
        <w:tc>
          <w:tcPr>
            <w:tcW w:w="242" w:type="dxa"/>
          </w:tcPr>
          <w:p>
            <w:pPr>
              <w:pStyle w:val="TableParagraph"/>
              <w:spacing w:line="141" w:lineRule="exact" w:before="16"/>
              <w:ind w:right="5"/>
              <w:jc w:val="right"/>
              <w:rPr>
                <w:rFonts w:ascii="Lucida Sans"/>
                <w:sz w:val="12"/>
              </w:rPr>
            </w:pPr>
            <w:r>
              <w:rPr>
                <w:rFonts w:ascii="Lucida Sans"/>
                <w:w w:val="174"/>
                <w:sz w:val="12"/>
              </w:rPr>
              <w:t>C</w:t>
            </w:r>
          </w:p>
        </w:tc>
        <w:tc>
          <w:tcPr>
            <w:tcW w:w="172" w:type="dxa"/>
          </w:tcPr>
          <w:p>
            <w:pPr>
              <w:pStyle w:val="TableParagraph"/>
              <w:rPr>
                <w:rFonts w:ascii="Times New Roman"/>
                <w:sz w:val="10"/>
              </w:rPr>
            </w:pPr>
          </w:p>
        </w:tc>
        <w:tc>
          <w:tcPr>
            <w:tcW w:w="354" w:type="dxa"/>
          </w:tcPr>
          <w:p>
            <w:pPr>
              <w:pStyle w:val="TableParagraph"/>
              <w:rPr>
                <w:rFonts w:ascii="Times New Roman"/>
                <w:sz w:val="10"/>
              </w:rPr>
            </w:pPr>
          </w:p>
        </w:tc>
        <w:tc>
          <w:tcPr>
            <w:tcW w:w="602" w:type="dxa"/>
          </w:tcPr>
          <w:p>
            <w:pPr>
              <w:pStyle w:val="TableParagraph"/>
              <w:spacing w:line="156" w:lineRule="exact"/>
              <w:ind w:left="210"/>
              <w:rPr>
                <w:rFonts w:ascii="Arial"/>
                <w:sz w:val="14"/>
              </w:rPr>
            </w:pPr>
            <w:r>
              <w:rPr>
                <w:rFonts w:ascii="Arial"/>
                <w:w w:val="97"/>
                <w:sz w:val="14"/>
              </w:rPr>
              <w:t>a</w:t>
            </w:r>
          </w:p>
        </w:tc>
        <w:tc>
          <w:tcPr>
            <w:tcW w:w="172" w:type="dxa"/>
          </w:tcPr>
          <w:p>
            <w:pPr>
              <w:pStyle w:val="TableParagraph"/>
              <w:rPr>
                <w:rFonts w:ascii="Times New Roman"/>
                <w:sz w:val="10"/>
              </w:rPr>
            </w:pPr>
          </w:p>
        </w:tc>
        <w:tc>
          <w:tcPr>
            <w:tcW w:w="332" w:type="dxa"/>
          </w:tcPr>
          <w:p>
            <w:pPr>
              <w:pStyle w:val="TableParagraph"/>
              <w:rPr>
                <w:rFonts w:ascii="Times New Roman"/>
                <w:sz w:val="10"/>
              </w:rPr>
            </w:pPr>
          </w:p>
        </w:tc>
        <w:tc>
          <w:tcPr>
            <w:tcW w:w="536" w:type="dxa"/>
          </w:tcPr>
          <w:p>
            <w:pPr>
              <w:pStyle w:val="TableParagraph"/>
              <w:spacing w:line="141" w:lineRule="exact" w:before="16"/>
              <w:ind w:right="10"/>
              <w:jc w:val="center"/>
              <w:rPr>
                <w:rFonts w:ascii="Lucida Sans"/>
                <w:sz w:val="12"/>
              </w:rPr>
            </w:pPr>
            <w:r>
              <w:rPr>
                <w:rFonts w:ascii="Lucida Sans"/>
                <w:w w:val="174"/>
                <w:sz w:val="12"/>
              </w:rPr>
              <w:t>C</w:t>
            </w: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rPr>
                <w:rFonts w:ascii="Times New Roman"/>
                <w:sz w:val="10"/>
              </w:rPr>
            </w:pPr>
          </w:p>
        </w:tc>
        <w:tc>
          <w:tcPr>
            <w:tcW w:w="778" w:type="dxa"/>
          </w:tcPr>
          <w:p>
            <w:pPr>
              <w:pStyle w:val="TableParagraph"/>
              <w:spacing w:line="141" w:lineRule="exact" w:before="16"/>
              <w:ind w:left="88"/>
              <w:rPr>
                <w:rFonts w:ascii="Lucida Sans"/>
                <w:sz w:val="12"/>
              </w:rPr>
            </w:pPr>
            <w:r>
              <w:rPr>
                <w:rFonts w:ascii="Lucida Sans"/>
                <w:w w:val="174"/>
                <w:sz w:val="12"/>
              </w:rPr>
              <w:t>C</w:t>
            </w:r>
          </w:p>
        </w:tc>
        <w:tc>
          <w:tcPr>
            <w:tcW w:w="697" w:type="dxa"/>
          </w:tcPr>
          <w:p>
            <w:pPr>
              <w:pStyle w:val="TableParagraph"/>
              <w:rPr>
                <w:rFonts w:ascii="Times New Roman"/>
                <w:sz w:val="10"/>
              </w:rPr>
            </w:pP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40" w:lineRule="exact" w:before="17"/>
              <w:ind w:right="89"/>
              <w:jc w:val="right"/>
              <w:rPr>
                <w:sz w:val="12"/>
              </w:rPr>
            </w:pPr>
            <w:r>
              <w:rPr>
                <w:w w:val="105"/>
                <w:sz w:val="12"/>
              </w:rPr>
              <w:t>1.08%</w:t>
            </w:r>
          </w:p>
        </w:tc>
        <w:tc>
          <w:tcPr>
            <w:tcW w:w="726" w:type="dxa"/>
          </w:tcPr>
          <w:p>
            <w:pPr>
              <w:pStyle w:val="TableParagraph"/>
              <w:spacing w:line="140" w:lineRule="exact" w:before="17"/>
              <w:ind w:left="81"/>
              <w:rPr>
                <w:sz w:val="12"/>
              </w:rPr>
            </w:pPr>
            <w:r>
              <w:rPr>
                <w:sz w:val="12"/>
              </w:rPr>
              <w:t>NR</w:t>
            </w:r>
          </w:p>
        </w:tc>
        <w:tc>
          <w:tcPr>
            <w:tcW w:w="1061" w:type="dxa"/>
          </w:tcPr>
          <w:p>
            <w:pPr>
              <w:pStyle w:val="TableParagraph"/>
              <w:spacing w:line="140" w:lineRule="exact" w:before="17"/>
              <w:ind w:left="166"/>
              <w:rPr>
                <w:sz w:val="12"/>
              </w:rPr>
            </w:pPr>
            <w:r>
              <w:rPr>
                <w:sz w:val="12"/>
              </w:rPr>
              <w:t>NR</w:t>
            </w:r>
          </w:p>
        </w:tc>
        <w:tc>
          <w:tcPr>
            <w:tcW w:w="1745" w:type="dxa"/>
          </w:tcPr>
          <w:p>
            <w:pPr>
              <w:pStyle w:val="TableParagraph"/>
              <w:spacing w:line="140" w:lineRule="exact" w:before="17"/>
              <w:ind w:left="460"/>
              <w:rPr>
                <w:sz w:val="12"/>
              </w:rPr>
            </w:pPr>
            <w:r>
              <w:rPr>
                <w:sz w:val="12"/>
              </w:rPr>
              <w:t>NR</w:t>
            </w:r>
          </w:p>
        </w:tc>
      </w:tr>
      <w:tr>
        <w:trPr>
          <w:trHeight w:val="171" w:hRule="atLeast"/>
        </w:trPr>
        <w:tc>
          <w:tcPr>
            <w:tcW w:w="2011" w:type="dxa"/>
          </w:tcPr>
          <w:p>
            <w:pPr>
              <w:pStyle w:val="TableParagraph"/>
              <w:rPr>
                <w:rFonts w:ascii="Times New Roman"/>
                <w:sz w:val="10"/>
              </w:rPr>
            </w:pPr>
          </w:p>
        </w:tc>
        <w:tc>
          <w:tcPr>
            <w:tcW w:w="973" w:type="dxa"/>
          </w:tcPr>
          <w:p>
            <w:pPr>
              <w:pStyle w:val="TableParagraph"/>
              <w:spacing w:line="140" w:lineRule="exact" w:before="11"/>
              <w:ind w:left="86"/>
              <w:rPr>
                <w:sz w:val="12"/>
              </w:rPr>
            </w:pPr>
            <w:r>
              <w:rPr>
                <w:w w:val="125"/>
                <w:sz w:val="12"/>
              </w:rPr>
              <w:t>137</w:t>
            </w:r>
          </w:p>
        </w:tc>
        <w:tc>
          <w:tcPr>
            <w:tcW w:w="234" w:type="dxa"/>
          </w:tcPr>
          <w:p>
            <w:pPr>
              <w:pStyle w:val="TableParagraph"/>
              <w:rPr>
                <w:rFonts w:ascii="Times New Roman"/>
                <w:sz w:val="10"/>
              </w:rPr>
            </w:pPr>
          </w:p>
        </w:tc>
        <w:tc>
          <w:tcPr>
            <w:tcW w:w="242" w:type="dxa"/>
          </w:tcPr>
          <w:p>
            <w:pPr>
              <w:pStyle w:val="TableParagraph"/>
              <w:spacing w:line="141" w:lineRule="exact" w:before="10"/>
              <w:ind w:right="5"/>
              <w:jc w:val="right"/>
              <w:rPr>
                <w:rFonts w:ascii="Lucida Sans"/>
                <w:sz w:val="12"/>
              </w:rPr>
            </w:pPr>
            <w:r>
              <w:rPr>
                <w:rFonts w:ascii="Lucida Sans"/>
                <w:w w:val="174"/>
                <w:sz w:val="12"/>
              </w:rPr>
              <w:t>C</w:t>
            </w:r>
          </w:p>
        </w:tc>
        <w:tc>
          <w:tcPr>
            <w:tcW w:w="172" w:type="dxa"/>
          </w:tcPr>
          <w:p>
            <w:pPr>
              <w:pStyle w:val="TableParagraph"/>
              <w:rPr>
                <w:rFonts w:ascii="Times New Roman"/>
                <w:sz w:val="10"/>
              </w:rPr>
            </w:pPr>
          </w:p>
        </w:tc>
        <w:tc>
          <w:tcPr>
            <w:tcW w:w="354" w:type="dxa"/>
          </w:tcPr>
          <w:p>
            <w:pPr>
              <w:pStyle w:val="TableParagraph"/>
              <w:rPr>
                <w:rFonts w:ascii="Times New Roman"/>
                <w:sz w:val="10"/>
              </w:rPr>
            </w:pPr>
          </w:p>
        </w:tc>
        <w:tc>
          <w:tcPr>
            <w:tcW w:w="602" w:type="dxa"/>
          </w:tcPr>
          <w:p>
            <w:pPr>
              <w:pStyle w:val="TableParagraph"/>
              <w:spacing w:line="151" w:lineRule="exact"/>
              <w:ind w:left="210"/>
              <w:rPr>
                <w:rFonts w:ascii="Arial"/>
                <w:sz w:val="14"/>
              </w:rPr>
            </w:pPr>
            <w:r>
              <w:rPr>
                <w:rFonts w:ascii="Arial"/>
                <w:w w:val="97"/>
                <w:sz w:val="14"/>
              </w:rPr>
              <w:t>a</w:t>
            </w:r>
          </w:p>
        </w:tc>
        <w:tc>
          <w:tcPr>
            <w:tcW w:w="172" w:type="dxa"/>
          </w:tcPr>
          <w:p>
            <w:pPr>
              <w:pStyle w:val="TableParagraph"/>
              <w:rPr>
                <w:rFonts w:ascii="Times New Roman"/>
                <w:sz w:val="10"/>
              </w:rPr>
            </w:pPr>
          </w:p>
        </w:tc>
        <w:tc>
          <w:tcPr>
            <w:tcW w:w="332" w:type="dxa"/>
          </w:tcPr>
          <w:p>
            <w:pPr>
              <w:pStyle w:val="TableParagraph"/>
              <w:rPr>
                <w:rFonts w:ascii="Times New Roman"/>
                <w:sz w:val="10"/>
              </w:rPr>
            </w:pPr>
          </w:p>
        </w:tc>
        <w:tc>
          <w:tcPr>
            <w:tcW w:w="536" w:type="dxa"/>
          </w:tcPr>
          <w:p>
            <w:pPr>
              <w:pStyle w:val="TableParagraph"/>
              <w:spacing w:line="141" w:lineRule="exact" w:before="10"/>
              <w:ind w:right="10"/>
              <w:jc w:val="center"/>
              <w:rPr>
                <w:rFonts w:ascii="Lucida Sans"/>
                <w:sz w:val="12"/>
              </w:rPr>
            </w:pPr>
            <w:r>
              <w:rPr>
                <w:rFonts w:ascii="Lucida Sans"/>
                <w:w w:val="174"/>
                <w:sz w:val="12"/>
              </w:rPr>
              <w:t>C</w:t>
            </w:r>
          </w:p>
        </w:tc>
        <w:tc>
          <w:tcPr>
            <w:tcW w:w="172" w:type="dxa"/>
          </w:tcPr>
          <w:p>
            <w:pPr>
              <w:pStyle w:val="TableParagraph"/>
              <w:rPr>
                <w:rFonts w:ascii="Times New Roman"/>
                <w:sz w:val="10"/>
              </w:rPr>
            </w:pPr>
          </w:p>
        </w:tc>
        <w:tc>
          <w:tcPr>
            <w:tcW w:w="231" w:type="dxa"/>
          </w:tcPr>
          <w:p>
            <w:pPr>
              <w:pStyle w:val="TableParagraph"/>
              <w:rPr>
                <w:rFonts w:ascii="Times New Roman"/>
                <w:sz w:val="10"/>
              </w:rPr>
            </w:pP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spacing w:line="140" w:lineRule="exact" w:before="11"/>
              <w:ind w:left="89"/>
              <w:rPr>
                <w:sz w:val="12"/>
              </w:rPr>
            </w:pPr>
            <w:r>
              <w:rPr>
                <w:w w:val="110"/>
                <w:sz w:val="12"/>
              </w:rPr>
              <w:t>SwS</w:t>
            </w:r>
          </w:p>
        </w:tc>
        <w:tc>
          <w:tcPr>
            <w:tcW w:w="778" w:type="dxa"/>
          </w:tcPr>
          <w:p>
            <w:pPr>
              <w:pStyle w:val="TableParagraph"/>
              <w:rPr>
                <w:rFonts w:ascii="Times New Roman"/>
                <w:sz w:val="10"/>
              </w:rPr>
            </w:pPr>
          </w:p>
        </w:tc>
        <w:tc>
          <w:tcPr>
            <w:tcW w:w="697" w:type="dxa"/>
          </w:tcPr>
          <w:p>
            <w:pPr>
              <w:pStyle w:val="TableParagraph"/>
              <w:spacing w:line="140" w:lineRule="exact" w:before="11"/>
              <w:ind w:left="87"/>
              <w:rPr>
                <w:sz w:val="12"/>
              </w:rPr>
            </w:pPr>
            <w:r>
              <w:rPr>
                <w:w w:val="93"/>
                <w:sz w:val="12"/>
              </w:rPr>
              <w:t>A</w:t>
            </w: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40" w:lineRule="exact" w:before="11"/>
              <w:ind w:right="89"/>
              <w:jc w:val="right"/>
              <w:rPr>
                <w:sz w:val="12"/>
              </w:rPr>
            </w:pPr>
            <w:r>
              <w:rPr>
                <w:w w:val="105"/>
                <w:sz w:val="12"/>
              </w:rPr>
              <w:t>0.73%</w:t>
            </w:r>
          </w:p>
        </w:tc>
        <w:tc>
          <w:tcPr>
            <w:tcW w:w="726" w:type="dxa"/>
          </w:tcPr>
          <w:p>
            <w:pPr>
              <w:pStyle w:val="TableParagraph"/>
              <w:spacing w:line="140" w:lineRule="exact" w:before="11"/>
              <w:ind w:left="81"/>
              <w:rPr>
                <w:sz w:val="12"/>
              </w:rPr>
            </w:pPr>
            <w:r>
              <w:rPr>
                <w:sz w:val="12"/>
              </w:rPr>
              <w:t>NR</w:t>
            </w:r>
          </w:p>
        </w:tc>
        <w:tc>
          <w:tcPr>
            <w:tcW w:w="1061" w:type="dxa"/>
          </w:tcPr>
          <w:p>
            <w:pPr>
              <w:pStyle w:val="TableParagraph"/>
              <w:spacing w:line="140" w:lineRule="exact" w:before="11"/>
              <w:ind w:left="166"/>
              <w:rPr>
                <w:sz w:val="12"/>
              </w:rPr>
            </w:pPr>
            <w:r>
              <w:rPr>
                <w:sz w:val="12"/>
              </w:rPr>
              <w:t>NR</w:t>
            </w:r>
          </w:p>
        </w:tc>
        <w:tc>
          <w:tcPr>
            <w:tcW w:w="1745" w:type="dxa"/>
          </w:tcPr>
          <w:p>
            <w:pPr>
              <w:pStyle w:val="TableParagraph"/>
              <w:spacing w:line="140" w:lineRule="exact" w:before="11"/>
              <w:ind w:left="460"/>
              <w:rPr>
                <w:sz w:val="12"/>
              </w:rPr>
            </w:pPr>
            <w:r>
              <w:rPr>
                <w:sz w:val="12"/>
              </w:rPr>
              <w:t>NR</w:t>
            </w:r>
          </w:p>
        </w:tc>
      </w:tr>
      <w:tr>
        <w:trPr>
          <w:trHeight w:val="171" w:hRule="atLeast"/>
        </w:trPr>
        <w:tc>
          <w:tcPr>
            <w:tcW w:w="2011" w:type="dxa"/>
          </w:tcPr>
          <w:p>
            <w:pPr>
              <w:pStyle w:val="TableParagraph"/>
              <w:spacing w:line="140" w:lineRule="exact" w:before="11"/>
              <w:ind w:left="120"/>
              <w:rPr>
                <w:sz w:val="12"/>
              </w:rPr>
            </w:pPr>
            <w:r>
              <w:rPr>
                <w:w w:val="120"/>
                <w:sz w:val="12"/>
              </w:rPr>
              <w:t>Mallee et al., 2020 [</w:t>
            </w:r>
            <w:hyperlink w:history="true" w:anchor="_bookmark39">
              <w:r>
                <w:rPr>
                  <w:color w:val="007FAC"/>
                  <w:w w:val="120"/>
                  <w:sz w:val="12"/>
                </w:rPr>
                <w:t>28</w:t>
              </w:r>
            </w:hyperlink>
            <w:r>
              <w:rPr>
                <w:w w:val="120"/>
                <w:sz w:val="12"/>
              </w:rPr>
              <w:t>]</w:t>
            </w:r>
          </w:p>
        </w:tc>
        <w:tc>
          <w:tcPr>
            <w:tcW w:w="973" w:type="dxa"/>
          </w:tcPr>
          <w:p>
            <w:pPr>
              <w:pStyle w:val="TableParagraph"/>
              <w:spacing w:line="140" w:lineRule="exact" w:before="11"/>
              <w:ind w:left="86"/>
              <w:rPr>
                <w:sz w:val="12"/>
              </w:rPr>
            </w:pPr>
            <w:r>
              <w:rPr>
                <w:w w:val="125"/>
                <w:sz w:val="12"/>
              </w:rPr>
              <w:t>267</w:t>
            </w:r>
          </w:p>
        </w:tc>
        <w:tc>
          <w:tcPr>
            <w:tcW w:w="234" w:type="dxa"/>
          </w:tcPr>
          <w:p>
            <w:pPr>
              <w:pStyle w:val="TableParagraph"/>
              <w:spacing w:line="151" w:lineRule="exact"/>
              <w:rPr>
                <w:rFonts w:ascii="Arial"/>
                <w:sz w:val="14"/>
              </w:rPr>
            </w:pPr>
            <w:r>
              <w:rPr>
                <w:rFonts w:ascii="Arial"/>
                <w:w w:val="97"/>
                <w:sz w:val="14"/>
              </w:rPr>
              <w:t>a</w:t>
            </w:r>
          </w:p>
        </w:tc>
        <w:tc>
          <w:tcPr>
            <w:tcW w:w="242" w:type="dxa"/>
          </w:tcPr>
          <w:p>
            <w:pPr>
              <w:pStyle w:val="TableParagraph"/>
              <w:rPr>
                <w:rFonts w:ascii="Times New Roman"/>
                <w:sz w:val="10"/>
              </w:rPr>
            </w:pPr>
          </w:p>
        </w:tc>
        <w:tc>
          <w:tcPr>
            <w:tcW w:w="172" w:type="dxa"/>
          </w:tcPr>
          <w:p>
            <w:pPr>
              <w:pStyle w:val="TableParagraph"/>
              <w:rPr>
                <w:rFonts w:ascii="Times New Roman"/>
                <w:sz w:val="10"/>
              </w:rPr>
            </w:pPr>
          </w:p>
        </w:tc>
        <w:tc>
          <w:tcPr>
            <w:tcW w:w="354" w:type="dxa"/>
          </w:tcPr>
          <w:p>
            <w:pPr>
              <w:pStyle w:val="TableParagraph"/>
              <w:spacing w:line="141" w:lineRule="exact" w:before="10"/>
              <w:rPr>
                <w:rFonts w:ascii="Lucida Sans"/>
                <w:sz w:val="12"/>
              </w:rPr>
            </w:pPr>
            <w:r>
              <w:rPr>
                <w:rFonts w:ascii="Lucida Sans"/>
                <w:w w:val="174"/>
                <w:sz w:val="12"/>
              </w:rPr>
              <w:t>C</w:t>
            </w:r>
          </w:p>
        </w:tc>
        <w:tc>
          <w:tcPr>
            <w:tcW w:w="602" w:type="dxa"/>
          </w:tcPr>
          <w:p>
            <w:pPr>
              <w:pStyle w:val="TableParagraph"/>
              <w:rPr>
                <w:rFonts w:ascii="Times New Roman"/>
                <w:sz w:val="10"/>
              </w:rPr>
            </w:pPr>
          </w:p>
        </w:tc>
        <w:tc>
          <w:tcPr>
            <w:tcW w:w="172" w:type="dxa"/>
          </w:tcPr>
          <w:p>
            <w:pPr>
              <w:pStyle w:val="TableParagraph"/>
              <w:rPr>
                <w:rFonts w:ascii="Times New Roman"/>
                <w:sz w:val="10"/>
              </w:rPr>
            </w:pPr>
          </w:p>
        </w:tc>
        <w:tc>
          <w:tcPr>
            <w:tcW w:w="332" w:type="dxa"/>
          </w:tcPr>
          <w:p>
            <w:pPr>
              <w:pStyle w:val="TableParagraph"/>
              <w:spacing w:line="151" w:lineRule="exact"/>
              <w:ind w:left="2"/>
              <w:rPr>
                <w:rFonts w:ascii="Arial"/>
                <w:sz w:val="14"/>
              </w:rPr>
            </w:pPr>
            <w:r>
              <w:rPr>
                <w:rFonts w:ascii="Arial"/>
                <w:w w:val="97"/>
                <w:sz w:val="14"/>
              </w:rPr>
              <w:t>a</w:t>
            </w:r>
          </w:p>
        </w:tc>
        <w:tc>
          <w:tcPr>
            <w:tcW w:w="536" w:type="dxa"/>
          </w:tcPr>
          <w:p>
            <w:pPr>
              <w:pStyle w:val="TableParagraph"/>
              <w:rPr>
                <w:rFonts w:ascii="Times New Roman"/>
                <w:sz w:val="10"/>
              </w:rPr>
            </w:pPr>
          </w:p>
        </w:tc>
        <w:tc>
          <w:tcPr>
            <w:tcW w:w="172" w:type="dxa"/>
          </w:tcPr>
          <w:p>
            <w:pPr>
              <w:pStyle w:val="TableParagraph"/>
              <w:rPr>
                <w:rFonts w:ascii="Times New Roman"/>
                <w:sz w:val="10"/>
              </w:rPr>
            </w:pPr>
          </w:p>
        </w:tc>
        <w:tc>
          <w:tcPr>
            <w:tcW w:w="231" w:type="dxa"/>
          </w:tcPr>
          <w:p>
            <w:pPr>
              <w:pStyle w:val="TableParagraph"/>
              <w:spacing w:line="141" w:lineRule="exact" w:before="10"/>
              <w:ind w:left="3"/>
              <w:rPr>
                <w:rFonts w:ascii="Lucida Sans"/>
                <w:sz w:val="12"/>
              </w:rPr>
            </w:pPr>
            <w:r>
              <w:rPr>
                <w:rFonts w:ascii="Lucida Sans"/>
                <w:w w:val="174"/>
                <w:sz w:val="12"/>
              </w:rPr>
              <w:t>C</w:t>
            </w:r>
          </w:p>
        </w:tc>
        <w:tc>
          <w:tcPr>
            <w:tcW w:w="320" w:type="dxa"/>
          </w:tcPr>
          <w:p>
            <w:pPr>
              <w:pStyle w:val="TableParagraph"/>
              <w:rPr>
                <w:rFonts w:ascii="Times New Roman"/>
                <w:sz w:val="10"/>
              </w:rPr>
            </w:pPr>
          </w:p>
        </w:tc>
        <w:tc>
          <w:tcPr>
            <w:tcW w:w="602" w:type="dxa"/>
          </w:tcPr>
          <w:p>
            <w:pPr>
              <w:pStyle w:val="TableParagraph"/>
              <w:rPr>
                <w:rFonts w:ascii="Times New Roman"/>
                <w:sz w:val="10"/>
              </w:rPr>
            </w:pPr>
          </w:p>
        </w:tc>
        <w:tc>
          <w:tcPr>
            <w:tcW w:w="425" w:type="dxa"/>
          </w:tcPr>
          <w:p>
            <w:pPr>
              <w:pStyle w:val="TableParagraph"/>
              <w:rPr>
                <w:rFonts w:ascii="Times New Roman"/>
                <w:sz w:val="10"/>
              </w:rPr>
            </w:pPr>
          </w:p>
        </w:tc>
        <w:tc>
          <w:tcPr>
            <w:tcW w:w="778" w:type="dxa"/>
          </w:tcPr>
          <w:p>
            <w:pPr>
              <w:pStyle w:val="TableParagraph"/>
              <w:rPr>
                <w:rFonts w:ascii="Times New Roman"/>
                <w:sz w:val="10"/>
              </w:rPr>
            </w:pPr>
          </w:p>
        </w:tc>
        <w:tc>
          <w:tcPr>
            <w:tcW w:w="697" w:type="dxa"/>
          </w:tcPr>
          <w:p>
            <w:pPr>
              <w:pStyle w:val="TableParagraph"/>
              <w:rPr>
                <w:rFonts w:ascii="Times New Roman"/>
                <w:sz w:val="10"/>
              </w:rPr>
            </w:pPr>
          </w:p>
        </w:tc>
        <w:tc>
          <w:tcPr>
            <w:tcW w:w="433" w:type="dxa"/>
          </w:tcPr>
          <w:p>
            <w:pPr>
              <w:pStyle w:val="TableParagraph"/>
              <w:rPr>
                <w:rFonts w:ascii="Times New Roman"/>
                <w:sz w:val="10"/>
              </w:rPr>
            </w:pPr>
          </w:p>
        </w:tc>
        <w:tc>
          <w:tcPr>
            <w:tcW w:w="174" w:type="dxa"/>
          </w:tcPr>
          <w:p>
            <w:pPr>
              <w:pStyle w:val="TableParagraph"/>
              <w:rPr>
                <w:rFonts w:ascii="Times New Roman"/>
                <w:sz w:val="10"/>
              </w:rPr>
            </w:pPr>
          </w:p>
        </w:tc>
        <w:tc>
          <w:tcPr>
            <w:tcW w:w="509" w:type="dxa"/>
          </w:tcPr>
          <w:p>
            <w:pPr>
              <w:pStyle w:val="TableParagraph"/>
              <w:spacing w:line="140" w:lineRule="exact" w:before="11"/>
              <w:ind w:left="-4"/>
              <w:rPr>
                <w:sz w:val="12"/>
              </w:rPr>
            </w:pPr>
            <w:r>
              <w:rPr>
                <w:sz w:val="12"/>
              </w:rPr>
              <w:t>1%</w:t>
            </w:r>
          </w:p>
        </w:tc>
        <w:tc>
          <w:tcPr>
            <w:tcW w:w="726" w:type="dxa"/>
          </w:tcPr>
          <w:p>
            <w:pPr>
              <w:pStyle w:val="TableParagraph"/>
              <w:spacing w:line="140" w:lineRule="exact" w:before="11"/>
              <w:ind w:left="81"/>
              <w:rPr>
                <w:sz w:val="12"/>
              </w:rPr>
            </w:pPr>
            <w:r>
              <w:rPr>
                <w:sz w:val="12"/>
              </w:rPr>
              <w:t>1%</w:t>
            </w:r>
          </w:p>
        </w:tc>
        <w:tc>
          <w:tcPr>
            <w:tcW w:w="1061" w:type="dxa"/>
          </w:tcPr>
          <w:p>
            <w:pPr>
              <w:pStyle w:val="TableParagraph"/>
              <w:spacing w:line="140" w:lineRule="exact" w:before="11"/>
              <w:ind w:left="242"/>
              <w:rPr>
                <w:sz w:val="12"/>
              </w:rPr>
            </w:pPr>
            <w:r>
              <w:rPr>
                <w:sz w:val="12"/>
              </w:rPr>
              <w:t>4%</w:t>
            </w:r>
          </w:p>
        </w:tc>
        <w:tc>
          <w:tcPr>
            <w:tcW w:w="1745" w:type="dxa"/>
          </w:tcPr>
          <w:p>
            <w:pPr>
              <w:pStyle w:val="TableParagraph"/>
              <w:spacing w:line="140" w:lineRule="exact" w:before="11"/>
              <w:ind w:left="541"/>
              <w:rPr>
                <w:sz w:val="12"/>
              </w:rPr>
            </w:pPr>
            <w:r>
              <w:rPr>
                <w:w w:val="110"/>
                <w:sz w:val="12"/>
              </w:rPr>
              <w:t>0.40%</w:t>
            </w:r>
          </w:p>
        </w:tc>
      </w:tr>
      <w:tr>
        <w:trPr>
          <w:trHeight w:val="206" w:hRule="atLeast"/>
        </w:trPr>
        <w:tc>
          <w:tcPr>
            <w:tcW w:w="2011" w:type="dxa"/>
            <w:tcBorders>
              <w:bottom w:val="single" w:sz="4" w:space="0" w:color="000000"/>
            </w:tcBorders>
          </w:tcPr>
          <w:p>
            <w:pPr>
              <w:pStyle w:val="TableParagraph"/>
              <w:rPr>
                <w:rFonts w:ascii="Times New Roman"/>
                <w:sz w:val="12"/>
              </w:rPr>
            </w:pPr>
          </w:p>
        </w:tc>
        <w:tc>
          <w:tcPr>
            <w:tcW w:w="973" w:type="dxa"/>
            <w:tcBorders>
              <w:bottom w:val="single" w:sz="4" w:space="0" w:color="000000"/>
            </w:tcBorders>
          </w:tcPr>
          <w:p>
            <w:pPr>
              <w:pStyle w:val="TableParagraph"/>
              <w:spacing w:before="11"/>
              <w:ind w:left="86"/>
              <w:rPr>
                <w:sz w:val="12"/>
              </w:rPr>
            </w:pPr>
            <w:r>
              <w:rPr>
                <w:w w:val="125"/>
                <w:sz w:val="12"/>
              </w:rPr>
              <w:t>268</w:t>
            </w:r>
          </w:p>
        </w:tc>
        <w:tc>
          <w:tcPr>
            <w:tcW w:w="234" w:type="dxa"/>
            <w:tcBorders>
              <w:bottom w:val="single" w:sz="4" w:space="0" w:color="000000"/>
            </w:tcBorders>
          </w:tcPr>
          <w:p>
            <w:pPr>
              <w:pStyle w:val="TableParagraph"/>
              <w:spacing w:line="156" w:lineRule="exact"/>
              <w:rPr>
                <w:rFonts w:ascii="Arial"/>
                <w:sz w:val="14"/>
              </w:rPr>
            </w:pPr>
            <w:r>
              <w:rPr>
                <w:rFonts w:ascii="Arial"/>
                <w:w w:val="97"/>
                <w:sz w:val="14"/>
              </w:rPr>
              <w:t>a</w:t>
            </w:r>
          </w:p>
        </w:tc>
        <w:tc>
          <w:tcPr>
            <w:tcW w:w="242" w:type="dxa"/>
            <w:tcBorders>
              <w:bottom w:val="single" w:sz="4" w:space="0" w:color="000000"/>
            </w:tcBorders>
          </w:tcPr>
          <w:p>
            <w:pPr>
              <w:pStyle w:val="TableParagraph"/>
              <w:rPr>
                <w:rFonts w:ascii="Times New Roman"/>
                <w:sz w:val="12"/>
              </w:rPr>
            </w:pPr>
          </w:p>
        </w:tc>
        <w:tc>
          <w:tcPr>
            <w:tcW w:w="172" w:type="dxa"/>
            <w:tcBorders>
              <w:bottom w:val="single" w:sz="4" w:space="0" w:color="000000"/>
            </w:tcBorders>
          </w:tcPr>
          <w:p>
            <w:pPr>
              <w:pStyle w:val="TableParagraph"/>
              <w:rPr>
                <w:rFonts w:ascii="Times New Roman"/>
                <w:sz w:val="12"/>
              </w:rPr>
            </w:pPr>
          </w:p>
        </w:tc>
        <w:tc>
          <w:tcPr>
            <w:tcW w:w="354" w:type="dxa"/>
            <w:tcBorders>
              <w:bottom w:val="single" w:sz="4" w:space="0" w:color="000000"/>
            </w:tcBorders>
          </w:tcPr>
          <w:p>
            <w:pPr>
              <w:pStyle w:val="TableParagraph"/>
              <w:spacing w:before="10"/>
              <w:rPr>
                <w:rFonts w:ascii="Lucida Sans"/>
                <w:sz w:val="12"/>
              </w:rPr>
            </w:pPr>
            <w:r>
              <w:rPr>
                <w:rFonts w:ascii="Lucida Sans"/>
                <w:w w:val="174"/>
                <w:sz w:val="12"/>
              </w:rPr>
              <w:t>C</w:t>
            </w:r>
          </w:p>
        </w:tc>
        <w:tc>
          <w:tcPr>
            <w:tcW w:w="602" w:type="dxa"/>
            <w:tcBorders>
              <w:bottom w:val="single" w:sz="4" w:space="0" w:color="000000"/>
            </w:tcBorders>
          </w:tcPr>
          <w:p>
            <w:pPr>
              <w:pStyle w:val="TableParagraph"/>
              <w:rPr>
                <w:rFonts w:ascii="Times New Roman"/>
                <w:sz w:val="12"/>
              </w:rPr>
            </w:pPr>
          </w:p>
        </w:tc>
        <w:tc>
          <w:tcPr>
            <w:tcW w:w="172" w:type="dxa"/>
            <w:tcBorders>
              <w:bottom w:val="single" w:sz="4" w:space="0" w:color="000000"/>
            </w:tcBorders>
          </w:tcPr>
          <w:p>
            <w:pPr>
              <w:pStyle w:val="TableParagraph"/>
              <w:rPr>
                <w:rFonts w:ascii="Times New Roman"/>
                <w:sz w:val="12"/>
              </w:rPr>
            </w:pPr>
          </w:p>
        </w:tc>
        <w:tc>
          <w:tcPr>
            <w:tcW w:w="332" w:type="dxa"/>
            <w:tcBorders>
              <w:bottom w:val="single" w:sz="4" w:space="0" w:color="000000"/>
            </w:tcBorders>
          </w:tcPr>
          <w:p>
            <w:pPr>
              <w:pStyle w:val="TableParagraph"/>
              <w:rPr>
                <w:rFonts w:ascii="Times New Roman"/>
                <w:sz w:val="12"/>
              </w:rPr>
            </w:pPr>
          </w:p>
        </w:tc>
        <w:tc>
          <w:tcPr>
            <w:tcW w:w="536" w:type="dxa"/>
            <w:tcBorders>
              <w:bottom w:val="single" w:sz="4" w:space="0" w:color="000000"/>
            </w:tcBorders>
          </w:tcPr>
          <w:p>
            <w:pPr>
              <w:pStyle w:val="TableParagraph"/>
              <w:rPr>
                <w:rFonts w:ascii="Times New Roman"/>
                <w:sz w:val="12"/>
              </w:rPr>
            </w:pPr>
          </w:p>
        </w:tc>
        <w:tc>
          <w:tcPr>
            <w:tcW w:w="172" w:type="dxa"/>
            <w:tcBorders>
              <w:bottom w:val="single" w:sz="4" w:space="0" w:color="000000"/>
            </w:tcBorders>
          </w:tcPr>
          <w:p>
            <w:pPr>
              <w:pStyle w:val="TableParagraph"/>
              <w:rPr>
                <w:rFonts w:ascii="Times New Roman"/>
                <w:sz w:val="12"/>
              </w:rPr>
            </w:pPr>
          </w:p>
        </w:tc>
        <w:tc>
          <w:tcPr>
            <w:tcW w:w="231" w:type="dxa"/>
            <w:tcBorders>
              <w:bottom w:val="single" w:sz="4" w:space="0" w:color="000000"/>
            </w:tcBorders>
          </w:tcPr>
          <w:p>
            <w:pPr>
              <w:pStyle w:val="TableParagraph"/>
              <w:rPr>
                <w:rFonts w:ascii="Times New Roman"/>
                <w:sz w:val="12"/>
              </w:rPr>
            </w:pPr>
          </w:p>
        </w:tc>
        <w:tc>
          <w:tcPr>
            <w:tcW w:w="320" w:type="dxa"/>
            <w:tcBorders>
              <w:bottom w:val="single" w:sz="4" w:space="0" w:color="000000"/>
            </w:tcBorders>
          </w:tcPr>
          <w:p>
            <w:pPr>
              <w:pStyle w:val="TableParagraph"/>
              <w:rPr>
                <w:rFonts w:ascii="Times New Roman"/>
                <w:sz w:val="12"/>
              </w:rPr>
            </w:pPr>
          </w:p>
        </w:tc>
        <w:tc>
          <w:tcPr>
            <w:tcW w:w="602" w:type="dxa"/>
            <w:tcBorders>
              <w:bottom w:val="single" w:sz="4" w:space="0" w:color="000000"/>
            </w:tcBorders>
          </w:tcPr>
          <w:p>
            <w:pPr>
              <w:pStyle w:val="TableParagraph"/>
              <w:spacing w:before="10"/>
              <w:ind w:left="89"/>
              <w:rPr>
                <w:rFonts w:ascii="Lucida Sans"/>
                <w:sz w:val="12"/>
              </w:rPr>
            </w:pPr>
            <w:r>
              <w:rPr>
                <w:rFonts w:ascii="Lucida Sans"/>
                <w:w w:val="174"/>
                <w:sz w:val="12"/>
              </w:rPr>
              <w:t>C</w:t>
            </w:r>
          </w:p>
        </w:tc>
        <w:tc>
          <w:tcPr>
            <w:tcW w:w="425" w:type="dxa"/>
            <w:tcBorders>
              <w:bottom w:val="single" w:sz="4" w:space="0" w:color="000000"/>
            </w:tcBorders>
          </w:tcPr>
          <w:p>
            <w:pPr>
              <w:pStyle w:val="TableParagraph"/>
              <w:rPr>
                <w:rFonts w:ascii="Times New Roman"/>
                <w:sz w:val="12"/>
              </w:rPr>
            </w:pPr>
          </w:p>
        </w:tc>
        <w:tc>
          <w:tcPr>
            <w:tcW w:w="778" w:type="dxa"/>
            <w:tcBorders>
              <w:bottom w:val="single" w:sz="4" w:space="0" w:color="000000"/>
            </w:tcBorders>
          </w:tcPr>
          <w:p>
            <w:pPr>
              <w:pStyle w:val="TableParagraph"/>
              <w:rPr>
                <w:rFonts w:ascii="Times New Roman"/>
                <w:sz w:val="12"/>
              </w:rPr>
            </w:pPr>
          </w:p>
        </w:tc>
        <w:tc>
          <w:tcPr>
            <w:tcW w:w="697" w:type="dxa"/>
            <w:tcBorders>
              <w:bottom w:val="single" w:sz="4" w:space="0" w:color="000000"/>
            </w:tcBorders>
          </w:tcPr>
          <w:p>
            <w:pPr>
              <w:pStyle w:val="TableParagraph"/>
              <w:rPr>
                <w:rFonts w:ascii="Times New Roman"/>
                <w:sz w:val="12"/>
              </w:rPr>
            </w:pPr>
          </w:p>
        </w:tc>
        <w:tc>
          <w:tcPr>
            <w:tcW w:w="433" w:type="dxa"/>
            <w:tcBorders>
              <w:bottom w:val="single" w:sz="4" w:space="0" w:color="000000"/>
            </w:tcBorders>
          </w:tcPr>
          <w:p>
            <w:pPr>
              <w:pStyle w:val="TableParagraph"/>
              <w:rPr>
                <w:rFonts w:ascii="Times New Roman"/>
                <w:sz w:val="12"/>
              </w:rPr>
            </w:pPr>
          </w:p>
        </w:tc>
        <w:tc>
          <w:tcPr>
            <w:tcW w:w="174" w:type="dxa"/>
            <w:tcBorders>
              <w:bottom w:val="single" w:sz="4" w:space="0" w:color="000000"/>
            </w:tcBorders>
          </w:tcPr>
          <w:p>
            <w:pPr>
              <w:pStyle w:val="TableParagraph"/>
              <w:rPr>
                <w:rFonts w:ascii="Times New Roman"/>
                <w:sz w:val="12"/>
              </w:rPr>
            </w:pPr>
          </w:p>
        </w:tc>
        <w:tc>
          <w:tcPr>
            <w:tcW w:w="509" w:type="dxa"/>
            <w:tcBorders>
              <w:bottom w:val="single" w:sz="4" w:space="0" w:color="000000"/>
            </w:tcBorders>
          </w:tcPr>
          <w:p>
            <w:pPr>
              <w:pStyle w:val="TableParagraph"/>
              <w:spacing w:before="11"/>
              <w:ind w:left="-4"/>
              <w:rPr>
                <w:sz w:val="12"/>
              </w:rPr>
            </w:pPr>
            <w:r>
              <w:rPr>
                <w:sz w:val="12"/>
              </w:rPr>
              <w:t>2%</w:t>
            </w:r>
          </w:p>
        </w:tc>
        <w:tc>
          <w:tcPr>
            <w:tcW w:w="726" w:type="dxa"/>
            <w:tcBorders>
              <w:bottom w:val="single" w:sz="4" w:space="0" w:color="000000"/>
            </w:tcBorders>
          </w:tcPr>
          <w:p>
            <w:pPr>
              <w:pStyle w:val="TableParagraph"/>
              <w:spacing w:before="11"/>
              <w:ind w:left="81"/>
              <w:rPr>
                <w:sz w:val="12"/>
              </w:rPr>
            </w:pPr>
            <w:r>
              <w:rPr>
                <w:sz w:val="12"/>
              </w:rPr>
              <w:t>4%</w:t>
            </w:r>
          </w:p>
        </w:tc>
        <w:tc>
          <w:tcPr>
            <w:tcW w:w="1061" w:type="dxa"/>
            <w:tcBorders>
              <w:bottom w:val="single" w:sz="4" w:space="0" w:color="000000"/>
            </w:tcBorders>
          </w:tcPr>
          <w:p>
            <w:pPr>
              <w:pStyle w:val="TableParagraph"/>
              <w:spacing w:before="11"/>
              <w:ind w:left="166"/>
              <w:rPr>
                <w:sz w:val="12"/>
              </w:rPr>
            </w:pPr>
            <w:r>
              <w:rPr>
                <w:w w:val="105"/>
                <w:sz w:val="12"/>
              </w:rPr>
              <w:t>15%</w:t>
            </w:r>
          </w:p>
        </w:tc>
        <w:tc>
          <w:tcPr>
            <w:tcW w:w="1745" w:type="dxa"/>
            <w:tcBorders>
              <w:bottom w:val="single" w:sz="4" w:space="0" w:color="000000"/>
            </w:tcBorders>
          </w:tcPr>
          <w:p>
            <w:pPr>
              <w:pStyle w:val="TableParagraph"/>
              <w:spacing w:before="11"/>
              <w:ind w:left="460"/>
              <w:rPr>
                <w:sz w:val="12"/>
              </w:rPr>
            </w:pPr>
            <w:r>
              <w:rPr>
                <w:sz w:val="12"/>
              </w:rPr>
              <w:t>1%</w:t>
            </w:r>
          </w:p>
        </w:tc>
      </w:tr>
    </w:tbl>
    <w:p>
      <w:pPr>
        <w:spacing w:line="271" w:lineRule="auto" w:before="37"/>
        <w:ind w:left="511" w:right="0" w:firstLine="0"/>
        <w:jc w:val="left"/>
        <w:rPr>
          <w:sz w:val="12"/>
        </w:rPr>
      </w:pPr>
      <w:r>
        <w:rPr/>
        <w:pict>
          <v:shape style="position:absolute;margin-left:738.346069pt;margin-top:-36.577789pt;width:9.65pt;height:167.95pt;mso-position-horizontal-relative:page;mso-position-vertical-relative:paragraph;z-index:251729920"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rFonts w:ascii="Arial"/>
          <w:w w:val="110"/>
          <w:sz w:val="14"/>
        </w:rPr>
        <w:t>a</w:t>
      </w:r>
      <w:r>
        <w:rPr>
          <w:w w:val="110"/>
          <w:sz w:val="12"/>
        </w:rPr>
        <w:t>, assumption; A, Aquacel; BS, barbed sutures; D, Dermabond; I, Insorb; L, Liquiband; NR, not reported; O, Opsite; SS, Steri-strips; SSI, surgical site infection; SwS, SwiftSet; T, Tegaderm; TS, traditional sutures; TSA, topical skin adhesive; V, Vicryl.</w:t>
      </w:r>
    </w:p>
    <w:p>
      <w:pPr>
        <w:spacing w:line="153" w:lineRule="exact" w:before="0"/>
        <w:ind w:left="629" w:right="0" w:firstLine="0"/>
        <w:jc w:val="left"/>
        <w:rPr>
          <w:sz w:val="12"/>
        </w:rPr>
      </w:pPr>
      <w:r>
        <w:rPr>
          <w:w w:val="115"/>
          <w:position w:val="6"/>
          <w:sz w:val="9"/>
        </w:rPr>
        <w:t>a</w:t>
      </w:r>
      <w:r>
        <w:rPr>
          <w:spacing w:val="12"/>
          <w:w w:val="115"/>
          <w:position w:val="6"/>
          <w:sz w:val="9"/>
        </w:rPr>
        <w:t> </w:t>
      </w:r>
      <w:r>
        <w:rPr>
          <w:w w:val="115"/>
          <w:sz w:val="12"/>
        </w:rPr>
        <w:t>Khan,</w:t>
      </w:r>
      <w:r>
        <w:rPr>
          <w:spacing w:val="-9"/>
          <w:w w:val="115"/>
          <w:sz w:val="12"/>
        </w:rPr>
        <w:t> </w:t>
      </w:r>
      <w:r>
        <w:rPr>
          <w:w w:val="115"/>
          <w:sz w:val="12"/>
        </w:rPr>
        <w:t>2006</w:t>
      </w:r>
      <w:r>
        <w:rPr>
          <w:spacing w:val="-8"/>
          <w:w w:val="115"/>
          <w:sz w:val="12"/>
        </w:rPr>
        <w:t> </w:t>
      </w:r>
      <w:r>
        <w:rPr>
          <w:w w:val="115"/>
          <w:sz w:val="12"/>
        </w:rPr>
        <w:t>rates</w:t>
      </w:r>
      <w:r>
        <w:rPr>
          <w:spacing w:val="-9"/>
          <w:w w:val="115"/>
          <w:sz w:val="12"/>
        </w:rPr>
        <w:t> </w:t>
      </w:r>
      <w:r>
        <w:rPr>
          <w:w w:val="115"/>
          <w:sz w:val="12"/>
        </w:rPr>
        <w:t>presented</w:t>
      </w:r>
      <w:r>
        <w:rPr>
          <w:spacing w:val="-8"/>
          <w:w w:val="115"/>
          <w:sz w:val="12"/>
        </w:rPr>
        <w:t> </w:t>
      </w:r>
      <w:r>
        <w:rPr>
          <w:w w:val="115"/>
          <w:sz w:val="12"/>
        </w:rPr>
        <w:t>re</w:t>
      </w:r>
      <w:r>
        <w:rPr>
          <w:rFonts w:ascii="Times New Roman" w:hAnsi="Times New Roman"/>
          <w:w w:val="115"/>
          <w:sz w:val="12"/>
        </w:rPr>
        <w:t>ﬂ</w:t>
      </w:r>
      <w:r>
        <w:rPr>
          <w:w w:val="115"/>
          <w:sz w:val="12"/>
        </w:rPr>
        <w:t>ect</w:t>
      </w:r>
      <w:r>
        <w:rPr>
          <w:spacing w:val="-8"/>
          <w:w w:val="115"/>
          <w:sz w:val="12"/>
        </w:rPr>
        <w:t> </w:t>
      </w:r>
      <w:r>
        <w:rPr>
          <w:w w:val="115"/>
          <w:sz w:val="12"/>
        </w:rPr>
        <w:t>culture</w:t>
      </w:r>
      <w:r>
        <w:rPr>
          <w:spacing w:val="-8"/>
          <w:w w:val="115"/>
          <w:sz w:val="12"/>
        </w:rPr>
        <w:t> </w:t>
      </w:r>
      <w:r>
        <w:rPr>
          <w:w w:val="115"/>
          <w:sz w:val="12"/>
        </w:rPr>
        <w:t>positive</w:t>
      </w:r>
      <w:r>
        <w:rPr>
          <w:spacing w:val="-8"/>
          <w:w w:val="115"/>
          <w:sz w:val="12"/>
        </w:rPr>
        <w:t> </w:t>
      </w:r>
      <w:r>
        <w:rPr>
          <w:w w:val="115"/>
          <w:sz w:val="12"/>
        </w:rPr>
        <w:t>wounds</w:t>
      </w:r>
      <w:r>
        <w:rPr>
          <w:spacing w:val="-9"/>
          <w:w w:val="115"/>
          <w:sz w:val="12"/>
        </w:rPr>
        <w:t> </w:t>
      </w:r>
      <w:r>
        <w:rPr>
          <w:w w:val="115"/>
          <w:sz w:val="12"/>
        </w:rPr>
        <w:t>after</w:t>
      </w:r>
      <w:r>
        <w:rPr>
          <w:spacing w:val="-8"/>
          <w:w w:val="115"/>
          <w:sz w:val="12"/>
        </w:rPr>
        <w:t> </w:t>
      </w:r>
      <w:r>
        <w:rPr>
          <w:w w:val="115"/>
          <w:sz w:val="12"/>
        </w:rPr>
        <w:t>patients</w:t>
      </w:r>
      <w:r>
        <w:rPr>
          <w:spacing w:val="-8"/>
          <w:w w:val="115"/>
          <w:sz w:val="12"/>
        </w:rPr>
        <w:t> </w:t>
      </w:r>
      <w:r>
        <w:rPr>
          <w:w w:val="115"/>
          <w:sz w:val="12"/>
        </w:rPr>
        <w:t>were</w:t>
      </w:r>
      <w:r>
        <w:rPr>
          <w:spacing w:val="-8"/>
          <w:w w:val="115"/>
          <w:sz w:val="12"/>
        </w:rPr>
        <w:t> </w:t>
      </w:r>
      <w:r>
        <w:rPr>
          <w:w w:val="115"/>
          <w:sz w:val="12"/>
        </w:rPr>
        <w:t>discharged</w:t>
      </w:r>
      <w:r>
        <w:rPr>
          <w:spacing w:val="-10"/>
          <w:w w:val="115"/>
          <w:sz w:val="12"/>
        </w:rPr>
        <w:t> </w:t>
      </w:r>
      <w:r>
        <w:rPr>
          <w:w w:val="115"/>
          <w:sz w:val="12"/>
        </w:rPr>
        <w:t>as</w:t>
      </w:r>
      <w:r>
        <w:rPr>
          <w:spacing w:val="-8"/>
          <w:w w:val="115"/>
          <w:sz w:val="12"/>
        </w:rPr>
        <w:t> </w:t>
      </w:r>
      <w:r>
        <w:rPr>
          <w:w w:val="115"/>
          <w:sz w:val="12"/>
        </w:rPr>
        <w:t>they</w:t>
      </w:r>
      <w:r>
        <w:rPr>
          <w:spacing w:val="-8"/>
          <w:w w:val="115"/>
          <w:sz w:val="12"/>
        </w:rPr>
        <w:t> </w:t>
      </w:r>
      <w:r>
        <w:rPr>
          <w:w w:val="115"/>
          <w:sz w:val="12"/>
        </w:rPr>
        <w:t>were</w:t>
      </w:r>
      <w:r>
        <w:rPr>
          <w:spacing w:val="-8"/>
          <w:w w:val="115"/>
          <w:sz w:val="12"/>
        </w:rPr>
        <w:t> </w:t>
      </w:r>
      <w:r>
        <w:rPr>
          <w:w w:val="115"/>
          <w:sz w:val="12"/>
        </w:rPr>
        <w:t>treated</w:t>
      </w:r>
      <w:r>
        <w:rPr>
          <w:spacing w:val="-9"/>
          <w:w w:val="115"/>
          <w:sz w:val="12"/>
        </w:rPr>
        <w:t> </w:t>
      </w:r>
      <w:r>
        <w:rPr>
          <w:w w:val="115"/>
          <w:sz w:val="12"/>
        </w:rPr>
        <w:t>with</w:t>
      </w:r>
      <w:r>
        <w:rPr>
          <w:spacing w:val="-8"/>
          <w:w w:val="115"/>
          <w:sz w:val="12"/>
        </w:rPr>
        <w:t> </w:t>
      </w:r>
      <w:r>
        <w:rPr>
          <w:w w:val="115"/>
          <w:sz w:val="12"/>
        </w:rPr>
        <w:t>a</w:t>
      </w:r>
      <w:r>
        <w:rPr>
          <w:spacing w:val="-9"/>
          <w:w w:val="115"/>
          <w:sz w:val="12"/>
        </w:rPr>
        <w:t> </w:t>
      </w:r>
      <w:r>
        <w:rPr>
          <w:w w:val="115"/>
          <w:sz w:val="12"/>
        </w:rPr>
        <w:t>course</w:t>
      </w:r>
      <w:r>
        <w:rPr>
          <w:spacing w:val="-8"/>
          <w:w w:val="115"/>
          <w:sz w:val="12"/>
        </w:rPr>
        <w:t> </w:t>
      </w:r>
      <w:r>
        <w:rPr>
          <w:w w:val="115"/>
          <w:sz w:val="12"/>
        </w:rPr>
        <w:t>of</w:t>
      </w:r>
      <w:r>
        <w:rPr>
          <w:spacing w:val="-8"/>
          <w:w w:val="115"/>
          <w:sz w:val="12"/>
        </w:rPr>
        <w:t> </w:t>
      </w:r>
      <w:r>
        <w:rPr>
          <w:w w:val="115"/>
          <w:sz w:val="12"/>
        </w:rPr>
        <w:t>antibiotics.</w:t>
      </w:r>
      <w:r>
        <w:rPr>
          <w:spacing w:val="-8"/>
          <w:w w:val="115"/>
          <w:sz w:val="12"/>
        </w:rPr>
        <w:t> </w:t>
      </w:r>
      <w:r>
        <w:rPr>
          <w:w w:val="115"/>
          <w:sz w:val="12"/>
        </w:rPr>
        <w:t>However,</w:t>
      </w:r>
      <w:r>
        <w:rPr>
          <w:spacing w:val="-7"/>
          <w:w w:val="115"/>
          <w:sz w:val="12"/>
        </w:rPr>
        <w:t> </w:t>
      </w:r>
      <w:r>
        <w:rPr>
          <w:w w:val="115"/>
          <w:sz w:val="12"/>
        </w:rPr>
        <w:t>in</w:t>
      </w:r>
      <w:r>
        <w:rPr>
          <w:spacing w:val="-9"/>
          <w:w w:val="115"/>
          <w:sz w:val="12"/>
        </w:rPr>
        <w:t> </w:t>
      </w:r>
      <w:r>
        <w:rPr>
          <w:w w:val="115"/>
          <w:sz w:val="12"/>
        </w:rPr>
        <w:t>the</w:t>
      </w:r>
      <w:r>
        <w:rPr>
          <w:spacing w:val="-9"/>
          <w:w w:val="115"/>
          <w:sz w:val="12"/>
        </w:rPr>
        <w:t> </w:t>
      </w:r>
      <w:r>
        <w:rPr>
          <w:w w:val="115"/>
          <w:sz w:val="12"/>
        </w:rPr>
        <w:t>results</w:t>
      </w:r>
      <w:r>
        <w:rPr>
          <w:spacing w:val="-9"/>
          <w:w w:val="115"/>
          <w:sz w:val="12"/>
        </w:rPr>
        <w:t> </w:t>
      </w:r>
      <w:r>
        <w:rPr>
          <w:w w:val="115"/>
          <w:sz w:val="12"/>
        </w:rPr>
        <w:t>it</w:t>
      </w:r>
      <w:r>
        <w:rPr>
          <w:spacing w:val="-8"/>
          <w:w w:val="115"/>
          <w:sz w:val="12"/>
        </w:rPr>
        <w:t> </w:t>
      </w:r>
      <w:r>
        <w:rPr>
          <w:w w:val="115"/>
          <w:sz w:val="12"/>
        </w:rPr>
        <w:t>was</w:t>
      </w:r>
      <w:r>
        <w:rPr>
          <w:spacing w:val="-9"/>
          <w:w w:val="115"/>
          <w:sz w:val="12"/>
        </w:rPr>
        <w:t> </w:t>
      </w:r>
      <w:r>
        <w:rPr>
          <w:w w:val="115"/>
          <w:sz w:val="12"/>
        </w:rPr>
        <w:t>noted</w:t>
      </w:r>
      <w:r>
        <w:rPr>
          <w:spacing w:val="-9"/>
          <w:w w:val="115"/>
          <w:sz w:val="12"/>
        </w:rPr>
        <w:t> </w:t>
      </w:r>
      <w:r>
        <w:rPr>
          <w:w w:val="115"/>
          <w:sz w:val="12"/>
        </w:rPr>
        <w:t>one</w:t>
      </w:r>
      <w:r>
        <w:rPr>
          <w:spacing w:val="-8"/>
          <w:w w:val="115"/>
          <w:sz w:val="12"/>
        </w:rPr>
        <w:t> </w:t>
      </w:r>
      <w:r>
        <w:rPr>
          <w:w w:val="115"/>
          <w:sz w:val="12"/>
        </w:rPr>
        <w:t>patient</w:t>
      </w:r>
      <w:r>
        <w:rPr>
          <w:spacing w:val="-8"/>
          <w:w w:val="115"/>
          <w:sz w:val="12"/>
        </w:rPr>
        <w:t> </w:t>
      </w:r>
      <w:r>
        <w:rPr>
          <w:w w:val="115"/>
          <w:sz w:val="12"/>
        </w:rPr>
        <w:t>with</w:t>
      </w:r>
      <w:r>
        <w:rPr>
          <w:spacing w:val="-8"/>
          <w:w w:val="115"/>
          <w:sz w:val="12"/>
        </w:rPr>
        <w:t> </w:t>
      </w:r>
      <w:r>
        <w:rPr>
          <w:w w:val="115"/>
          <w:sz w:val="12"/>
        </w:rPr>
        <w:t>OCA</w:t>
      </w:r>
      <w:r>
        <w:rPr>
          <w:spacing w:val="-10"/>
          <w:w w:val="115"/>
          <w:sz w:val="12"/>
        </w:rPr>
        <w:t> </w:t>
      </w:r>
      <w:r>
        <w:rPr>
          <w:w w:val="115"/>
          <w:sz w:val="12"/>
        </w:rPr>
        <w:t>had</w:t>
      </w:r>
      <w:r>
        <w:rPr>
          <w:spacing w:val="-8"/>
          <w:w w:val="115"/>
          <w:sz w:val="12"/>
        </w:rPr>
        <w:t> </w:t>
      </w:r>
      <w:r>
        <w:rPr>
          <w:w w:val="115"/>
          <w:sz w:val="12"/>
        </w:rPr>
        <w:t>a</w:t>
      </w:r>
      <w:r>
        <w:rPr>
          <w:spacing w:val="-9"/>
          <w:w w:val="115"/>
          <w:sz w:val="12"/>
        </w:rPr>
        <w:t> </w:t>
      </w:r>
      <w:r>
        <w:rPr>
          <w:w w:val="115"/>
          <w:sz w:val="12"/>
        </w:rPr>
        <w:t>super</w:t>
      </w:r>
      <w:r>
        <w:rPr>
          <w:rFonts w:ascii="Times New Roman" w:hAnsi="Times New Roman"/>
          <w:w w:val="115"/>
          <w:sz w:val="12"/>
        </w:rPr>
        <w:t>ﬁ</w:t>
      </w:r>
      <w:r>
        <w:rPr>
          <w:w w:val="115"/>
          <w:sz w:val="12"/>
        </w:rPr>
        <w:t>cial</w:t>
      </w:r>
      <w:r>
        <w:rPr>
          <w:spacing w:val="-7"/>
          <w:w w:val="115"/>
          <w:sz w:val="12"/>
        </w:rPr>
        <w:t> </w:t>
      </w:r>
      <w:r>
        <w:rPr>
          <w:w w:val="115"/>
          <w:sz w:val="12"/>
        </w:rPr>
        <w:t>wound</w:t>
      </w:r>
    </w:p>
    <w:p>
      <w:pPr>
        <w:spacing w:line="276" w:lineRule="auto" w:before="24"/>
        <w:ind w:left="511" w:right="0" w:firstLine="0"/>
        <w:jc w:val="left"/>
        <w:rPr>
          <w:sz w:val="12"/>
        </w:rPr>
      </w:pPr>
      <w:r>
        <w:rPr>
          <w:w w:val="115"/>
          <w:sz w:val="12"/>
        </w:rPr>
        <w:t>infection</w:t>
      </w:r>
      <w:r>
        <w:rPr>
          <w:spacing w:val="-13"/>
          <w:w w:val="115"/>
          <w:sz w:val="12"/>
        </w:rPr>
        <w:t> </w:t>
      </w:r>
      <w:r>
        <w:rPr>
          <w:w w:val="115"/>
          <w:sz w:val="12"/>
        </w:rPr>
        <w:t>requiring</w:t>
      </w:r>
      <w:r>
        <w:rPr>
          <w:spacing w:val="-14"/>
          <w:w w:val="115"/>
          <w:sz w:val="12"/>
        </w:rPr>
        <w:t> </w:t>
      </w:r>
      <w:r>
        <w:rPr>
          <w:w w:val="115"/>
          <w:sz w:val="12"/>
        </w:rPr>
        <w:t>debridement.</w:t>
      </w:r>
      <w:r>
        <w:rPr>
          <w:spacing w:val="-13"/>
          <w:w w:val="115"/>
          <w:sz w:val="12"/>
        </w:rPr>
        <w:t> </w:t>
      </w:r>
      <w:r>
        <w:rPr>
          <w:w w:val="115"/>
          <w:sz w:val="12"/>
        </w:rPr>
        <w:t>No</w:t>
      </w:r>
      <w:r>
        <w:rPr>
          <w:spacing w:val="-13"/>
          <w:w w:val="115"/>
          <w:sz w:val="12"/>
        </w:rPr>
        <w:t> </w:t>
      </w:r>
      <w:r>
        <w:rPr>
          <w:w w:val="115"/>
          <w:sz w:val="12"/>
        </w:rPr>
        <w:t>cases</w:t>
      </w:r>
      <w:r>
        <w:rPr>
          <w:spacing w:val="-13"/>
          <w:w w:val="115"/>
          <w:sz w:val="12"/>
        </w:rPr>
        <w:t> </w:t>
      </w:r>
      <w:r>
        <w:rPr>
          <w:w w:val="115"/>
          <w:sz w:val="12"/>
        </w:rPr>
        <w:t>of</w:t>
      </w:r>
      <w:r>
        <w:rPr>
          <w:spacing w:val="-13"/>
          <w:w w:val="115"/>
          <w:sz w:val="12"/>
        </w:rPr>
        <w:t> </w:t>
      </w:r>
      <w:r>
        <w:rPr>
          <w:w w:val="115"/>
          <w:sz w:val="12"/>
        </w:rPr>
        <w:t>deep</w:t>
      </w:r>
      <w:r>
        <w:rPr>
          <w:spacing w:val="-14"/>
          <w:w w:val="115"/>
          <w:sz w:val="12"/>
        </w:rPr>
        <w:t> </w:t>
      </w:r>
      <w:r>
        <w:rPr>
          <w:w w:val="115"/>
          <w:sz w:val="12"/>
        </w:rPr>
        <w:t>infection</w:t>
      </w:r>
      <w:r>
        <w:rPr>
          <w:spacing w:val="-13"/>
          <w:w w:val="115"/>
          <w:sz w:val="12"/>
        </w:rPr>
        <w:t> </w:t>
      </w:r>
      <w:r>
        <w:rPr>
          <w:w w:val="115"/>
          <w:sz w:val="12"/>
        </w:rPr>
        <w:t>were</w:t>
      </w:r>
      <w:r>
        <w:rPr>
          <w:spacing w:val="-13"/>
          <w:w w:val="115"/>
          <w:sz w:val="12"/>
        </w:rPr>
        <w:t> </w:t>
      </w:r>
      <w:r>
        <w:rPr>
          <w:w w:val="115"/>
          <w:sz w:val="12"/>
        </w:rPr>
        <w:t>speci</w:t>
      </w:r>
      <w:r>
        <w:rPr>
          <w:rFonts w:ascii="Times New Roman" w:hAnsi="Times New Roman"/>
          <w:w w:val="115"/>
          <w:sz w:val="12"/>
        </w:rPr>
        <w:t>ﬁ</w:t>
      </w:r>
      <w:r>
        <w:rPr>
          <w:w w:val="115"/>
          <w:sz w:val="12"/>
        </w:rPr>
        <w:t>cally</w:t>
      </w:r>
      <w:r>
        <w:rPr>
          <w:spacing w:val="-13"/>
          <w:w w:val="115"/>
          <w:sz w:val="12"/>
        </w:rPr>
        <w:t> </w:t>
      </w:r>
      <w:r>
        <w:rPr>
          <w:w w:val="115"/>
          <w:sz w:val="12"/>
        </w:rPr>
        <w:t>noted.</w:t>
      </w:r>
      <w:r>
        <w:rPr>
          <w:spacing w:val="-13"/>
          <w:w w:val="115"/>
          <w:sz w:val="12"/>
        </w:rPr>
        <w:t> </w:t>
      </w:r>
      <w:r>
        <w:rPr>
          <w:w w:val="115"/>
          <w:sz w:val="12"/>
        </w:rPr>
        <w:t>For</w:t>
      </w:r>
      <w:r>
        <w:rPr>
          <w:spacing w:val="-13"/>
          <w:w w:val="115"/>
          <w:sz w:val="12"/>
        </w:rPr>
        <w:t> </w:t>
      </w:r>
      <w:r>
        <w:rPr>
          <w:w w:val="115"/>
          <w:sz w:val="12"/>
        </w:rPr>
        <w:t>the</w:t>
      </w:r>
      <w:r>
        <w:rPr>
          <w:spacing w:val="-14"/>
          <w:w w:val="115"/>
          <w:sz w:val="12"/>
        </w:rPr>
        <w:t> </w:t>
      </w:r>
      <w:r>
        <w:rPr>
          <w:w w:val="115"/>
          <w:sz w:val="12"/>
        </w:rPr>
        <w:t>TSA</w:t>
      </w:r>
      <w:r>
        <w:rPr>
          <w:spacing w:val="-12"/>
          <w:w w:val="115"/>
          <w:sz w:val="12"/>
        </w:rPr>
        <w:t> </w:t>
      </w:r>
      <w:r>
        <w:rPr>
          <w:w w:val="115"/>
          <w:sz w:val="12"/>
        </w:rPr>
        <w:t>arm,</w:t>
      </w:r>
      <w:r>
        <w:rPr>
          <w:spacing w:val="-14"/>
          <w:w w:val="115"/>
          <w:sz w:val="12"/>
        </w:rPr>
        <w:t> </w:t>
      </w:r>
      <w:r>
        <w:rPr>
          <w:w w:val="115"/>
          <w:sz w:val="12"/>
        </w:rPr>
        <w:t>it</w:t>
      </w:r>
      <w:r>
        <w:rPr>
          <w:spacing w:val="-13"/>
          <w:w w:val="115"/>
          <w:sz w:val="12"/>
        </w:rPr>
        <w:t> </w:t>
      </w:r>
      <w:r>
        <w:rPr>
          <w:w w:val="115"/>
          <w:sz w:val="12"/>
        </w:rPr>
        <w:t>was</w:t>
      </w:r>
      <w:r>
        <w:rPr>
          <w:spacing w:val="-13"/>
          <w:w w:val="115"/>
          <w:sz w:val="12"/>
        </w:rPr>
        <w:t> </w:t>
      </w:r>
      <w:r>
        <w:rPr>
          <w:w w:val="115"/>
          <w:sz w:val="12"/>
        </w:rPr>
        <w:t>assumed</w:t>
      </w:r>
      <w:r>
        <w:rPr>
          <w:spacing w:val="-14"/>
          <w:w w:val="115"/>
          <w:sz w:val="12"/>
        </w:rPr>
        <w:t> </w:t>
      </w:r>
      <w:r>
        <w:rPr>
          <w:w w:val="115"/>
          <w:sz w:val="12"/>
        </w:rPr>
        <w:t>that</w:t>
      </w:r>
      <w:r>
        <w:rPr>
          <w:spacing w:val="-13"/>
          <w:w w:val="115"/>
          <w:sz w:val="12"/>
        </w:rPr>
        <w:t> </w:t>
      </w:r>
      <w:r>
        <w:rPr>
          <w:w w:val="115"/>
          <w:sz w:val="12"/>
        </w:rPr>
        <w:t>no</w:t>
      </w:r>
      <w:r>
        <w:rPr>
          <w:spacing w:val="-14"/>
          <w:w w:val="115"/>
          <w:sz w:val="12"/>
        </w:rPr>
        <w:t> </w:t>
      </w:r>
      <w:r>
        <w:rPr>
          <w:w w:val="115"/>
          <w:sz w:val="12"/>
        </w:rPr>
        <w:t>sutures</w:t>
      </w:r>
      <w:r>
        <w:rPr>
          <w:spacing w:val="-13"/>
          <w:w w:val="115"/>
          <w:sz w:val="12"/>
        </w:rPr>
        <w:t> </w:t>
      </w:r>
      <w:r>
        <w:rPr>
          <w:w w:val="115"/>
          <w:sz w:val="12"/>
        </w:rPr>
        <w:t>were</w:t>
      </w:r>
      <w:r>
        <w:rPr>
          <w:spacing w:val="-13"/>
          <w:w w:val="115"/>
          <w:sz w:val="12"/>
        </w:rPr>
        <w:t> </w:t>
      </w:r>
      <w:r>
        <w:rPr>
          <w:w w:val="115"/>
          <w:sz w:val="12"/>
        </w:rPr>
        <w:t>used</w:t>
      </w:r>
      <w:r>
        <w:rPr>
          <w:spacing w:val="-13"/>
          <w:w w:val="115"/>
          <w:sz w:val="12"/>
        </w:rPr>
        <w:t> </w:t>
      </w:r>
      <w:r>
        <w:rPr>
          <w:w w:val="115"/>
          <w:sz w:val="12"/>
        </w:rPr>
        <w:t>on</w:t>
      </w:r>
      <w:r>
        <w:rPr>
          <w:spacing w:val="-13"/>
          <w:w w:val="115"/>
          <w:sz w:val="12"/>
        </w:rPr>
        <w:t> </w:t>
      </w:r>
      <w:r>
        <w:rPr>
          <w:w w:val="115"/>
          <w:sz w:val="12"/>
        </w:rPr>
        <w:t>the</w:t>
      </w:r>
      <w:r>
        <w:rPr>
          <w:spacing w:val="-14"/>
          <w:w w:val="115"/>
          <w:sz w:val="12"/>
        </w:rPr>
        <w:t> </w:t>
      </w:r>
      <w:r>
        <w:rPr>
          <w:w w:val="115"/>
          <w:sz w:val="12"/>
        </w:rPr>
        <w:t>subcuticular</w:t>
      </w:r>
      <w:r>
        <w:rPr>
          <w:spacing w:val="-12"/>
          <w:w w:val="115"/>
          <w:sz w:val="12"/>
        </w:rPr>
        <w:t> </w:t>
      </w:r>
      <w:r>
        <w:rPr>
          <w:w w:val="115"/>
          <w:sz w:val="12"/>
        </w:rPr>
        <w:t>layer</w:t>
      </w:r>
      <w:r>
        <w:rPr>
          <w:spacing w:val="-14"/>
          <w:w w:val="115"/>
          <w:sz w:val="12"/>
        </w:rPr>
        <w:t> </w:t>
      </w:r>
      <w:r>
        <w:rPr>
          <w:w w:val="115"/>
          <w:sz w:val="12"/>
        </w:rPr>
        <w:t>since</w:t>
      </w:r>
      <w:r>
        <w:rPr>
          <w:spacing w:val="-13"/>
          <w:w w:val="115"/>
          <w:sz w:val="12"/>
        </w:rPr>
        <w:t> </w:t>
      </w:r>
      <w:r>
        <w:rPr>
          <w:w w:val="115"/>
          <w:sz w:val="12"/>
        </w:rPr>
        <w:t>2</w:t>
      </w:r>
      <w:r>
        <w:rPr>
          <w:spacing w:val="-13"/>
          <w:w w:val="115"/>
          <w:sz w:val="12"/>
        </w:rPr>
        <w:t> </w:t>
      </w:r>
      <w:r>
        <w:rPr>
          <w:w w:val="115"/>
          <w:sz w:val="12"/>
        </w:rPr>
        <w:t>layers</w:t>
      </w:r>
      <w:r>
        <w:rPr>
          <w:spacing w:val="-13"/>
          <w:w w:val="115"/>
          <w:sz w:val="12"/>
        </w:rPr>
        <w:t> </w:t>
      </w:r>
      <w:r>
        <w:rPr>
          <w:w w:val="115"/>
          <w:sz w:val="12"/>
        </w:rPr>
        <w:t>of</w:t>
      </w:r>
      <w:r>
        <w:rPr>
          <w:spacing w:val="-14"/>
          <w:w w:val="115"/>
          <w:sz w:val="12"/>
        </w:rPr>
        <w:t> </w:t>
      </w:r>
      <w:r>
        <w:rPr>
          <w:w w:val="115"/>
          <w:sz w:val="12"/>
        </w:rPr>
        <w:t>Dermabond</w:t>
      </w:r>
      <w:r>
        <w:rPr>
          <w:spacing w:val="-13"/>
          <w:w w:val="115"/>
          <w:sz w:val="12"/>
        </w:rPr>
        <w:t> </w:t>
      </w:r>
      <w:r>
        <w:rPr>
          <w:w w:val="115"/>
          <w:sz w:val="12"/>
        </w:rPr>
        <w:t>were</w:t>
      </w:r>
      <w:r>
        <w:rPr>
          <w:spacing w:val="-13"/>
          <w:w w:val="115"/>
          <w:sz w:val="12"/>
        </w:rPr>
        <w:t> </w:t>
      </w:r>
      <w:r>
        <w:rPr>
          <w:w w:val="115"/>
          <w:sz w:val="12"/>
        </w:rPr>
        <w:t>used.</w:t>
      </w:r>
      <w:r>
        <w:rPr>
          <w:spacing w:val="-14"/>
          <w:w w:val="115"/>
          <w:sz w:val="12"/>
        </w:rPr>
        <w:t> </w:t>
      </w:r>
      <w:r>
        <w:rPr>
          <w:w w:val="115"/>
          <w:sz w:val="12"/>
        </w:rPr>
        <w:t>For</w:t>
      </w:r>
      <w:r>
        <w:rPr>
          <w:spacing w:val="-13"/>
          <w:w w:val="115"/>
          <w:sz w:val="12"/>
        </w:rPr>
        <w:t> </w:t>
      </w:r>
      <w:r>
        <w:rPr>
          <w:w w:val="115"/>
          <w:sz w:val="12"/>
        </w:rPr>
        <w:t>the</w:t>
      </w:r>
      <w:r>
        <w:rPr>
          <w:spacing w:val="-13"/>
          <w:w w:val="115"/>
          <w:sz w:val="12"/>
        </w:rPr>
        <w:t> </w:t>
      </w:r>
      <w:r>
        <w:rPr>
          <w:w w:val="115"/>
          <w:sz w:val="12"/>
        </w:rPr>
        <w:t>traditional sutures</w:t>
      </w:r>
      <w:r>
        <w:rPr>
          <w:spacing w:val="6"/>
          <w:w w:val="115"/>
          <w:sz w:val="12"/>
        </w:rPr>
        <w:t> </w:t>
      </w:r>
      <w:r>
        <w:rPr>
          <w:w w:val="115"/>
          <w:sz w:val="12"/>
        </w:rPr>
        <w:t>arm,</w:t>
      </w:r>
      <w:r>
        <w:rPr>
          <w:spacing w:val="4"/>
          <w:w w:val="115"/>
          <w:sz w:val="12"/>
        </w:rPr>
        <w:t> </w:t>
      </w:r>
      <w:r>
        <w:rPr>
          <w:w w:val="115"/>
          <w:sz w:val="12"/>
        </w:rPr>
        <w:t>3.0</w:t>
      </w:r>
      <w:r>
        <w:rPr>
          <w:spacing w:val="5"/>
          <w:w w:val="115"/>
          <w:sz w:val="12"/>
        </w:rPr>
        <w:t> </w:t>
      </w:r>
      <w:r>
        <w:rPr>
          <w:w w:val="115"/>
          <w:sz w:val="12"/>
        </w:rPr>
        <w:t>Monocryl</w:t>
      </w:r>
      <w:r>
        <w:rPr>
          <w:spacing w:val="5"/>
          <w:w w:val="115"/>
          <w:sz w:val="12"/>
        </w:rPr>
        <w:t> </w:t>
      </w:r>
      <w:r>
        <w:rPr>
          <w:w w:val="115"/>
          <w:sz w:val="12"/>
        </w:rPr>
        <w:t>was</w:t>
      </w:r>
      <w:r>
        <w:rPr>
          <w:spacing w:val="5"/>
          <w:w w:val="115"/>
          <w:sz w:val="12"/>
        </w:rPr>
        <w:t> </w:t>
      </w:r>
      <w:r>
        <w:rPr>
          <w:w w:val="115"/>
          <w:sz w:val="12"/>
        </w:rPr>
        <w:t>used</w:t>
      </w:r>
      <w:r>
        <w:rPr>
          <w:spacing w:val="3"/>
          <w:w w:val="115"/>
          <w:sz w:val="12"/>
        </w:rPr>
        <w:t> </w:t>
      </w:r>
      <w:r>
        <w:rPr>
          <w:w w:val="115"/>
          <w:sz w:val="12"/>
        </w:rPr>
        <w:t>for</w:t>
      </w:r>
      <w:r>
        <w:rPr>
          <w:spacing w:val="6"/>
          <w:w w:val="115"/>
          <w:sz w:val="12"/>
        </w:rPr>
        <w:t> </w:t>
      </w:r>
      <w:r>
        <w:rPr>
          <w:w w:val="115"/>
          <w:sz w:val="12"/>
        </w:rPr>
        <w:t>"subarticular"</w:t>
      </w:r>
      <w:r>
        <w:rPr>
          <w:spacing w:val="4"/>
          <w:w w:val="115"/>
          <w:sz w:val="12"/>
        </w:rPr>
        <w:t> </w:t>
      </w:r>
      <w:r>
        <w:rPr>
          <w:w w:val="115"/>
          <w:sz w:val="12"/>
        </w:rPr>
        <w:t>closure</w:t>
      </w:r>
      <w:r>
        <w:rPr>
          <w:spacing w:val="5"/>
          <w:w w:val="115"/>
          <w:sz w:val="12"/>
        </w:rPr>
        <w:t> </w:t>
      </w:r>
      <w:r>
        <w:rPr>
          <w:w w:val="115"/>
          <w:sz w:val="12"/>
        </w:rPr>
        <w:t>and</w:t>
      </w:r>
      <w:r>
        <w:rPr>
          <w:spacing w:val="5"/>
          <w:w w:val="115"/>
          <w:sz w:val="12"/>
        </w:rPr>
        <w:t> </w:t>
      </w:r>
      <w:r>
        <w:rPr>
          <w:w w:val="115"/>
          <w:sz w:val="12"/>
        </w:rPr>
        <w:t>super</w:t>
      </w:r>
      <w:r>
        <w:rPr>
          <w:rFonts w:ascii="Times New Roman" w:hAnsi="Times New Roman"/>
          <w:w w:val="115"/>
          <w:sz w:val="12"/>
        </w:rPr>
        <w:t>ﬁ</w:t>
      </w:r>
      <w:r>
        <w:rPr>
          <w:w w:val="115"/>
          <w:sz w:val="12"/>
        </w:rPr>
        <w:t>cial</w:t>
      </w:r>
      <w:r>
        <w:rPr>
          <w:spacing w:val="5"/>
          <w:w w:val="115"/>
          <w:sz w:val="12"/>
        </w:rPr>
        <w:t> </w:t>
      </w:r>
      <w:r>
        <w:rPr>
          <w:w w:val="115"/>
          <w:sz w:val="12"/>
        </w:rPr>
        <w:t>closure</w:t>
      </w:r>
      <w:r>
        <w:rPr>
          <w:spacing w:val="4"/>
          <w:w w:val="115"/>
          <w:sz w:val="12"/>
        </w:rPr>
        <w:t> </w:t>
      </w:r>
      <w:r>
        <w:rPr>
          <w:w w:val="115"/>
          <w:sz w:val="12"/>
        </w:rPr>
        <w:t>was</w:t>
      </w:r>
      <w:r>
        <w:rPr>
          <w:spacing w:val="6"/>
          <w:w w:val="115"/>
          <w:sz w:val="12"/>
        </w:rPr>
        <w:t> </w:t>
      </w:r>
      <w:r>
        <w:rPr>
          <w:w w:val="115"/>
          <w:sz w:val="12"/>
        </w:rPr>
        <w:t>not</w:t>
      </w:r>
      <w:r>
        <w:rPr>
          <w:spacing w:val="4"/>
          <w:w w:val="115"/>
          <w:sz w:val="12"/>
        </w:rPr>
        <w:t> </w:t>
      </w:r>
      <w:r>
        <w:rPr>
          <w:w w:val="115"/>
          <w:sz w:val="12"/>
        </w:rPr>
        <w:t>mentioned.</w:t>
      </w:r>
    </w:p>
    <w:p>
      <w:pPr>
        <w:spacing w:line="144" w:lineRule="exact" w:before="0"/>
        <w:ind w:left="622" w:right="0" w:firstLine="0"/>
        <w:jc w:val="left"/>
        <w:rPr>
          <w:sz w:val="12"/>
        </w:rPr>
      </w:pPr>
      <w:r>
        <w:rPr>
          <w:w w:val="115"/>
          <w:position w:val="6"/>
          <w:sz w:val="9"/>
        </w:rPr>
        <w:t>b </w:t>
      </w:r>
      <w:r>
        <w:rPr>
          <w:w w:val="115"/>
          <w:sz w:val="12"/>
        </w:rPr>
        <w:t>Khurana, 2008 assumed that stitch technique for subcuticular would close the skin as well.</w:t>
      </w:r>
    </w:p>
    <w:p>
      <w:pPr>
        <w:spacing w:line="171" w:lineRule="exact" w:before="0"/>
        <w:ind w:left="633" w:right="0" w:firstLine="0"/>
        <w:jc w:val="left"/>
        <w:rPr>
          <w:sz w:val="12"/>
        </w:rPr>
      </w:pPr>
      <w:r>
        <w:rPr>
          <w:w w:val="115"/>
          <w:position w:val="6"/>
          <w:sz w:val="9"/>
        </w:rPr>
        <w:t>c </w:t>
      </w:r>
      <w:r>
        <w:rPr>
          <w:w w:val="115"/>
          <w:sz w:val="12"/>
        </w:rPr>
        <w:t>Livesey, 2009 for the TSA arm assumed that the two-step Liquiband adhesive process would not be used with skin sutures.</w:t>
      </w:r>
    </w:p>
    <w:p>
      <w:pPr>
        <w:spacing w:line="171" w:lineRule="exact" w:before="0"/>
        <w:ind w:left="620" w:right="0" w:firstLine="0"/>
        <w:jc w:val="left"/>
        <w:rPr>
          <w:sz w:val="12"/>
        </w:rPr>
      </w:pPr>
      <w:r>
        <w:rPr>
          <w:w w:val="115"/>
          <w:position w:val="6"/>
          <w:sz w:val="9"/>
        </w:rPr>
        <w:t>d </w:t>
      </w:r>
      <w:r>
        <w:rPr>
          <w:w w:val="115"/>
          <w:sz w:val="12"/>
        </w:rPr>
        <w:t>Fisher, 2010 used 2-week follow-up value for prolonged drainage rates.</w:t>
      </w:r>
    </w:p>
    <w:p>
      <w:pPr>
        <w:spacing w:line="171" w:lineRule="exact" w:before="0"/>
        <w:ind w:left="628" w:right="0" w:firstLine="0"/>
        <w:jc w:val="left"/>
        <w:rPr>
          <w:sz w:val="12"/>
        </w:rPr>
      </w:pPr>
      <w:r>
        <w:rPr>
          <w:w w:val="115"/>
          <w:position w:val="6"/>
          <w:sz w:val="9"/>
        </w:rPr>
        <w:t>e </w:t>
      </w:r>
      <w:r>
        <w:rPr>
          <w:w w:val="115"/>
          <w:sz w:val="12"/>
        </w:rPr>
        <w:t>Miller, 2010 assumed that stitch technique for subcuticular would close the skin as well.</w:t>
      </w:r>
    </w:p>
    <w:p>
      <w:pPr>
        <w:spacing w:line="172" w:lineRule="exact" w:before="0"/>
        <w:ind w:left="647" w:right="0" w:firstLine="0"/>
        <w:jc w:val="left"/>
        <w:rPr>
          <w:sz w:val="12"/>
        </w:rPr>
      </w:pPr>
      <w:r>
        <w:rPr>
          <w:w w:val="115"/>
          <w:position w:val="6"/>
          <w:sz w:val="9"/>
        </w:rPr>
        <w:t>f </w:t>
      </w:r>
      <w:r>
        <w:rPr>
          <w:w w:val="115"/>
          <w:sz w:val="12"/>
        </w:rPr>
        <w:t>Buttaro, 2015 the more super</w:t>
      </w:r>
      <w:r>
        <w:rPr>
          <w:rFonts w:ascii="Times New Roman" w:hAnsi="Times New Roman"/>
          <w:w w:val="115"/>
          <w:sz w:val="12"/>
        </w:rPr>
        <w:t>ﬁ</w:t>
      </w:r>
      <w:r>
        <w:rPr>
          <w:w w:val="115"/>
          <w:sz w:val="12"/>
        </w:rPr>
        <w:t>cial layer closed with intradermal polypropylene and assumed that intradermal continuous technique would close the skin as well.</w:t>
      </w:r>
    </w:p>
    <w:p>
      <w:pPr>
        <w:spacing w:line="172" w:lineRule="exact" w:before="0"/>
        <w:ind w:left="626" w:right="0" w:firstLine="0"/>
        <w:jc w:val="left"/>
        <w:rPr>
          <w:sz w:val="12"/>
        </w:rPr>
      </w:pPr>
      <w:r>
        <w:rPr>
          <w:w w:val="110"/>
          <w:position w:val="6"/>
          <w:sz w:val="9"/>
        </w:rPr>
        <w:t>g </w:t>
      </w:r>
      <w:r>
        <w:rPr>
          <w:w w:val="110"/>
          <w:sz w:val="12"/>
        </w:rPr>
        <w:t>Glennie, 2017 for the TSA arm used uninterrupted subcuticular Monocryl for the dermal/epidermal layer.</w:t>
      </w:r>
    </w:p>
    <w:p>
      <w:pPr>
        <w:spacing w:line="176" w:lineRule="exact" w:before="0"/>
        <w:ind w:left="619" w:right="0" w:firstLine="0"/>
        <w:jc w:val="left"/>
        <w:rPr>
          <w:sz w:val="12"/>
        </w:rPr>
      </w:pPr>
      <w:r>
        <w:rPr>
          <w:w w:val="115"/>
          <w:position w:val="6"/>
          <w:sz w:val="9"/>
        </w:rPr>
        <w:t>h </w:t>
      </w:r>
      <w:r>
        <w:rPr>
          <w:w w:val="115"/>
          <w:sz w:val="12"/>
        </w:rPr>
        <w:t>Rui, 2018 for the traditional suture arm running stitch was used for subcuticular closure and assumed that the stitch technique would close the skin as well.</w:t>
      </w:r>
    </w:p>
    <w:p>
      <w:pPr>
        <w:spacing w:after="0" w:line="176" w:lineRule="exact"/>
        <w:jc w:val="left"/>
        <w:rPr>
          <w:sz w:val="12"/>
        </w:rPr>
        <w:sectPr>
          <w:headerReference w:type="default" r:id="rId107"/>
          <w:footerReference w:type="default" r:id="rId108"/>
          <w:pgSz w:w="15880" w:h="11910" w:orient="landscape"/>
          <w:pgMar w:header="0" w:footer="0" w:top="0" w:bottom="0" w:left="520" w:right="1100"/>
        </w:sectPr>
      </w:pPr>
    </w:p>
    <w:p>
      <w:pPr>
        <w:pStyle w:val="BodyText"/>
        <w:rPr>
          <w:sz w:val="20"/>
        </w:rPr>
      </w:pPr>
      <w:r>
        <w:rPr/>
        <w:pict>
          <v:group style="position:absolute;margin-left:767.619019pt;margin-top:32.816002pt;width:15.6pt;height:520.0500pt;mso-position-horizontal-relative:page;mso-position-vertical-relative:page;z-index:251734016" coordorigin="15352,656" coordsize="312,10401">
            <v:rect style="position:absolute;left:15352;top:656;width:312;height:10401" filled="true" fillcolor="#c1c3c5" stroked="false">
              <v:fill type="solid"/>
            </v:rect>
            <v:shape style="position:absolute;left:15408;top:4308;width:211;height:2589" coordorigin="15409,4308" coordsize="211,2589" path="m15475,6773l15475,6732,15454,6736,15433,6748,15416,6774,15409,6818,15410,6838,15419,6864,15438,6887,15443,6888,15443,6815,15446,6793,15455,6780,15465,6774,15475,6773xm15619,6813l15613,6773,15597,6750,15577,6738,15558,6736,15531,6741,15514,6755,15505,6776,15499,6799,15494,6821,15490,6835,15485,6847,15479,6854,15469,6857,15456,6853,15448,6843,15444,6830,15443,6815,15443,6888,15474,6897,15497,6893,15512,6881,15522,6864,15528,6845,15540,6796,15542,6787,15545,6775,15561,6775,15572,6778,15579,6786,15583,6797,15585,6809,15585,6881,15596,6874,15613,6851,15619,6813xm15585,6881l15585,6809,15581,6831,15573,6843,15563,6849,15554,6850,15554,6891,15575,6887,15585,6881xm15475,6587l15475,6547,15454,6550,15433,6562,15416,6588,15409,6632,15410,6652,15419,6678,15438,6701,15443,6703,15443,6629,15446,6607,15455,6594,15465,6588,15475,6587xm15619,6627l15613,6587,15597,6564,15577,6553,15558,6550,15531,6555,15514,6569,15505,6590,15499,6613,15494,6635,15490,6649,15485,6661,15479,6668,15469,6671,15456,6667,15448,6658,15444,6644,15443,6629,15443,6703,15474,6711,15497,6707,15512,6695,15522,6679,15528,6659,15540,6610,15542,6602,15545,6589,15561,6589,15572,6592,15579,6600,15583,6611,15585,6624,15585,6695,15596,6689,15613,6665,15619,6627xm15585,6695l15585,6624,15581,6645,15573,6657,15563,6663,15554,6665,15554,6705,15575,6701,15585,6695xm15614,6518l15614,6371,15414,6371,15414,6523,15449,6523,15449,6412,15501,6412,15501,6510,15536,6510,15536,6412,15578,6412,15578,6518,15614,6518xm15614,6272l15614,6171,15414,6171,15414,6212,15492,6212,15492,6324,15495,6323,15504,6315,15510,6304,15517,6317,15526,6325,15526,6212,15579,6212,15579,6330,15592,6324,15607,6304,15614,6272xm15492,6324l15492,6255,15490,6273,15483,6283,15472,6287,15454,6288,15440,6288,15430,6289,15421,6290,15414,6292,15414,6339,15419,6339,15422,6333,15429,6331,15440,6330,15459,6330,15481,6328,15492,6324xm15579,6330l15579,6289,15564,6293,15553,6293,15540,6291,15532,6285,15527,6275,15526,6261,15526,6325,15528,6327,15541,6333,15557,6335,15573,6333,15579,6330xm15614,6077l15614,5985,15414,5985,15414,6027,15486,6027,15486,6075,15493,6108,15511,6127,15520,6131,15520,6027,15579,6027,15579,6133,15597,6122,15609,6103,15614,6077xm15579,6133l15579,6060,15578,6077,15573,6088,15564,6095,15552,6097,15543,6097,15533,6093,15524,6084,15520,6066,15520,6131,15532,6136,15550,6139,15576,6135,15579,6133xm15614,5734l15614,5690,15414,5690,15414,5729,15556,5729,15556,5767,15614,5734xm15556,5767l15556,5730,15414,5811,15414,5853,15474,5853,15474,5814,15556,5767xm15614,5853l15614,5814,15474,5814,15474,5853,15614,5853xm15614,5655l15614,5613,15414,5613,15414,5655,15614,5655xm15614,5484l15614,5337,15414,5337,15414,5489,15449,5489,15449,5378,15501,5378,15501,5476,15536,5476,15536,5378,15578,5378,15578,5484,15614,5484xm15614,5210l15614,5169,15414,5169,15414,5310,15450,5310,15450,5210,15614,5210xm15619,5051l15613,5015,15593,4986,15560,4967,15513,4959,15468,4966,15435,4985,15415,5014,15409,5051,15414,5085,15429,5110,15445,5122,15445,5052,15450,5029,15465,5014,15487,5005,15513,5002,15548,5007,15569,5019,15580,5036,15583,5052,15583,5124,15595,5116,15612,5090,15619,5051xm15482,5138l15482,5096,15466,5090,15454,5081,15447,5068,15445,5052,15445,5122,15452,5128,15482,5138xm15583,5124l15583,5052,15579,5073,15570,5086,15559,5093,15548,5096,15548,5138,15572,5132,15583,5124xm15614,4932l15614,4890,15414,4890,15414,4932,15614,4932xm15578,4810l15578,4768,15414,4768,15414,4810,15578,4810xm15614,4870l15614,4707,15578,4707,15578,4870,15614,4870xm15614,4626l15614,4524,15414,4524,15414,4565,15492,4565,15492,4678,15495,4676,15504,4669,15510,4658,15517,4671,15526,4679,15526,4565,15579,4565,15579,4683,15592,4677,15607,4658,15614,4626xm15492,4678l15492,4609,15490,4627,15483,4636,15472,4640,15454,4641,15440,4641,15430,4642,15421,4644,15414,4646,15414,4692,15419,4692,15422,4687,15429,4684,15440,4683,15459,4683,15481,4681,15492,4678xm15579,4683l15579,4642,15564,4647,15553,4647,15540,4645,15532,4639,15527,4629,15526,4614,15526,4679,15528,4681,15541,4687,15557,4689,15573,4686,15579,4683xm15614,4428l15614,4380,15414,4308,15414,4352,15455,4366,15455,4484,15489,4472,15489,4378,15569,4403,15569,4444,15614,4428xm15455,4484l15455,4440,15414,4453,15414,4499,15455,4484xm15569,4444l15569,4404,15489,4429,15489,4472,15569,4444xe" filled="true" fillcolor="#ffffff" stroked="false">
              <v:path arrowok="t"/>
              <v:fill type="solid"/>
            </v:shape>
            <w10:wrap type="none"/>
          </v:group>
        </w:pict>
      </w:r>
      <w:r>
        <w:rPr/>
        <w:pict>
          <v:shape style="position:absolute;margin-left:2.48584pt;margin-top:118.893997pt;width:16.8pt;height:357.5pt;mso-position-horizontal-relative:page;mso-position-vertical-relative:page;z-index:251737088" type="#_x0000_t202" filled="false" stroked="false">
            <v:textbox inset="0,0,0,0" style="layout-flow:vertical">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p>
      <w:pPr>
        <w:pStyle w:val="BodyText"/>
        <w:spacing w:before="8"/>
        <w:rPr>
          <w:sz w:val="21"/>
        </w:rPr>
      </w:pPr>
    </w:p>
    <w:p>
      <w:pPr>
        <w:spacing w:before="111"/>
        <w:ind w:left="511" w:right="0" w:firstLine="0"/>
        <w:jc w:val="left"/>
        <w:rPr>
          <w:sz w:val="12"/>
        </w:rPr>
      </w:pPr>
      <w:r>
        <w:rPr/>
        <w:pict>
          <v:shape style="position:absolute;margin-left:738.212219pt;margin-top:5.662565pt;width:9.85pt;height:17.350pt;mso-position-horizontal-relative:page;mso-position-vertical-relative:paragraph;z-index:251735040" type="#_x0000_t202" filled="false" stroked="false">
            <v:textbox inset="0,0,0,0" style="layout-flow:vertical">
              <w:txbxContent>
                <w:p>
                  <w:pPr>
                    <w:spacing w:before="29"/>
                    <w:ind w:left="20" w:right="0" w:firstLine="0"/>
                    <w:jc w:val="left"/>
                    <w:rPr>
                      <w:sz w:val="12"/>
                    </w:rPr>
                  </w:pPr>
                  <w:r>
                    <w:rPr>
                      <w:w w:val="115"/>
                      <w:sz w:val="12"/>
                    </w:rPr>
                    <w:t>10.e6</w:t>
                  </w:r>
                </w:p>
              </w:txbxContent>
            </v:textbox>
            <w10:wrap type="none"/>
          </v:shape>
        </w:pict>
      </w:r>
      <w:bookmarkStart w:name="_bookmark111" w:id="147"/>
      <w:bookmarkEnd w:id="147"/>
      <w:r>
        <w:rPr/>
      </w:r>
      <w:bookmarkStart w:name="_bookmark110" w:id="148"/>
      <w:bookmarkEnd w:id="148"/>
      <w:r>
        <w:rPr/>
      </w:r>
      <w:bookmarkStart w:name="_bookmark109" w:id="149"/>
      <w:bookmarkEnd w:id="149"/>
      <w:r>
        <w:rPr/>
      </w:r>
      <w:bookmarkStart w:name="_bookmark108" w:id="150"/>
      <w:bookmarkEnd w:id="150"/>
      <w:r>
        <w:rPr/>
      </w:r>
      <w:bookmarkStart w:name="_bookmark107" w:id="151"/>
      <w:bookmarkEnd w:id="151"/>
      <w:r>
        <w:rPr/>
      </w:r>
      <w:r>
        <w:rPr>
          <w:w w:val="120"/>
          <w:sz w:val="12"/>
        </w:rPr>
        <w:t>Supplement Table 5</w:t>
      </w:r>
    </w:p>
    <w:p>
      <w:pPr>
        <w:spacing w:before="23"/>
        <w:ind w:left="511" w:right="0" w:firstLine="0"/>
        <w:jc w:val="left"/>
        <w:rPr>
          <w:sz w:val="12"/>
        </w:rPr>
      </w:pPr>
      <w:r>
        <w:rPr/>
        <w:pict>
          <v:shape style="position:absolute;margin-left:51.591pt;margin-top:12.100509pt;width:674.65pt;height:.1pt;mso-position-horizontal-relative:page;mso-position-vertical-relative:paragraph;z-index:-251583488;mso-wrap-distance-left:0;mso-wrap-distance-right:0" coordorigin="1032,242" coordsize="13493,0" path="m1032,242l14525,242e" filled="false" stroked="true" strokeweight=".51pt" strokecolor="#000000">
            <v:path arrowok="t"/>
            <v:stroke dashstyle="solid"/>
            <w10:wrap type="topAndBottom"/>
          </v:shape>
        </w:pict>
      </w:r>
      <w:r>
        <w:rPr>
          <w:w w:val="115"/>
          <w:sz w:val="12"/>
        </w:rPr>
        <w:t>Summary study details for wound closure methods by tissue layer in mixed knee and hip arthroplasty.</w:t>
      </w:r>
    </w:p>
    <w:p>
      <w:pPr>
        <w:tabs>
          <w:tab w:pos="2763" w:val="left" w:leader="none"/>
          <w:tab w:pos="4340" w:val="left" w:leader="none"/>
          <w:tab w:pos="5460" w:val="left" w:leader="none"/>
          <w:tab w:pos="6492" w:val="left" w:leader="none"/>
          <w:tab w:pos="10091" w:val="left" w:leader="none"/>
          <w:tab w:pos="11376" w:val="left" w:leader="none"/>
        </w:tabs>
        <w:spacing w:before="28" w:after="51"/>
        <w:ind w:left="632" w:right="0" w:firstLine="0"/>
        <w:jc w:val="left"/>
        <w:rPr>
          <w:sz w:val="12"/>
        </w:rPr>
      </w:pPr>
      <w:r>
        <w:rPr>
          <w:w w:val="110"/>
          <w:sz w:val="12"/>
        </w:rPr>
        <w:t>Study</w:t>
        <w:tab/>
        <w:t>Sample</w:t>
      </w:r>
      <w:r>
        <w:rPr>
          <w:spacing w:val="8"/>
          <w:w w:val="110"/>
          <w:sz w:val="12"/>
        </w:rPr>
        <w:t> </w:t>
      </w:r>
      <w:r>
        <w:rPr>
          <w:w w:val="110"/>
          <w:sz w:val="12"/>
        </w:rPr>
        <w:t>size    </w:t>
      </w:r>
      <w:r>
        <w:rPr>
          <w:spacing w:val="15"/>
          <w:w w:val="110"/>
          <w:sz w:val="12"/>
        </w:rPr>
        <w:t> </w:t>
      </w:r>
      <w:r>
        <w:rPr>
          <w:w w:val="110"/>
          <w:sz w:val="12"/>
        </w:rPr>
        <w:t>Fascia</w:t>
        <w:tab/>
        <w:t>Subcutaneous</w:t>
        <w:tab/>
        <w:t>Subcuticular</w:t>
        <w:tab/>
        <w:t>Skin</w:t>
        <w:tab/>
        <w:t>SSI</w:t>
        <w:tab/>
        <w:t>Prolonged drainage Wound</w:t>
      </w:r>
      <w:r>
        <w:rPr>
          <w:spacing w:val="6"/>
          <w:w w:val="110"/>
          <w:sz w:val="12"/>
        </w:rPr>
        <w:t> </w:t>
      </w:r>
      <w:r>
        <w:rPr>
          <w:w w:val="110"/>
          <w:sz w:val="12"/>
        </w:rPr>
        <w:t>dehiscence</w:t>
      </w:r>
    </w:p>
    <w:tbl>
      <w:tblPr>
        <w:tblW w:w="0" w:type="auto"/>
        <w:jc w:val="left"/>
        <w:tblInd w:w="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68"/>
        <w:gridCol w:w="968"/>
        <w:gridCol w:w="295"/>
        <w:gridCol w:w="233"/>
        <w:gridCol w:w="169"/>
        <w:gridCol w:w="402"/>
        <w:gridCol w:w="553"/>
        <w:gridCol w:w="169"/>
        <w:gridCol w:w="330"/>
        <w:gridCol w:w="537"/>
        <w:gridCol w:w="170"/>
        <w:gridCol w:w="229"/>
        <w:gridCol w:w="319"/>
        <w:gridCol w:w="600"/>
        <w:gridCol w:w="400"/>
        <w:gridCol w:w="776"/>
        <w:gridCol w:w="695"/>
        <w:gridCol w:w="432"/>
        <w:gridCol w:w="566"/>
        <w:gridCol w:w="725"/>
        <w:gridCol w:w="978"/>
        <w:gridCol w:w="1823"/>
      </w:tblGrid>
      <w:tr>
        <w:trPr>
          <w:trHeight w:val="248" w:hRule="atLeast"/>
        </w:trPr>
        <w:tc>
          <w:tcPr>
            <w:tcW w:w="3136" w:type="dxa"/>
            <w:gridSpan w:val="2"/>
            <w:tcBorders>
              <w:bottom w:val="single" w:sz="6" w:space="0" w:color="000000"/>
            </w:tcBorders>
          </w:tcPr>
          <w:p>
            <w:pPr>
              <w:pStyle w:val="TableParagraph"/>
              <w:rPr>
                <w:rFonts w:ascii="Times New Roman"/>
                <w:sz w:val="12"/>
              </w:rPr>
            </w:pPr>
          </w:p>
        </w:tc>
        <w:tc>
          <w:tcPr>
            <w:tcW w:w="295" w:type="dxa"/>
            <w:tcBorders>
              <w:top w:val="single" w:sz="6" w:space="0" w:color="000000"/>
              <w:bottom w:val="single" w:sz="6" w:space="0" w:color="000000"/>
            </w:tcBorders>
          </w:tcPr>
          <w:p>
            <w:pPr>
              <w:pStyle w:val="TableParagraph"/>
              <w:spacing w:before="56"/>
              <w:ind w:left="-1"/>
              <w:rPr>
                <w:sz w:val="12"/>
              </w:rPr>
            </w:pPr>
            <w:r>
              <w:rPr>
                <w:w w:val="105"/>
                <w:sz w:val="12"/>
              </w:rPr>
              <w:t>TS</w:t>
            </w:r>
          </w:p>
        </w:tc>
        <w:tc>
          <w:tcPr>
            <w:tcW w:w="233" w:type="dxa"/>
            <w:tcBorders>
              <w:top w:val="single" w:sz="6" w:space="0" w:color="000000"/>
              <w:bottom w:val="single" w:sz="6" w:space="0" w:color="000000"/>
            </w:tcBorders>
          </w:tcPr>
          <w:p>
            <w:pPr>
              <w:pStyle w:val="TableParagraph"/>
              <w:spacing w:before="56"/>
              <w:ind w:left="82"/>
              <w:rPr>
                <w:sz w:val="12"/>
              </w:rPr>
            </w:pPr>
            <w:r>
              <w:rPr>
                <w:w w:val="105"/>
                <w:sz w:val="12"/>
              </w:rPr>
              <w:t>BS</w:t>
            </w:r>
          </w:p>
        </w:tc>
        <w:tc>
          <w:tcPr>
            <w:tcW w:w="169" w:type="dxa"/>
            <w:tcBorders>
              <w:bottom w:val="single" w:sz="6" w:space="0" w:color="000000"/>
            </w:tcBorders>
          </w:tcPr>
          <w:p>
            <w:pPr>
              <w:pStyle w:val="TableParagraph"/>
              <w:rPr>
                <w:rFonts w:ascii="Times New Roman"/>
                <w:sz w:val="12"/>
              </w:rPr>
            </w:pPr>
          </w:p>
        </w:tc>
        <w:tc>
          <w:tcPr>
            <w:tcW w:w="402" w:type="dxa"/>
            <w:tcBorders>
              <w:top w:val="single" w:sz="6" w:space="0" w:color="000000"/>
              <w:bottom w:val="single" w:sz="6" w:space="0" w:color="000000"/>
            </w:tcBorders>
          </w:tcPr>
          <w:p>
            <w:pPr>
              <w:pStyle w:val="TableParagraph"/>
              <w:spacing w:before="56"/>
              <w:ind w:left="-4"/>
              <w:rPr>
                <w:sz w:val="12"/>
              </w:rPr>
            </w:pPr>
            <w:r>
              <w:rPr>
                <w:w w:val="105"/>
                <w:sz w:val="12"/>
              </w:rPr>
              <w:t>TS</w:t>
            </w:r>
          </w:p>
        </w:tc>
        <w:tc>
          <w:tcPr>
            <w:tcW w:w="553" w:type="dxa"/>
            <w:tcBorders>
              <w:top w:val="single" w:sz="6" w:space="0" w:color="000000"/>
              <w:bottom w:val="single" w:sz="6" w:space="0" w:color="000000"/>
            </w:tcBorders>
          </w:tcPr>
          <w:p>
            <w:pPr>
              <w:pStyle w:val="TableParagraph"/>
              <w:spacing w:before="56"/>
              <w:ind w:left="185"/>
              <w:rPr>
                <w:sz w:val="12"/>
              </w:rPr>
            </w:pPr>
            <w:r>
              <w:rPr>
                <w:w w:val="110"/>
                <w:sz w:val="12"/>
              </w:rPr>
              <w:t>BS</w:t>
            </w:r>
          </w:p>
        </w:tc>
        <w:tc>
          <w:tcPr>
            <w:tcW w:w="169" w:type="dxa"/>
            <w:tcBorders>
              <w:bottom w:val="single" w:sz="6" w:space="0" w:color="000000"/>
            </w:tcBorders>
          </w:tcPr>
          <w:p>
            <w:pPr>
              <w:pStyle w:val="TableParagraph"/>
              <w:rPr>
                <w:rFonts w:ascii="Times New Roman"/>
                <w:sz w:val="12"/>
              </w:rPr>
            </w:pPr>
          </w:p>
        </w:tc>
        <w:tc>
          <w:tcPr>
            <w:tcW w:w="330" w:type="dxa"/>
            <w:tcBorders>
              <w:top w:val="single" w:sz="6" w:space="0" w:color="000000"/>
              <w:bottom w:val="single" w:sz="6" w:space="0" w:color="000000"/>
            </w:tcBorders>
          </w:tcPr>
          <w:p>
            <w:pPr>
              <w:pStyle w:val="TableParagraph"/>
              <w:spacing w:before="56"/>
              <w:ind w:left="-8"/>
              <w:rPr>
                <w:sz w:val="12"/>
              </w:rPr>
            </w:pPr>
            <w:r>
              <w:rPr>
                <w:w w:val="105"/>
                <w:sz w:val="12"/>
              </w:rPr>
              <w:t>TS</w:t>
            </w:r>
          </w:p>
        </w:tc>
        <w:tc>
          <w:tcPr>
            <w:tcW w:w="537" w:type="dxa"/>
            <w:tcBorders>
              <w:top w:val="single" w:sz="6" w:space="0" w:color="000000"/>
              <w:bottom w:val="single" w:sz="6" w:space="0" w:color="000000"/>
            </w:tcBorders>
          </w:tcPr>
          <w:p>
            <w:pPr>
              <w:pStyle w:val="TableParagraph"/>
              <w:spacing w:before="56"/>
              <w:ind w:left="174"/>
              <w:rPr>
                <w:sz w:val="12"/>
              </w:rPr>
            </w:pPr>
            <w:r>
              <w:rPr>
                <w:w w:val="110"/>
                <w:sz w:val="12"/>
              </w:rPr>
              <w:t>BS</w:t>
            </w:r>
          </w:p>
        </w:tc>
        <w:tc>
          <w:tcPr>
            <w:tcW w:w="170" w:type="dxa"/>
            <w:tcBorders>
              <w:bottom w:val="single" w:sz="6" w:space="0" w:color="000000"/>
            </w:tcBorders>
          </w:tcPr>
          <w:p>
            <w:pPr>
              <w:pStyle w:val="TableParagraph"/>
              <w:rPr>
                <w:rFonts w:ascii="Times New Roman"/>
                <w:sz w:val="12"/>
              </w:rPr>
            </w:pPr>
          </w:p>
        </w:tc>
        <w:tc>
          <w:tcPr>
            <w:tcW w:w="229" w:type="dxa"/>
            <w:tcBorders>
              <w:top w:val="single" w:sz="6" w:space="0" w:color="000000"/>
              <w:bottom w:val="single" w:sz="6" w:space="0" w:color="000000"/>
            </w:tcBorders>
          </w:tcPr>
          <w:p>
            <w:pPr>
              <w:pStyle w:val="TableParagraph"/>
              <w:spacing w:before="56"/>
              <w:ind w:left="-13"/>
              <w:rPr>
                <w:sz w:val="12"/>
              </w:rPr>
            </w:pPr>
            <w:r>
              <w:rPr>
                <w:w w:val="105"/>
                <w:sz w:val="12"/>
              </w:rPr>
              <w:t>TS</w:t>
            </w:r>
          </w:p>
        </w:tc>
        <w:tc>
          <w:tcPr>
            <w:tcW w:w="319" w:type="dxa"/>
            <w:tcBorders>
              <w:top w:val="single" w:sz="6" w:space="0" w:color="000000"/>
              <w:bottom w:val="single" w:sz="6" w:space="0" w:color="000000"/>
            </w:tcBorders>
          </w:tcPr>
          <w:p>
            <w:pPr>
              <w:pStyle w:val="TableParagraph"/>
              <w:spacing w:before="56"/>
              <w:ind w:left="68"/>
              <w:rPr>
                <w:sz w:val="12"/>
              </w:rPr>
            </w:pPr>
            <w:r>
              <w:rPr>
                <w:w w:val="110"/>
                <w:sz w:val="12"/>
              </w:rPr>
              <w:t>BS</w:t>
            </w:r>
          </w:p>
        </w:tc>
        <w:tc>
          <w:tcPr>
            <w:tcW w:w="600" w:type="dxa"/>
            <w:tcBorders>
              <w:top w:val="single" w:sz="6" w:space="0" w:color="000000"/>
              <w:bottom w:val="single" w:sz="6" w:space="0" w:color="000000"/>
            </w:tcBorders>
          </w:tcPr>
          <w:p>
            <w:pPr>
              <w:pStyle w:val="TableParagraph"/>
              <w:spacing w:before="56"/>
              <w:ind w:left="66"/>
              <w:rPr>
                <w:sz w:val="12"/>
              </w:rPr>
            </w:pPr>
            <w:r>
              <w:rPr>
                <w:w w:val="115"/>
                <w:sz w:val="12"/>
              </w:rPr>
              <w:t>Staples</w:t>
            </w:r>
          </w:p>
        </w:tc>
        <w:tc>
          <w:tcPr>
            <w:tcW w:w="400" w:type="dxa"/>
            <w:tcBorders>
              <w:top w:val="single" w:sz="6" w:space="0" w:color="000000"/>
              <w:bottom w:val="single" w:sz="6" w:space="0" w:color="000000"/>
            </w:tcBorders>
          </w:tcPr>
          <w:p>
            <w:pPr>
              <w:pStyle w:val="TableParagraph"/>
              <w:spacing w:before="56"/>
              <w:ind w:left="44" w:right="85"/>
              <w:jc w:val="center"/>
              <w:rPr>
                <w:sz w:val="12"/>
              </w:rPr>
            </w:pPr>
            <w:r>
              <w:rPr>
                <w:sz w:val="12"/>
              </w:rPr>
              <w:t>TSA</w:t>
            </w:r>
          </w:p>
        </w:tc>
        <w:tc>
          <w:tcPr>
            <w:tcW w:w="776" w:type="dxa"/>
            <w:tcBorders>
              <w:top w:val="single" w:sz="6" w:space="0" w:color="000000"/>
              <w:bottom w:val="single" w:sz="6" w:space="0" w:color="000000"/>
            </w:tcBorders>
          </w:tcPr>
          <w:p>
            <w:pPr>
              <w:pStyle w:val="TableParagraph"/>
              <w:spacing w:before="56"/>
              <w:ind w:left="60"/>
              <w:rPr>
                <w:sz w:val="12"/>
              </w:rPr>
            </w:pPr>
            <w:r>
              <w:rPr>
                <w:sz w:val="12"/>
              </w:rPr>
              <w:t>TSA/Mesh</w:t>
            </w:r>
          </w:p>
        </w:tc>
        <w:tc>
          <w:tcPr>
            <w:tcW w:w="695" w:type="dxa"/>
            <w:tcBorders>
              <w:top w:val="single" w:sz="6" w:space="0" w:color="000000"/>
              <w:bottom w:val="single" w:sz="6" w:space="0" w:color="000000"/>
            </w:tcBorders>
          </w:tcPr>
          <w:p>
            <w:pPr>
              <w:pStyle w:val="TableParagraph"/>
              <w:spacing w:before="56"/>
              <w:ind w:left="57"/>
              <w:rPr>
                <w:sz w:val="12"/>
              </w:rPr>
            </w:pPr>
            <w:r>
              <w:rPr>
                <w:w w:val="110"/>
                <w:sz w:val="12"/>
              </w:rPr>
              <w:t>Dressing</w:t>
            </w:r>
          </w:p>
        </w:tc>
        <w:tc>
          <w:tcPr>
            <w:tcW w:w="432" w:type="dxa"/>
            <w:tcBorders>
              <w:top w:val="single" w:sz="6" w:space="0" w:color="000000"/>
              <w:bottom w:val="single" w:sz="6" w:space="0" w:color="000000"/>
            </w:tcBorders>
          </w:tcPr>
          <w:p>
            <w:pPr>
              <w:pStyle w:val="TableParagraph"/>
              <w:spacing w:before="56"/>
              <w:ind w:left="54"/>
              <w:rPr>
                <w:sz w:val="12"/>
              </w:rPr>
            </w:pPr>
            <w:r>
              <w:rPr>
                <w:w w:val="110"/>
                <w:sz w:val="12"/>
              </w:rPr>
              <w:t>Other</w:t>
            </w:r>
          </w:p>
        </w:tc>
        <w:tc>
          <w:tcPr>
            <w:tcW w:w="566" w:type="dxa"/>
            <w:tcBorders>
              <w:top w:val="single" w:sz="6" w:space="0" w:color="000000"/>
              <w:bottom w:val="single" w:sz="6" w:space="0" w:color="000000"/>
            </w:tcBorders>
          </w:tcPr>
          <w:p>
            <w:pPr>
              <w:pStyle w:val="TableParagraph"/>
              <w:spacing w:before="56"/>
              <w:ind w:left="134"/>
              <w:rPr>
                <w:sz w:val="12"/>
              </w:rPr>
            </w:pPr>
            <w:r>
              <w:rPr>
                <w:w w:val="110"/>
                <w:sz w:val="12"/>
              </w:rPr>
              <w:t>Deep</w:t>
            </w:r>
          </w:p>
        </w:tc>
        <w:tc>
          <w:tcPr>
            <w:tcW w:w="725" w:type="dxa"/>
            <w:tcBorders>
              <w:top w:val="single" w:sz="6" w:space="0" w:color="000000"/>
              <w:bottom w:val="single" w:sz="6" w:space="0" w:color="000000"/>
            </w:tcBorders>
          </w:tcPr>
          <w:p>
            <w:pPr>
              <w:pStyle w:val="TableParagraph"/>
              <w:spacing w:before="56"/>
              <w:ind w:left="48"/>
              <w:rPr>
                <w:sz w:val="12"/>
              </w:rPr>
            </w:pPr>
            <w:r>
              <w:rPr>
                <w:w w:val="115"/>
                <w:sz w:val="12"/>
              </w:rPr>
              <w:t>Super</w:t>
            </w:r>
            <w:r>
              <w:rPr>
                <w:rFonts w:ascii="Times New Roman" w:hAnsi="Times New Roman"/>
                <w:w w:val="115"/>
                <w:sz w:val="12"/>
              </w:rPr>
              <w:t>ﬁ</w:t>
            </w:r>
            <w:r>
              <w:rPr>
                <w:w w:val="115"/>
                <w:sz w:val="12"/>
              </w:rPr>
              <w:t>cial</w:t>
            </w:r>
          </w:p>
        </w:tc>
        <w:tc>
          <w:tcPr>
            <w:tcW w:w="2801" w:type="dxa"/>
            <w:gridSpan w:val="2"/>
            <w:tcBorders>
              <w:bottom w:val="single" w:sz="6" w:space="0" w:color="000000"/>
            </w:tcBorders>
          </w:tcPr>
          <w:p>
            <w:pPr>
              <w:pStyle w:val="TableParagraph"/>
              <w:rPr>
                <w:rFonts w:ascii="Times New Roman"/>
                <w:sz w:val="12"/>
              </w:rPr>
            </w:pPr>
          </w:p>
        </w:tc>
      </w:tr>
      <w:tr>
        <w:trPr>
          <w:trHeight w:val="215" w:hRule="atLeast"/>
        </w:trPr>
        <w:tc>
          <w:tcPr>
            <w:tcW w:w="2168" w:type="dxa"/>
            <w:tcBorders>
              <w:top w:val="single" w:sz="6" w:space="0" w:color="000000"/>
            </w:tcBorders>
          </w:tcPr>
          <w:p>
            <w:pPr>
              <w:pStyle w:val="TableParagraph"/>
              <w:spacing w:line="140" w:lineRule="exact" w:before="56"/>
              <w:ind w:left="120"/>
              <w:rPr>
                <w:sz w:val="12"/>
              </w:rPr>
            </w:pPr>
            <w:r>
              <w:rPr>
                <w:w w:val="110"/>
                <w:sz w:val="12"/>
              </w:rPr>
              <w:t>Singhal and Hussain, 2006 [</w:t>
            </w:r>
            <w:hyperlink w:history="true" w:anchor="_bookmark27">
              <w:r>
                <w:rPr>
                  <w:color w:val="007FAC"/>
                  <w:w w:val="110"/>
                  <w:sz w:val="12"/>
                </w:rPr>
                <w:t>16</w:t>
              </w:r>
            </w:hyperlink>
            <w:r>
              <w:rPr>
                <w:w w:val="110"/>
                <w:sz w:val="12"/>
              </w:rPr>
              <w:t>]</w:t>
            </w:r>
            <w:r>
              <w:rPr>
                <w:w w:val="110"/>
                <w:sz w:val="12"/>
                <w:vertAlign w:val="superscript"/>
              </w:rPr>
              <w:t>,</w:t>
            </w:r>
            <w:hyperlink w:history="true" w:anchor="_bookmark111">
              <w:r>
                <w:rPr>
                  <w:color w:val="007FAC"/>
                  <w:w w:val="110"/>
                  <w:sz w:val="12"/>
                  <w:vertAlign w:val="superscript"/>
                </w:rPr>
                <w:t>a</w:t>
              </w:r>
            </w:hyperlink>
          </w:p>
        </w:tc>
        <w:tc>
          <w:tcPr>
            <w:tcW w:w="968" w:type="dxa"/>
            <w:tcBorders>
              <w:top w:val="single" w:sz="6" w:space="0" w:color="000000"/>
            </w:tcBorders>
          </w:tcPr>
          <w:p>
            <w:pPr>
              <w:pStyle w:val="TableParagraph"/>
              <w:spacing w:line="140" w:lineRule="exact" w:before="56"/>
              <w:ind w:right="489"/>
              <w:jc w:val="right"/>
              <w:rPr>
                <w:sz w:val="12"/>
              </w:rPr>
            </w:pPr>
            <w:r>
              <w:rPr>
                <w:w w:val="125"/>
                <w:sz w:val="12"/>
              </w:rPr>
              <w:t>182</w:t>
            </w:r>
          </w:p>
        </w:tc>
        <w:tc>
          <w:tcPr>
            <w:tcW w:w="295" w:type="dxa"/>
            <w:tcBorders>
              <w:top w:val="single" w:sz="6" w:space="0" w:color="000000"/>
            </w:tcBorders>
          </w:tcPr>
          <w:p>
            <w:pPr>
              <w:pStyle w:val="TableParagraph"/>
              <w:spacing w:line="156" w:lineRule="exact" w:before="39"/>
              <w:ind w:left="-1"/>
              <w:rPr>
                <w:rFonts w:ascii="Arial"/>
                <w:sz w:val="14"/>
              </w:rPr>
            </w:pPr>
            <w:r>
              <w:rPr>
                <w:rFonts w:ascii="Arial"/>
                <w:w w:val="97"/>
                <w:sz w:val="14"/>
              </w:rPr>
              <w:t>a</w:t>
            </w:r>
          </w:p>
        </w:tc>
        <w:tc>
          <w:tcPr>
            <w:tcW w:w="233" w:type="dxa"/>
            <w:tcBorders>
              <w:top w:val="single" w:sz="6" w:space="0" w:color="000000"/>
            </w:tcBorders>
          </w:tcPr>
          <w:p>
            <w:pPr>
              <w:pStyle w:val="TableParagraph"/>
              <w:rPr>
                <w:rFonts w:ascii="Times New Roman"/>
                <w:sz w:val="12"/>
              </w:rPr>
            </w:pPr>
          </w:p>
        </w:tc>
        <w:tc>
          <w:tcPr>
            <w:tcW w:w="169" w:type="dxa"/>
            <w:tcBorders>
              <w:top w:val="single" w:sz="6" w:space="0" w:color="000000"/>
            </w:tcBorders>
          </w:tcPr>
          <w:p>
            <w:pPr>
              <w:pStyle w:val="TableParagraph"/>
              <w:rPr>
                <w:rFonts w:ascii="Times New Roman"/>
                <w:sz w:val="12"/>
              </w:rPr>
            </w:pPr>
          </w:p>
        </w:tc>
        <w:tc>
          <w:tcPr>
            <w:tcW w:w="402" w:type="dxa"/>
            <w:tcBorders>
              <w:top w:val="single" w:sz="6" w:space="0" w:color="000000"/>
            </w:tcBorders>
          </w:tcPr>
          <w:p>
            <w:pPr>
              <w:pStyle w:val="TableParagraph"/>
              <w:spacing w:line="156" w:lineRule="exact" w:before="39"/>
              <w:ind w:left="-4"/>
              <w:rPr>
                <w:rFonts w:ascii="Arial"/>
                <w:sz w:val="14"/>
              </w:rPr>
            </w:pPr>
            <w:r>
              <w:rPr>
                <w:rFonts w:ascii="Arial"/>
                <w:w w:val="97"/>
                <w:sz w:val="14"/>
              </w:rPr>
              <w:t>a</w:t>
            </w:r>
          </w:p>
        </w:tc>
        <w:tc>
          <w:tcPr>
            <w:tcW w:w="553" w:type="dxa"/>
            <w:tcBorders>
              <w:top w:val="single" w:sz="6" w:space="0" w:color="000000"/>
            </w:tcBorders>
          </w:tcPr>
          <w:p>
            <w:pPr>
              <w:pStyle w:val="TableParagraph"/>
              <w:rPr>
                <w:rFonts w:ascii="Times New Roman"/>
                <w:sz w:val="12"/>
              </w:rPr>
            </w:pPr>
          </w:p>
        </w:tc>
        <w:tc>
          <w:tcPr>
            <w:tcW w:w="169" w:type="dxa"/>
            <w:tcBorders>
              <w:top w:val="single" w:sz="6" w:space="0" w:color="000000"/>
            </w:tcBorders>
          </w:tcPr>
          <w:p>
            <w:pPr>
              <w:pStyle w:val="TableParagraph"/>
              <w:rPr>
                <w:rFonts w:ascii="Times New Roman"/>
                <w:sz w:val="12"/>
              </w:rPr>
            </w:pPr>
          </w:p>
        </w:tc>
        <w:tc>
          <w:tcPr>
            <w:tcW w:w="330" w:type="dxa"/>
            <w:tcBorders>
              <w:top w:val="single" w:sz="6" w:space="0" w:color="000000"/>
            </w:tcBorders>
          </w:tcPr>
          <w:p>
            <w:pPr>
              <w:pStyle w:val="TableParagraph"/>
              <w:rPr>
                <w:rFonts w:ascii="Times New Roman"/>
                <w:sz w:val="12"/>
              </w:rPr>
            </w:pPr>
          </w:p>
        </w:tc>
        <w:tc>
          <w:tcPr>
            <w:tcW w:w="537" w:type="dxa"/>
            <w:tcBorders>
              <w:top w:val="single" w:sz="6" w:space="0" w:color="000000"/>
            </w:tcBorders>
          </w:tcPr>
          <w:p>
            <w:pPr>
              <w:pStyle w:val="TableParagraph"/>
              <w:rPr>
                <w:rFonts w:ascii="Times New Roman"/>
                <w:sz w:val="12"/>
              </w:rPr>
            </w:pPr>
          </w:p>
        </w:tc>
        <w:tc>
          <w:tcPr>
            <w:tcW w:w="170" w:type="dxa"/>
            <w:tcBorders>
              <w:top w:val="single" w:sz="6" w:space="0" w:color="000000"/>
            </w:tcBorders>
          </w:tcPr>
          <w:p>
            <w:pPr>
              <w:pStyle w:val="TableParagraph"/>
              <w:rPr>
                <w:rFonts w:ascii="Times New Roman"/>
                <w:sz w:val="12"/>
              </w:rPr>
            </w:pPr>
          </w:p>
        </w:tc>
        <w:tc>
          <w:tcPr>
            <w:tcW w:w="229" w:type="dxa"/>
            <w:tcBorders>
              <w:top w:val="single" w:sz="6" w:space="0" w:color="000000"/>
            </w:tcBorders>
          </w:tcPr>
          <w:p>
            <w:pPr>
              <w:pStyle w:val="TableParagraph"/>
              <w:rPr>
                <w:rFonts w:ascii="Times New Roman"/>
                <w:sz w:val="12"/>
              </w:rPr>
            </w:pPr>
          </w:p>
        </w:tc>
        <w:tc>
          <w:tcPr>
            <w:tcW w:w="319" w:type="dxa"/>
            <w:tcBorders>
              <w:top w:val="single" w:sz="6" w:space="0" w:color="000000"/>
            </w:tcBorders>
          </w:tcPr>
          <w:p>
            <w:pPr>
              <w:pStyle w:val="TableParagraph"/>
              <w:rPr>
                <w:rFonts w:ascii="Times New Roman"/>
                <w:sz w:val="12"/>
              </w:rPr>
            </w:pPr>
          </w:p>
        </w:tc>
        <w:tc>
          <w:tcPr>
            <w:tcW w:w="600" w:type="dxa"/>
            <w:tcBorders>
              <w:top w:val="single" w:sz="6" w:space="0" w:color="000000"/>
            </w:tcBorders>
          </w:tcPr>
          <w:p>
            <w:pPr>
              <w:pStyle w:val="TableParagraph"/>
              <w:spacing w:line="141" w:lineRule="exact" w:before="55"/>
              <w:ind w:left="66"/>
              <w:rPr>
                <w:rFonts w:ascii="Lucida Sans"/>
                <w:sz w:val="12"/>
              </w:rPr>
            </w:pPr>
            <w:r>
              <w:rPr>
                <w:rFonts w:ascii="Lucida Sans"/>
                <w:w w:val="174"/>
                <w:sz w:val="12"/>
              </w:rPr>
              <w:t>C</w:t>
            </w:r>
          </w:p>
        </w:tc>
        <w:tc>
          <w:tcPr>
            <w:tcW w:w="400" w:type="dxa"/>
            <w:tcBorders>
              <w:top w:val="single" w:sz="6" w:space="0" w:color="000000"/>
            </w:tcBorders>
          </w:tcPr>
          <w:p>
            <w:pPr>
              <w:pStyle w:val="TableParagraph"/>
              <w:rPr>
                <w:rFonts w:ascii="Times New Roman"/>
                <w:sz w:val="12"/>
              </w:rPr>
            </w:pPr>
          </w:p>
        </w:tc>
        <w:tc>
          <w:tcPr>
            <w:tcW w:w="776" w:type="dxa"/>
            <w:tcBorders>
              <w:top w:val="single" w:sz="6" w:space="0" w:color="000000"/>
            </w:tcBorders>
          </w:tcPr>
          <w:p>
            <w:pPr>
              <w:pStyle w:val="TableParagraph"/>
              <w:rPr>
                <w:rFonts w:ascii="Times New Roman"/>
                <w:sz w:val="12"/>
              </w:rPr>
            </w:pPr>
          </w:p>
        </w:tc>
        <w:tc>
          <w:tcPr>
            <w:tcW w:w="695" w:type="dxa"/>
            <w:tcBorders>
              <w:top w:val="single" w:sz="6" w:space="0" w:color="000000"/>
            </w:tcBorders>
          </w:tcPr>
          <w:p>
            <w:pPr>
              <w:pStyle w:val="TableParagraph"/>
              <w:spacing w:line="141" w:lineRule="exact" w:before="55"/>
              <w:ind w:left="57"/>
              <w:rPr>
                <w:rFonts w:ascii="Lucida Sans"/>
                <w:sz w:val="12"/>
              </w:rPr>
            </w:pPr>
            <w:r>
              <w:rPr>
                <w:rFonts w:ascii="Lucida Sans"/>
                <w:w w:val="174"/>
                <w:sz w:val="12"/>
              </w:rPr>
              <w:t>C</w:t>
            </w:r>
          </w:p>
        </w:tc>
        <w:tc>
          <w:tcPr>
            <w:tcW w:w="432" w:type="dxa"/>
            <w:tcBorders>
              <w:top w:val="single" w:sz="6" w:space="0" w:color="000000"/>
            </w:tcBorders>
          </w:tcPr>
          <w:p>
            <w:pPr>
              <w:pStyle w:val="TableParagraph"/>
              <w:rPr>
                <w:rFonts w:ascii="Times New Roman"/>
                <w:sz w:val="12"/>
              </w:rPr>
            </w:pPr>
          </w:p>
        </w:tc>
        <w:tc>
          <w:tcPr>
            <w:tcW w:w="566" w:type="dxa"/>
            <w:tcBorders>
              <w:top w:val="single" w:sz="6" w:space="0" w:color="000000"/>
            </w:tcBorders>
          </w:tcPr>
          <w:p>
            <w:pPr>
              <w:pStyle w:val="TableParagraph"/>
              <w:spacing w:line="140" w:lineRule="exact" w:before="56"/>
              <w:ind w:left="134"/>
              <w:rPr>
                <w:sz w:val="12"/>
              </w:rPr>
            </w:pPr>
            <w:r>
              <w:rPr>
                <w:sz w:val="12"/>
              </w:rPr>
              <w:t>NR</w:t>
            </w:r>
          </w:p>
        </w:tc>
        <w:tc>
          <w:tcPr>
            <w:tcW w:w="725" w:type="dxa"/>
            <w:tcBorders>
              <w:top w:val="single" w:sz="6" w:space="0" w:color="000000"/>
            </w:tcBorders>
          </w:tcPr>
          <w:p>
            <w:pPr>
              <w:pStyle w:val="TableParagraph"/>
              <w:spacing w:line="140" w:lineRule="exact" w:before="56"/>
              <w:ind w:left="124"/>
              <w:rPr>
                <w:sz w:val="12"/>
              </w:rPr>
            </w:pPr>
            <w:r>
              <w:rPr>
                <w:w w:val="105"/>
                <w:sz w:val="12"/>
              </w:rPr>
              <w:t>0.6%</w:t>
            </w:r>
          </w:p>
        </w:tc>
        <w:tc>
          <w:tcPr>
            <w:tcW w:w="978" w:type="dxa"/>
            <w:tcBorders>
              <w:top w:val="single" w:sz="6" w:space="0" w:color="000000"/>
            </w:tcBorders>
          </w:tcPr>
          <w:p>
            <w:pPr>
              <w:pStyle w:val="TableParagraph"/>
              <w:spacing w:line="140" w:lineRule="exact" w:before="56"/>
              <w:ind w:left="128"/>
              <w:rPr>
                <w:sz w:val="12"/>
              </w:rPr>
            </w:pPr>
            <w:r>
              <w:rPr>
                <w:sz w:val="12"/>
              </w:rPr>
              <w:t>NR</w:t>
            </w:r>
          </w:p>
        </w:tc>
        <w:tc>
          <w:tcPr>
            <w:tcW w:w="1823" w:type="dxa"/>
            <w:tcBorders>
              <w:top w:val="single" w:sz="6" w:space="0" w:color="000000"/>
            </w:tcBorders>
          </w:tcPr>
          <w:p>
            <w:pPr>
              <w:pStyle w:val="TableParagraph"/>
              <w:spacing w:line="140" w:lineRule="exact" w:before="56"/>
              <w:ind w:left="502"/>
              <w:rPr>
                <w:sz w:val="12"/>
              </w:rPr>
            </w:pPr>
            <w:r>
              <w:rPr>
                <w:w w:val="105"/>
                <w:sz w:val="12"/>
              </w:rPr>
              <w:t>0.6%</w:t>
            </w:r>
          </w:p>
        </w:tc>
      </w:tr>
      <w:tr>
        <w:trPr>
          <w:trHeight w:val="155" w:hRule="atLeast"/>
        </w:trPr>
        <w:tc>
          <w:tcPr>
            <w:tcW w:w="2168" w:type="dxa"/>
          </w:tcPr>
          <w:p>
            <w:pPr>
              <w:pStyle w:val="TableParagraph"/>
              <w:spacing w:line="125" w:lineRule="exact" w:before="11"/>
              <w:ind w:left="120"/>
              <w:rPr>
                <w:sz w:val="12"/>
              </w:rPr>
            </w:pPr>
            <w:r>
              <w:rPr>
                <w:w w:val="115"/>
                <w:sz w:val="12"/>
              </w:rPr>
              <w:t>Miller and Swank, 2010 [</w:t>
            </w:r>
            <w:hyperlink w:history="true" w:anchor="_bookmark58">
              <w:r>
                <w:rPr>
                  <w:color w:val="007FAC"/>
                  <w:w w:val="115"/>
                  <w:sz w:val="12"/>
                </w:rPr>
                <w:t>47</w:t>
              </w:r>
            </w:hyperlink>
            <w:r>
              <w:rPr>
                <w:w w:val="115"/>
                <w:sz w:val="12"/>
              </w:rPr>
              <w:t>]</w:t>
            </w:r>
          </w:p>
        </w:tc>
        <w:tc>
          <w:tcPr>
            <w:tcW w:w="968" w:type="dxa"/>
          </w:tcPr>
          <w:p>
            <w:pPr>
              <w:pStyle w:val="TableParagraph"/>
              <w:spacing w:line="125" w:lineRule="exact" w:before="11"/>
              <w:ind w:right="489"/>
              <w:jc w:val="right"/>
              <w:rPr>
                <w:sz w:val="12"/>
              </w:rPr>
            </w:pPr>
            <w:r>
              <w:rPr>
                <w:w w:val="125"/>
                <w:sz w:val="12"/>
              </w:rPr>
              <w:t>116</w:t>
            </w:r>
          </w:p>
        </w:tc>
        <w:tc>
          <w:tcPr>
            <w:tcW w:w="295" w:type="dxa"/>
          </w:tcPr>
          <w:p>
            <w:pPr>
              <w:pStyle w:val="TableParagraph"/>
              <w:spacing w:line="126" w:lineRule="exact" w:before="10"/>
              <w:ind w:left="-1"/>
              <w:rPr>
                <w:rFonts w:ascii="Lucida Sans"/>
                <w:sz w:val="12"/>
              </w:rPr>
            </w:pPr>
            <w:r>
              <w:rPr>
                <w:rFonts w:ascii="Lucida Sans"/>
                <w:w w:val="174"/>
                <w:sz w:val="12"/>
              </w:rPr>
              <w:t>C</w:t>
            </w:r>
          </w:p>
        </w:tc>
        <w:tc>
          <w:tcPr>
            <w:tcW w:w="233" w:type="dxa"/>
          </w:tcPr>
          <w:p>
            <w:pPr>
              <w:pStyle w:val="TableParagraph"/>
              <w:rPr>
                <w:rFonts w:ascii="Times New Roman"/>
                <w:sz w:val="10"/>
              </w:rPr>
            </w:pPr>
          </w:p>
        </w:tc>
        <w:tc>
          <w:tcPr>
            <w:tcW w:w="169" w:type="dxa"/>
          </w:tcPr>
          <w:p>
            <w:pPr>
              <w:pStyle w:val="TableParagraph"/>
              <w:rPr>
                <w:rFonts w:ascii="Times New Roman"/>
                <w:sz w:val="10"/>
              </w:rPr>
            </w:pPr>
          </w:p>
        </w:tc>
        <w:tc>
          <w:tcPr>
            <w:tcW w:w="402" w:type="dxa"/>
          </w:tcPr>
          <w:p>
            <w:pPr>
              <w:pStyle w:val="TableParagraph"/>
              <w:spacing w:line="126" w:lineRule="exact" w:before="10"/>
              <w:ind w:left="-4"/>
              <w:rPr>
                <w:rFonts w:ascii="Lucida Sans"/>
                <w:sz w:val="12"/>
              </w:rPr>
            </w:pPr>
            <w:r>
              <w:rPr>
                <w:rFonts w:ascii="Lucida Sans"/>
                <w:w w:val="174"/>
                <w:sz w:val="12"/>
              </w:rPr>
              <w:t>C</w:t>
            </w:r>
          </w:p>
        </w:tc>
        <w:tc>
          <w:tcPr>
            <w:tcW w:w="553" w:type="dxa"/>
          </w:tcPr>
          <w:p>
            <w:pPr>
              <w:pStyle w:val="TableParagraph"/>
              <w:rPr>
                <w:rFonts w:ascii="Times New Roman"/>
                <w:sz w:val="10"/>
              </w:rPr>
            </w:pPr>
          </w:p>
        </w:tc>
        <w:tc>
          <w:tcPr>
            <w:tcW w:w="169" w:type="dxa"/>
          </w:tcPr>
          <w:p>
            <w:pPr>
              <w:pStyle w:val="TableParagraph"/>
              <w:rPr>
                <w:rFonts w:ascii="Times New Roman"/>
                <w:sz w:val="10"/>
              </w:rPr>
            </w:pPr>
          </w:p>
        </w:tc>
        <w:tc>
          <w:tcPr>
            <w:tcW w:w="330" w:type="dxa"/>
          </w:tcPr>
          <w:p>
            <w:pPr>
              <w:pStyle w:val="TableParagraph"/>
              <w:rPr>
                <w:rFonts w:ascii="Times New Roman"/>
                <w:sz w:val="10"/>
              </w:rPr>
            </w:pPr>
          </w:p>
        </w:tc>
        <w:tc>
          <w:tcPr>
            <w:tcW w:w="537" w:type="dxa"/>
          </w:tcPr>
          <w:p>
            <w:pPr>
              <w:pStyle w:val="TableParagraph"/>
              <w:rPr>
                <w:rFonts w:ascii="Times New Roman"/>
                <w:sz w:val="10"/>
              </w:rPr>
            </w:pPr>
          </w:p>
        </w:tc>
        <w:tc>
          <w:tcPr>
            <w:tcW w:w="170" w:type="dxa"/>
          </w:tcPr>
          <w:p>
            <w:pPr>
              <w:pStyle w:val="TableParagraph"/>
              <w:rPr>
                <w:rFonts w:ascii="Times New Roman"/>
                <w:sz w:val="10"/>
              </w:rPr>
            </w:pPr>
          </w:p>
        </w:tc>
        <w:tc>
          <w:tcPr>
            <w:tcW w:w="229" w:type="dxa"/>
          </w:tcPr>
          <w:p>
            <w:pPr>
              <w:pStyle w:val="TableParagraph"/>
              <w:rPr>
                <w:rFonts w:ascii="Times New Roman"/>
                <w:sz w:val="10"/>
              </w:rPr>
            </w:pPr>
          </w:p>
        </w:tc>
        <w:tc>
          <w:tcPr>
            <w:tcW w:w="319" w:type="dxa"/>
          </w:tcPr>
          <w:p>
            <w:pPr>
              <w:pStyle w:val="TableParagraph"/>
              <w:rPr>
                <w:rFonts w:ascii="Times New Roman"/>
                <w:sz w:val="10"/>
              </w:rPr>
            </w:pPr>
          </w:p>
        </w:tc>
        <w:tc>
          <w:tcPr>
            <w:tcW w:w="600" w:type="dxa"/>
          </w:tcPr>
          <w:p>
            <w:pPr>
              <w:pStyle w:val="TableParagraph"/>
              <w:spacing w:line="126" w:lineRule="exact" w:before="10"/>
              <w:ind w:left="66"/>
              <w:rPr>
                <w:rFonts w:ascii="Lucida Sans"/>
                <w:sz w:val="12"/>
              </w:rPr>
            </w:pPr>
            <w:r>
              <w:rPr>
                <w:rFonts w:ascii="Lucida Sans"/>
                <w:w w:val="174"/>
                <w:sz w:val="12"/>
              </w:rPr>
              <w:t>C</w:t>
            </w:r>
          </w:p>
        </w:tc>
        <w:tc>
          <w:tcPr>
            <w:tcW w:w="400" w:type="dxa"/>
          </w:tcPr>
          <w:p>
            <w:pPr>
              <w:pStyle w:val="TableParagraph"/>
              <w:rPr>
                <w:rFonts w:ascii="Times New Roman"/>
                <w:sz w:val="10"/>
              </w:rPr>
            </w:pPr>
          </w:p>
        </w:tc>
        <w:tc>
          <w:tcPr>
            <w:tcW w:w="776" w:type="dxa"/>
          </w:tcPr>
          <w:p>
            <w:pPr>
              <w:pStyle w:val="TableParagraph"/>
              <w:rPr>
                <w:rFonts w:ascii="Times New Roman"/>
                <w:sz w:val="10"/>
              </w:rPr>
            </w:pPr>
          </w:p>
        </w:tc>
        <w:tc>
          <w:tcPr>
            <w:tcW w:w="695" w:type="dxa"/>
          </w:tcPr>
          <w:p>
            <w:pPr>
              <w:pStyle w:val="TableParagraph"/>
              <w:rPr>
                <w:rFonts w:ascii="Times New Roman"/>
                <w:sz w:val="10"/>
              </w:rPr>
            </w:pPr>
          </w:p>
        </w:tc>
        <w:tc>
          <w:tcPr>
            <w:tcW w:w="432" w:type="dxa"/>
          </w:tcPr>
          <w:p>
            <w:pPr>
              <w:pStyle w:val="TableParagraph"/>
              <w:rPr>
                <w:rFonts w:ascii="Times New Roman"/>
                <w:sz w:val="10"/>
              </w:rPr>
            </w:pPr>
          </w:p>
        </w:tc>
        <w:tc>
          <w:tcPr>
            <w:tcW w:w="566" w:type="dxa"/>
          </w:tcPr>
          <w:p>
            <w:pPr>
              <w:pStyle w:val="TableParagraph"/>
              <w:spacing w:line="125" w:lineRule="exact" w:before="11"/>
              <w:ind w:left="134"/>
              <w:rPr>
                <w:sz w:val="12"/>
              </w:rPr>
            </w:pPr>
            <w:r>
              <w:rPr>
                <w:w w:val="105"/>
                <w:sz w:val="12"/>
              </w:rPr>
              <w:t>0.0%</w:t>
            </w:r>
          </w:p>
        </w:tc>
        <w:tc>
          <w:tcPr>
            <w:tcW w:w="725" w:type="dxa"/>
          </w:tcPr>
          <w:p>
            <w:pPr>
              <w:pStyle w:val="TableParagraph"/>
              <w:spacing w:line="125" w:lineRule="exact" w:before="11"/>
              <w:ind w:left="124"/>
              <w:rPr>
                <w:sz w:val="12"/>
              </w:rPr>
            </w:pPr>
            <w:r>
              <w:rPr>
                <w:w w:val="105"/>
                <w:sz w:val="12"/>
              </w:rPr>
              <w:t>0.9%</w:t>
            </w:r>
          </w:p>
        </w:tc>
        <w:tc>
          <w:tcPr>
            <w:tcW w:w="978" w:type="dxa"/>
          </w:tcPr>
          <w:p>
            <w:pPr>
              <w:pStyle w:val="TableParagraph"/>
              <w:spacing w:line="125" w:lineRule="exact" w:before="11"/>
              <w:ind w:left="128"/>
              <w:rPr>
                <w:sz w:val="12"/>
              </w:rPr>
            </w:pPr>
            <w:r>
              <w:rPr>
                <w:w w:val="105"/>
                <w:sz w:val="12"/>
              </w:rPr>
              <w:t>1.7%</w:t>
            </w:r>
          </w:p>
        </w:tc>
        <w:tc>
          <w:tcPr>
            <w:tcW w:w="1823" w:type="dxa"/>
          </w:tcPr>
          <w:p>
            <w:pPr>
              <w:pStyle w:val="TableParagraph"/>
              <w:spacing w:line="125" w:lineRule="exact" w:before="11"/>
              <w:ind w:left="502"/>
              <w:rPr>
                <w:sz w:val="12"/>
              </w:rPr>
            </w:pPr>
            <w:r>
              <w:rPr>
                <w:w w:val="105"/>
                <w:sz w:val="12"/>
              </w:rPr>
              <w:t>1.7%</w:t>
            </w:r>
          </w:p>
        </w:tc>
      </w:tr>
      <w:tr>
        <w:trPr>
          <w:trHeight w:val="180" w:hRule="atLeast"/>
        </w:trPr>
        <w:tc>
          <w:tcPr>
            <w:tcW w:w="2168" w:type="dxa"/>
          </w:tcPr>
          <w:p>
            <w:pPr>
              <w:pStyle w:val="TableParagraph"/>
              <w:spacing w:line="134" w:lineRule="exact" w:before="26"/>
              <w:ind w:left="120"/>
              <w:rPr>
                <w:sz w:val="12"/>
              </w:rPr>
            </w:pPr>
            <w:r>
              <w:rPr>
                <w:w w:val="115"/>
                <w:sz w:val="12"/>
              </w:rPr>
              <w:t>Patel et al., 2012 [</w:t>
            </w:r>
            <w:hyperlink w:history="true" w:anchor="_bookmark59">
              <w:r>
                <w:rPr>
                  <w:color w:val="007FAC"/>
                  <w:w w:val="115"/>
                  <w:sz w:val="12"/>
                </w:rPr>
                <w:t>48</w:t>
              </w:r>
            </w:hyperlink>
            <w:r>
              <w:rPr>
                <w:w w:val="115"/>
                <w:sz w:val="12"/>
              </w:rPr>
              <w:t>]</w:t>
            </w:r>
            <w:r>
              <w:rPr>
                <w:w w:val="115"/>
                <w:sz w:val="12"/>
                <w:vertAlign w:val="superscript"/>
              </w:rPr>
              <w:t>,</w:t>
            </w:r>
            <w:hyperlink w:history="true" w:anchor="_bookmark110">
              <w:r>
                <w:rPr>
                  <w:color w:val="007FAC"/>
                  <w:w w:val="115"/>
                  <w:sz w:val="12"/>
                  <w:vertAlign w:val="superscript"/>
                </w:rPr>
                <w:t>b</w:t>
              </w:r>
            </w:hyperlink>
          </w:p>
        </w:tc>
        <w:tc>
          <w:tcPr>
            <w:tcW w:w="968" w:type="dxa"/>
          </w:tcPr>
          <w:p>
            <w:pPr>
              <w:pStyle w:val="TableParagraph"/>
              <w:spacing w:line="134" w:lineRule="exact" w:before="26"/>
              <w:ind w:right="489"/>
              <w:jc w:val="right"/>
              <w:rPr>
                <w:sz w:val="12"/>
              </w:rPr>
            </w:pPr>
            <w:r>
              <w:rPr>
                <w:w w:val="125"/>
                <w:sz w:val="12"/>
              </w:rPr>
              <w:t>181</w:t>
            </w:r>
          </w:p>
        </w:tc>
        <w:tc>
          <w:tcPr>
            <w:tcW w:w="295" w:type="dxa"/>
          </w:tcPr>
          <w:p>
            <w:pPr>
              <w:pStyle w:val="TableParagraph"/>
              <w:spacing w:line="135" w:lineRule="exact" w:before="25"/>
              <w:ind w:left="-1"/>
              <w:rPr>
                <w:rFonts w:ascii="Lucida Sans"/>
                <w:sz w:val="12"/>
              </w:rPr>
            </w:pPr>
            <w:r>
              <w:rPr>
                <w:rFonts w:ascii="Lucida Sans"/>
                <w:w w:val="174"/>
                <w:sz w:val="12"/>
              </w:rPr>
              <w:t>C</w:t>
            </w:r>
          </w:p>
        </w:tc>
        <w:tc>
          <w:tcPr>
            <w:tcW w:w="233" w:type="dxa"/>
          </w:tcPr>
          <w:p>
            <w:pPr>
              <w:pStyle w:val="TableParagraph"/>
              <w:rPr>
                <w:rFonts w:ascii="Times New Roman"/>
                <w:sz w:val="12"/>
              </w:rPr>
            </w:pPr>
          </w:p>
        </w:tc>
        <w:tc>
          <w:tcPr>
            <w:tcW w:w="169" w:type="dxa"/>
          </w:tcPr>
          <w:p>
            <w:pPr>
              <w:pStyle w:val="TableParagraph"/>
              <w:rPr>
                <w:rFonts w:ascii="Times New Roman"/>
                <w:sz w:val="12"/>
              </w:rPr>
            </w:pPr>
          </w:p>
        </w:tc>
        <w:tc>
          <w:tcPr>
            <w:tcW w:w="402" w:type="dxa"/>
          </w:tcPr>
          <w:p>
            <w:pPr>
              <w:pStyle w:val="TableParagraph"/>
              <w:spacing w:line="135" w:lineRule="exact" w:before="25"/>
              <w:ind w:left="-4"/>
              <w:rPr>
                <w:rFonts w:ascii="Lucida Sans"/>
                <w:sz w:val="12"/>
              </w:rPr>
            </w:pPr>
            <w:r>
              <w:rPr>
                <w:rFonts w:ascii="Lucida Sans"/>
                <w:w w:val="174"/>
                <w:sz w:val="12"/>
              </w:rPr>
              <w:t>C</w:t>
            </w:r>
          </w:p>
        </w:tc>
        <w:tc>
          <w:tcPr>
            <w:tcW w:w="553" w:type="dxa"/>
          </w:tcPr>
          <w:p>
            <w:pPr>
              <w:pStyle w:val="TableParagraph"/>
              <w:rPr>
                <w:rFonts w:ascii="Times New Roman"/>
                <w:sz w:val="12"/>
              </w:rPr>
            </w:pPr>
          </w:p>
        </w:tc>
        <w:tc>
          <w:tcPr>
            <w:tcW w:w="169" w:type="dxa"/>
          </w:tcPr>
          <w:p>
            <w:pPr>
              <w:pStyle w:val="TableParagraph"/>
              <w:rPr>
                <w:rFonts w:ascii="Times New Roman"/>
                <w:sz w:val="12"/>
              </w:rPr>
            </w:pPr>
          </w:p>
        </w:tc>
        <w:tc>
          <w:tcPr>
            <w:tcW w:w="330" w:type="dxa"/>
          </w:tcPr>
          <w:p>
            <w:pPr>
              <w:pStyle w:val="TableParagraph"/>
              <w:rPr>
                <w:rFonts w:ascii="Times New Roman"/>
                <w:sz w:val="12"/>
              </w:rPr>
            </w:pPr>
          </w:p>
        </w:tc>
        <w:tc>
          <w:tcPr>
            <w:tcW w:w="537" w:type="dxa"/>
          </w:tcPr>
          <w:p>
            <w:pPr>
              <w:pStyle w:val="TableParagraph"/>
              <w:rPr>
                <w:rFonts w:ascii="Times New Roman"/>
                <w:sz w:val="12"/>
              </w:rPr>
            </w:pPr>
          </w:p>
        </w:tc>
        <w:tc>
          <w:tcPr>
            <w:tcW w:w="170" w:type="dxa"/>
          </w:tcPr>
          <w:p>
            <w:pPr>
              <w:pStyle w:val="TableParagraph"/>
              <w:rPr>
                <w:rFonts w:ascii="Times New Roman"/>
                <w:sz w:val="12"/>
              </w:rPr>
            </w:pPr>
          </w:p>
        </w:tc>
        <w:tc>
          <w:tcPr>
            <w:tcW w:w="229" w:type="dxa"/>
          </w:tcPr>
          <w:p>
            <w:pPr>
              <w:pStyle w:val="TableParagraph"/>
              <w:rPr>
                <w:rFonts w:ascii="Times New Roman"/>
                <w:sz w:val="12"/>
              </w:rPr>
            </w:pPr>
          </w:p>
        </w:tc>
        <w:tc>
          <w:tcPr>
            <w:tcW w:w="319" w:type="dxa"/>
          </w:tcPr>
          <w:p>
            <w:pPr>
              <w:pStyle w:val="TableParagraph"/>
              <w:rPr>
                <w:rFonts w:ascii="Times New Roman"/>
                <w:sz w:val="12"/>
              </w:rPr>
            </w:pPr>
          </w:p>
        </w:tc>
        <w:tc>
          <w:tcPr>
            <w:tcW w:w="600" w:type="dxa"/>
          </w:tcPr>
          <w:p>
            <w:pPr>
              <w:pStyle w:val="TableParagraph"/>
              <w:spacing w:line="135" w:lineRule="exact" w:before="25"/>
              <w:ind w:left="66"/>
              <w:rPr>
                <w:rFonts w:ascii="Lucida Sans"/>
                <w:sz w:val="12"/>
              </w:rPr>
            </w:pPr>
            <w:r>
              <w:rPr>
                <w:rFonts w:ascii="Lucida Sans"/>
                <w:w w:val="174"/>
                <w:sz w:val="12"/>
              </w:rPr>
              <w:t>C</w:t>
            </w:r>
          </w:p>
        </w:tc>
        <w:tc>
          <w:tcPr>
            <w:tcW w:w="400" w:type="dxa"/>
          </w:tcPr>
          <w:p>
            <w:pPr>
              <w:pStyle w:val="TableParagraph"/>
              <w:rPr>
                <w:rFonts w:ascii="Times New Roman"/>
                <w:sz w:val="12"/>
              </w:rPr>
            </w:pPr>
          </w:p>
        </w:tc>
        <w:tc>
          <w:tcPr>
            <w:tcW w:w="776" w:type="dxa"/>
          </w:tcPr>
          <w:p>
            <w:pPr>
              <w:pStyle w:val="TableParagraph"/>
              <w:rPr>
                <w:rFonts w:ascii="Times New Roman"/>
                <w:sz w:val="12"/>
              </w:rPr>
            </w:pPr>
          </w:p>
        </w:tc>
        <w:tc>
          <w:tcPr>
            <w:tcW w:w="695" w:type="dxa"/>
          </w:tcPr>
          <w:p>
            <w:pPr>
              <w:pStyle w:val="TableParagraph"/>
              <w:rPr>
                <w:rFonts w:ascii="Times New Roman"/>
                <w:sz w:val="12"/>
              </w:rPr>
            </w:pPr>
          </w:p>
        </w:tc>
        <w:tc>
          <w:tcPr>
            <w:tcW w:w="432" w:type="dxa"/>
          </w:tcPr>
          <w:p>
            <w:pPr>
              <w:pStyle w:val="TableParagraph"/>
              <w:rPr>
                <w:rFonts w:ascii="Times New Roman"/>
                <w:sz w:val="12"/>
              </w:rPr>
            </w:pPr>
          </w:p>
        </w:tc>
        <w:tc>
          <w:tcPr>
            <w:tcW w:w="566" w:type="dxa"/>
          </w:tcPr>
          <w:p>
            <w:pPr>
              <w:pStyle w:val="TableParagraph"/>
              <w:spacing w:line="134" w:lineRule="exact" w:before="26"/>
              <w:ind w:left="134"/>
              <w:rPr>
                <w:sz w:val="12"/>
              </w:rPr>
            </w:pPr>
            <w:r>
              <w:rPr>
                <w:w w:val="105"/>
                <w:sz w:val="12"/>
              </w:rPr>
              <w:t>0.6%</w:t>
            </w:r>
          </w:p>
        </w:tc>
        <w:tc>
          <w:tcPr>
            <w:tcW w:w="725" w:type="dxa"/>
          </w:tcPr>
          <w:p>
            <w:pPr>
              <w:pStyle w:val="TableParagraph"/>
              <w:spacing w:line="134" w:lineRule="exact" w:before="26"/>
              <w:ind w:left="124"/>
              <w:rPr>
                <w:sz w:val="12"/>
              </w:rPr>
            </w:pPr>
            <w:r>
              <w:rPr>
                <w:w w:val="105"/>
                <w:sz w:val="12"/>
              </w:rPr>
              <w:t>0.6%</w:t>
            </w:r>
          </w:p>
        </w:tc>
        <w:tc>
          <w:tcPr>
            <w:tcW w:w="978" w:type="dxa"/>
          </w:tcPr>
          <w:p>
            <w:pPr>
              <w:pStyle w:val="TableParagraph"/>
              <w:spacing w:line="134" w:lineRule="exact" w:before="26"/>
              <w:ind w:left="128"/>
              <w:rPr>
                <w:sz w:val="12"/>
              </w:rPr>
            </w:pPr>
            <w:r>
              <w:rPr>
                <w:sz w:val="12"/>
              </w:rPr>
              <w:t>NR</w:t>
            </w:r>
          </w:p>
        </w:tc>
        <w:tc>
          <w:tcPr>
            <w:tcW w:w="1823" w:type="dxa"/>
          </w:tcPr>
          <w:p>
            <w:pPr>
              <w:pStyle w:val="TableParagraph"/>
              <w:spacing w:line="134" w:lineRule="exact" w:before="26"/>
              <w:ind w:left="502"/>
              <w:rPr>
                <w:sz w:val="12"/>
              </w:rPr>
            </w:pPr>
            <w:r>
              <w:rPr>
                <w:sz w:val="12"/>
              </w:rPr>
              <w:t>NR</w:t>
            </w:r>
          </w:p>
        </w:tc>
      </w:tr>
      <w:tr>
        <w:trPr>
          <w:trHeight w:val="176" w:hRule="atLeast"/>
        </w:trPr>
        <w:tc>
          <w:tcPr>
            <w:tcW w:w="2168" w:type="dxa"/>
          </w:tcPr>
          <w:p>
            <w:pPr>
              <w:pStyle w:val="TableParagraph"/>
              <w:rPr>
                <w:rFonts w:ascii="Times New Roman"/>
                <w:sz w:val="10"/>
              </w:rPr>
            </w:pPr>
          </w:p>
        </w:tc>
        <w:tc>
          <w:tcPr>
            <w:tcW w:w="968" w:type="dxa"/>
          </w:tcPr>
          <w:p>
            <w:pPr>
              <w:pStyle w:val="TableParagraph"/>
              <w:spacing w:line="140" w:lineRule="exact" w:before="17"/>
              <w:ind w:right="488"/>
              <w:jc w:val="right"/>
              <w:rPr>
                <w:sz w:val="12"/>
              </w:rPr>
            </w:pPr>
            <w:r>
              <w:rPr>
                <w:w w:val="125"/>
                <w:sz w:val="12"/>
              </w:rPr>
              <w:t>51</w:t>
            </w:r>
          </w:p>
        </w:tc>
        <w:tc>
          <w:tcPr>
            <w:tcW w:w="295" w:type="dxa"/>
          </w:tcPr>
          <w:p>
            <w:pPr>
              <w:pStyle w:val="TableParagraph"/>
              <w:spacing w:line="141" w:lineRule="exact" w:before="16"/>
              <w:ind w:left="-1"/>
              <w:rPr>
                <w:rFonts w:ascii="Lucida Sans"/>
                <w:sz w:val="12"/>
              </w:rPr>
            </w:pPr>
            <w:r>
              <w:rPr>
                <w:rFonts w:ascii="Lucida Sans"/>
                <w:w w:val="174"/>
                <w:sz w:val="12"/>
              </w:rPr>
              <w:t>C</w:t>
            </w:r>
          </w:p>
        </w:tc>
        <w:tc>
          <w:tcPr>
            <w:tcW w:w="233" w:type="dxa"/>
          </w:tcPr>
          <w:p>
            <w:pPr>
              <w:pStyle w:val="TableParagraph"/>
              <w:rPr>
                <w:rFonts w:ascii="Times New Roman"/>
                <w:sz w:val="10"/>
              </w:rPr>
            </w:pPr>
          </w:p>
        </w:tc>
        <w:tc>
          <w:tcPr>
            <w:tcW w:w="169" w:type="dxa"/>
          </w:tcPr>
          <w:p>
            <w:pPr>
              <w:pStyle w:val="TableParagraph"/>
              <w:rPr>
                <w:rFonts w:ascii="Times New Roman"/>
                <w:sz w:val="10"/>
              </w:rPr>
            </w:pPr>
          </w:p>
        </w:tc>
        <w:tc>
          <w:tcPr>
            <w:tcW w:w="402" w:type="dxa"/>
          </w:tcPr>
          <w:p>
            <w:pPr>
              <w:pStyle w:val="TableParagraph"/>
              <w:spacing w:line="141" w:lineRule="exact" w:before="16"/>
              <w:ind w:left="-4"/>
              <w:rPr>
                <w:rFonts w:ascii="Lucida Sans"/>
                <w:sz w:val="12"/>
              </w:rPr>
            </w:pPr>
            <w:r>
              <w:rPr>
                <w:rFonts w:ascii="Lucida Sans"/>
                <w:w w:val="174"/>
                <w:sz w:val="12"/>
              </w:rPr>
              <w:t>C</w:t>
            </w:r>
          </w:p>
        </w:tc>
        <w:tc>
          <w:tcPr>
            <w:tcW w:w="553" w:type="dxa"/>
          </w:tcPr>
          <w:p>
            <w:pPr>
              <w:pStyle w:val="TableParagraph"/>
              <w:rPr>
                <w:rFonts w:ascii="Times New Roman"/>
                <w:sz w:val="10"/>
              </w:rPr>
            </w:pPr>
          </w:p>
        </w:tc>
        <w:tc>
          <w:tcPr>
            <w:tcW w:w="169" w:type="dxa"/>
          </w:tcPr>
          <w:p>
            <w:pPr>
              <w:pStyle w:val="TableParagraph"/>
              <w:rPr>
                <w:rFonts w:ascii="Times New Roman"/>
                <w:sz w:val="10"/>
              </w:rPr>
            </w:pPr>
          </w:p>
        </w:tc>
        <w:tc>
          <w:tcPr>
            <w:tcW w:w="330" w:type="dxa"/>
          </w:tcPr>
          <w:p>
            <w:pPr>
              <w:pStyle w:val="TableParagraph"/>
              <w:spacing w:line="141" w:lineRule="exact" w:before="16"/>
              <w:ind w:left="-8"/>
              <w:rPr>
                <w:rFonts w:ascii="Lucida Sans"/>
                <w:sz w:val="12"/>
              </w:rPr>
            </w:pPr>
            <w:r>
              <w:rPr>
                <w:rFonts w:ascii="Lucida Sans"/>
                <w:w w:val="174"/>
                <w:sz w:val="12"/>
              </w:rPr>
              <w:t>C</w:t>
            </w:r>
          </w:p>
        </w:tc>
        <w:tc>
          <w:tcPr>
            <w:tcW w:w="537" w:type="dxa"/>
          </w:tcPr>
          <w:p>
            <w:pPr>
              <w:pStyle w:val="TableParagraph"/>
              <w:rPr>
                <w:rFonts w:ascii="Times New Roman"/>
                <w:sz w:val="10"/>
              </w:rPr>
            </w:pPr>
          </w:p>
        </w:tc>
        <w:tc>
          <w:tcPr>
            <w:tcW w:w="170" w:type="dxa"/>
          </w:tcPr>
          <w:p>
            <w:pPr>
              <w:pStyle w:val="TableParagraph"/>
              <w:rPr>
                <w:rFonts w:ascii="Times New Roman"/>
                <w:sz w:val="10"/>
              </w:rPr>
            </w:pPr>
          </w:p>
        </w:tc>
        <w:tc>
          <w:tcPr>
            <w:tcW w:w="229" w:type="dxa"/>
          </w:tcPr>
          <w:p>
            <w:pPr>
              <w:pStyle w:val="TableParagraph"/>
              <w:spacing w:line="156" w:lineRule="exact"/>
              <w:ind w:left="-13"/>
              <w:rPr>
                <w:rFonts w:ascii="Arial"/>
                <w:sz w:val="14"/>
              </w:rPr>
            </w:pPr>
            <w:r>
              <w:rPr>
                <w:rFonts w:ascii="Arial"/>
                <w:w w:val="97"/>
                <w:sz w:val="14"/>
              </w:rPr>
              <w:t>a</w:t>
            </w:r>
          </w:p>
        </w:tc>
        <w:tc>
          <w:tcPr>
            <w:tcW w:w="319" w:type="dxa"/>
          </w:tcPr>
          <w:p>
            <w:pPr>
              <w:pStyle w:val="TableParagraph"/>
              <w:rPr>
                <w:rFonts w:ascii="Times New Roman"/>
                <w:sz w:val="10"/>
              </w:rPr>
            </w:pPr>
          </w:p>
        </w:tc>
        <w:tc>
          <w:tcPr>
            <w:tcW w:w="600" w:type="dxa"/>
          </w:tcPr>
          <w:p>
            <w:pPr>
              <w:pStyle w:val="TableParagraph"/>
              <w:rPr>
                <w:rFonts w:ascii="Times New Roman"/>
                <w:sz w:val="10"/>
              </w:rPr>
            </w:pPr>
          </w:p>
        </w:tc>
        <w:tc>
          <w:tcPr>
            <w:tcW w:w="400" w:type="dxa"/>
          </w:tcPr>
          <w:p>
            <w:pPr>
              <w:pStyle w:val="TableParagraph"/>
              <w:spacing w:line="140" w:lineRule="exact" w:before="17"/>
              <w:ind w:right="147"/>
              <w:jc w:val="center"/>
              <w:rPr>
                <w:sz w:val="12"/>
              </w:rPr>
            </w:pPr>
            <w:r>
              <w:rPr>
                <w:w w:val="108"/>
                <w:sz w:val="12"/>
              </w:rPr>
              <w:t>M</w:t>
            </w:r>
          </w:p>
        </w:tc>
        <w:tc>
          <w:tcPr>
            <w:tcW w:w="776" w:type="dxa"/>
          </w:tcPr>
          <w:p>
            <w:pPr>
              <w:pStyle w:val="TableParagraph"/>
              <w:rPr>
                <w:rFonts w:ascii="Times New Roman"/>
                <w:sz w:val="10"/>
              </w:rPr>
            </w:pPr>
          </w:p>
        </w:tc>
        <w:tc>
          <w:tcPr>
            <w:tcW w:w="695" w:type="dxa"/>
          </w:tcPr>
          <w:p>
            <w:pPr>
              <w:pStyle w:val="TableParagraph"/>
              <w:spacing w:line="140" w:lineRule="exact" w:before="17"/>
              <w:ind w:left="57"/>
              <w:rPr>
                <w:sz w:val="12"/>
              </w:rPr>
            </w:pPr>
            <w:r>
              <w:rPr>
                <w:w w:val="110"/>
                <w:sz w:val="12"/>
              </w:rPr>
              <w:t>X</w:t>
            </w:r>
          </w:p>
        </w:tc>
        <w:tc>
          <w:tcPr>
            <w:tcW w:w="432" w:type="dxa"/>
          </w:tcPr>
          <w:p>
            <w:pPr>
              <w:pStyle w:val="TableParagraph"/>
              <w:spacing w:line="140" w:lineRule="exact" w:before="17"/>
              <w:ind w:left="54"/>
              <w:rPr>
                <w:sz w:val="12"/>
              </w:rPr>
            </w:pPr>
            <w:r>
              <w:rPr>
                <w:w w:val="110"/>
                <w:sz w:val="12"/>
              </w:rPr>
              <w:t>SS</w:t>
            </w:r>
          </w:p>
        </w:tc>
        <w:tc>
          <w:tcPr>
            <w:tcW w:w="566" w:type="dxa"/>
          </w:tcPr>
          <w:p>
            <w:pPr>
              <w:pStyle w:val="TableParagraph"/>
              <w:spacing w:line="140" w:lineRule="exact" w:before="17"/>
              <w:ind w:left="134"/>
              <w:rPr>
                <w:sz w:val="12"/>
              </w:rPr>
            </w:pPr>
            <w:r>
              <w:rPr>
                <w:w w:val="105"/>
                <w:sz w:val="12"/>
              </w:rPr>
              <w:t>3.9%</w:t>
            </w:r>
          </w:p>
        </w:tc>
        <w:tc>
          <w:tcPr>
            <w:tcW w:w="725" w:type="dxa"/>
          </w:tcPr>
          <w:p>
            <w:pPr>
              <w:pStyle w:val="TableParagraph"/>
              <w:spacing w:line="140" w:lineRule="exact" w:before="17"/>
              <w:ind w:left="124"/>
              <w:rPr>
                <w:sz w:val="12"/>
              </w:rPr>
            </w:pPr>
            <w:r>
              <w:rPr>
                <w:w w:val="105"/>
                <w:sz w:val="12"/>
              </w:rPr>
              <w:t>0.0%</w:t>
            </w:r>
          </w:p>
        </w:tc>
        <w:tc>
          <w:tcPr>
            <w:tcW w:w="978" w:type="dxa"/>
          </w:tcPr>
          <w:p>
            <w:pPr>
              <w:pStyle w:val="TableParagraph"/>
              <w:spacing w:line="140" w:lineRule="exact" w:before="17"/>
              <w:ind w:left="128"/>
              <w:rPr>
                <w:sz w:val="12"/>
              </w:rPr>
            </w:pPr>
            <w:r>
              <w:rPr>
                <w:sz w:val="12"/>
              </w:rPr>
              <w:t>NR</w:t>
            </w:r>
          </w:p>
        </w:tc>
        <w:tc>
          <w:tcPr>
            <w:tcW w:w="1823" w:type="dxa"/>
          </w:tcPr>
          <w:p>
            <w:pPr>
              <w:pStyle w:val="TableParagraph"/>
              <w:spacing w:line="140" w:lineRule="exact" w:before="17"/>
              <w:ind w:left="502"/>
              <w:rPr>
                <w:sz w:val="12"/>
              </w:rPr>
            </w:pPr>
            <w:r>
              <w:rPr>
                <w:w w:val="105"/>
                <w:sz w:val="12"/>
              </w:rPr>
              <w:t>2.0%</w:t>
            </w:r>
          </w:p>
        </w:tc>
      </w:tr>
      <w:tr>
        <w:trPr>
          <w:trHeight w:val="155" w:hRule="atLeast"/>
        </w:trPr>
        <w:tc>
          <w:tcPr>
            <w:tcW w:w="2168" w:type="dxa"/>
          </w:tcPr>
          <w:p>
            <w:pPr>
              <w:pStyle w:val="TableParagraph"/>
              <w:rPr>
                <w:rFonts w:ascii="Times New Roman"/>
                <w:sz w:val="10"/>
              </w:rPr>
            </w:pPr>
          </w:p>
        </w:tc>
        <w:tc>
          <w:tcPr>
            <w:tcW w:w="968" w:type="dxa"/>
          </w:tcPr>
          <w:p>
            <w:pPr>
              <w:pStyle w:val="TableParagraph"/>
              <w:spacing w:line="125" w:lineRule="exact" w:before="11"/>
              <w:ind w:right="488"/>
              <w:jc w:val="right"/>
              <w:rPr>
                <w:sz w:val="12"/>
              </w:rPr>
            </w:pPr>
            <w:r>
              <w:rPr>
                <w:w w:val="125"/>
                <w:sz w:val="12"/>
              </w:rPr>
              <w:t>46</w:t>
            </w:r>
          </w:p>
        </w:tc>
        <w:tc>
          <w:tcPr>
            <w:tcW w:w="295" w:type="dxa"/>
          </w:tcPr>
          <w:p>
            <w:pPr>
              <w:pStyle w:val="TableParagraph"/>
              <w:spacing w:line="126" w:lineRule="exact" w:before="10"/>
              <w:ind w:left="-1"/>
              <w:rPr>
                <w:rFonts w:ascii="Lucida Sans"/>
                <w:sz w:val="12"/>
              </w:rPr>
            </w:pPr>
            <w:r>
              <w:rPr>
                <w:rFonts w:ascii="Lucida Sans"/>
                <w:w w:val="174"/>
                <w:sz w:val="12"/>
              </w:rPr>
              <w:t>C</w:t>
            </w:r>
          </w:p>
        </w:tc>
        <w:tc>
          <w:tcPr>
            <w:tcW w:w="233" w:type="dxa"/>
          </w:tcPr>
          <w:p>
            <w:pPr>
              <w:pStyle w:val="TableParagraph"/>
              <w:rPr>
                <w:rFonts w:ascii="Times New Roman"/>
                <w:sz w:val="10"/>
              </w:rPr>
            </w:pPr>
          </w:p>
        </w:tc>
        <w:tc>
          <w:tcPr>
            <w:tcW w:w="169" w:type="dxa"/>
          </w:tcPr>
          <w:p>
            <w:pPr>
              <w:pStyle w:val="TableParagraph"/>
              <w:rPr>
                <w:rFonts w:ascii="Times New Roman"/>
                <w:sz w:val="10"/>
              </w:rPr>
            </w:pPr>
          </w:p>
        </w:tc>
        <w:tc>
          <w:tcPr>
            <w:tcW w:w="402" w:type="dxa"/>
          </w:tcPr>
          <w:p>
            <w:pPr>
              <w:pStyle w:val="TableParagraph"/>
              <w:spacing w:line="126" w:lineRule="exact" w:before="10"/>
              <w:ind w:left="-4"/>
              <w:rPr>
                <w:rFonts w:ascii="Lucida Sans"/>
                <w:sz w:val="12"/>
              </w:rPr>
            </w:pPr>
            <w:r>
              <w:rPr>
                <w:rFonts w:ascii="Lucida Sans"/>
                <w:w w:val="174"/>
                <w:sz w:val="12"/>
              </w:rPr>
              <w:t>C</w:t>
            </w:r>
          </w:p>
        </w:tc>
        <w:tc>
          <w:tcPr>
            <w:tcW w:w="553" w:type="dxa"/>
          </w:tcPr>
          <w:p>
            <w:pPr>
              <w:pStyle w:val="TableParagraph"/>
              <w:rPr>
                <w:rFonts w:ascii="Times New Roman"/>
                <w:sz w:val="10"/>
              </w:rPr>
            </w:pPr>
          </w:p>
        </w:tc>
        <w:tc>
          <w:tcPr>
            <w:tcW w:w="169" w:type="dxa"/>
          </w:tcPr>
          <w:p>
            <w:pPr>
              <w:pStyle w:val="TableParagraph"/>
              <w:rPr>
                <w:rFonts w:ascii="Times New Roman"/>
                <w:sz w:val="10"/>
              </w:rPr>
            </w:pPr>
          </w:p>
        </w:tc>
        <w:tc>
          <w:tcPr>
            <w:tcW w:w="330" w:type="dxa"/>
          </w:tcPr>
          <w:p>
            <w:pPr>
              <w:pStyle w:val="TableParagraph"/>
              <w:rPr>
                <w:rFonts w:ascii="Times New Roman"/>
                <w:sz w:val="10"/>
              </w:rPr>
            </w:pPr>
          </w:p>
        </w:tc>
        <w:tc>
          <w:tcPr>
            <w:tcW w:w="537" w:type="dxa"/>
          </w:tcPr>
          <w:p>
            <w:pPr>
              <w:pStyle w:val="TableParagraph"/>
              <w:spacing w:line="125" w:lineRule="exact" w:before="11"/>
              <w:ind w:left="174"/>
              <w:rPr>
                <w:sz w:val="12"/>
              </w:rPr>
            </w:pPr>
            <w:r>
              <w:rPr>
                <w:sz w:val="12"/>
              </w:rPr>
              <w:t>VL</w:t>
            </w:r>
          </w:p>
        </w:tc>
        <w:tc>
          <w:tcPr>
            <w:tcW w:w="170" w:type="dxa"/>
          </w:tcPr>
          <w:p>
            <w:pPr>
              <w:pStyle w:val="TableParagraph"/>
              <w:rPr>
                <w:rFonts w:ascii="Times New Roman"/>
                <w:sz w:val="10"/>
              </w:rPr>
            </w:pPr>
          </w:p>
        </w:tc>
        <w:tc>
          <w:tcPr>
            <w:tcW w:w="229" w:type="dxa"/>
          </w:tcPr>
          <w:p>
            <w:pPr>
              <w:pStyle w:val="TableParagraph"/>
              <w:rPr>
                <w:rFonts w:ascii="Times New Roman"/>
                <w:sz w:val="10"/>
              </w:rPr>
            </w:pPr>
          </w:p>
        </w:tc>
        <w:tc>
          <w:tcPr>
            <w:tcW w:w="319" w:type="dxa"/>
          </w:tcPr>
          <w:p>
            <w:pPr>
              <w:pStyle w:val="TableParagraph"/>
              <w:rPr>
                <w:rFonts w:ascii="Times New Roman"/>
                <w:sz w:val="10"/>
              </w:rPr>
            </w:pPr>
          </w:p>
        </w:tc>
        <w:tc>
          <w:tcPr>
            <w:tcW w:w="600" w:type="dxa"/>
          </w:tcPr>
          <w:p>
            <w:pPr>
              <w:pStyle w:val="TableParagraph"/>
              <w:rPr>
                <w:rFonts w:ascii="Times New Roman"/>
                <w:sz w:val="10"/>
              </w:rPr>
            </w:pPr>
          </w:p>
        </w:tc>
        <w:tc>
          <w:tcPr>
            <w:tcW w:w="400" w:type="dxa"/>
          </w:tcPr>
          <w:p>
            <w:pPr>
              <w:pStyle w:val="TableParagraph"/>
              <w:spacing w:line="125" w:lineRule="exact" w:before="11"/>
              <w:ind w:right="147"/>
              <w:jc w:val="center"/>
              <w:rPr>
                <w:sz w:val="12"/>
              </w:rPr>
            </w:pPr>
            <w:r>
              <w:rPr>
                <w:w w:val="108"/>
                <w:sz w:val="12"/>
              </w:rPr>
              <w:t>M</w:t>
            </w:r>
          </w:p>
        </w:tc>
        <w:tc>
          <w:tcPr>
            <w:tcW w:w="776" w:type="dxa"/>
          </w:tcPr>
          <w:p>
            <w:pPr>
              <w:pStyle w:val="TableParagraph"/>
              <w:rPr>
                <w:rFonts w:ascii="Times New Roman"/>
                <w:sz w:val="10"/>
              </w:rPr>
            </w:pPr>
          </w:p>
        </w:tc>
        <w:tc>
          <w:tcPr>
            <w:tcW w:w="695" w:type="dxa"/>
          </w:tcPr>
          <w:p>
            <w:pPr>
              <w:pStyle w:val="TableParagraph"/>
              <w:spacing w:line="125" w:lineRule="exact" w:before="11"/>
              <w:ind w:left="57"/>
              <w:rPr>
                <w:sz w:val="12"/>
              </w:rPr>
            </w:pPr>
            <w:r>
              <w:rPr>
                <w:w w:val="110"/>
                <w:sz w:val="12"/>
              </w:rPr>
              <w:t>X</w:t>
            </w:r>
          </w:p>
        </w:tc>
        <w:tc>
          <w:tcPr>
            <w:tcW w:w="432" w:type="dxa"/>
          </w:tcPr>
          <w:p>
            <w:pPr>
              <w:pStyle w:val="TableParagraph"/>
              <w:spacing w:line="125" w:lineRule="exact" w:before="11"/>
              <w:ind w:left="54"/>
              <w:rPr>
                <w:sz w:val="12"/>
              </w:rPr>
            </w:pPr>
            <w:r>
              <w:rPr>
                <w:w w:val="110"/>
                <w:sz w:val="12"/>
              </w:rPr>
              <w:t>SS</w:t>
            </w:r>
          </w:p>
        </w:tc>
        <w:tc>
          <w:tcPr>
            <w:tcW w:w="566" w:type="dxa"/>
          </w:tcPr>
          <w:p>
            <w:pPr>
              <w:pStyle w:val="TableParagraph"/>
              <w:spacing w:line="125" w:lineRule="exact" w:before="11"/>
              <w:ind w:left="134"/>
              <w:rPr>
                <w:sz w:val="12"/>
              </w:rPr>
            </w:pPr>
            <w:r>
              <w:rPr>
                <w:w w:val="105"/>
                <w:sz w:val="12"/>
              </w:rPr>
              <w:t>2.2%</w:t>
            </w:r>
          </w:p>
        </w:tc>
        <w:tc>
          <w:tcPr>
            <w:tcW w:w="725" w:type="dxa"/>
          </w:tcPr>
          <w:p>
            <w:pPr>
              <w:pStyle w:val="TableParagraph"/>
              <w:spacing w:line="125" w:lineRule="exact" w:before="11"/>
              <w:ind w:left="124"/>
              <w:rPr>
                <w:sz w:val="12"/>
              </w:rPr>
            </w:pPr>
            <w:r>
              <w:rPr>
                <w:w w:val="105"/>
                <w:sz w:val="12"/>
              </w:rPr>
              <w:t>0.0%</w:t>
            </w:r>
          </w:p>
        </w:tc>
        <w:tc>
          <w:tcPr>
            <w:tcW w:w="978" w:type="dxa"/>
          </w:tcPr>
          <w:p>
            <w:pPr>
              <w:pStyle w:val="TableParagraph"/>
              <w:spacing w:line="125" w:lineRule="exact" w:before="11"/>
              <w:ind w:left="128"/>
              <w:rPr>
                <w:sz w:val="12"/>
              </w:rPr>
            </w:pPr>
            <w:r>
              <w:rPr>
                <w:sz w:val="12"/>
              </w:rPr>
              <w:t>NR</w:t>
            </w:r>
          </w:p>
        </w:tc>
        <w:tc>
          <w:tcPr>
            <w:tcW w:w="1823" w:type="dxa"/>
          </w:tcPr>
          <w:p>
            <w:pPr>
              <w:pStyle w:val="TableParagraph"/>
              <w:spacing w:line="125" w:lineRule="exact" w:before="11"/>
              <w:ind w:left="502"/>
              <w:rPr>
                <w:sz w:val="12"/>
              </w:rPr>
            </w:pPr>
            <w:r>
              <w:rPr>
                <w:w w:val="105"/>
                <w:sz w:val="12"/>
              </w:rPr>
              <w:t>2.2%</w:t>
            </w:r>
          </w:p>
        </w:tc>
      </w:tr>
      <w:tr>
        <w:trPr>
          <w:trHeight w:val="181" w:hRule="atLeast"/>
        </w:trPr>
        <w:tc>
          <w:tcPr>
            <w:tcW w:w="2168" w:type="dxa"/>
          </w:tcPr>
          <w:p>
            <w:pPr>
              <w:pStyle w:val="TableParagraph"/>
              <w:spacing w:line="135" w:lineRule="exact" w:before="26"/>
              <w:ind w:left="120"/>
              <w:rPr>
                <w:sz w:val="12"/>
              </w:rPr>
            </w:pPr>
            <w:r>
              <w:rPr>
                <w:w w:val="115"/>
                <w:sz w:val="12"/>
              </w:rPr>
              <w:t>Ting et al., 2012 [</w:t>
            </w:r>
            <w:hyperlink w:history="true" w:anchor="_bookmark49">
              <w:r>
                <w:rPr>
                  <w:color w:val="007FAC"/>
                  <w:w w:val="115"/>
                  <w:sz w:val="12"/>
                </w:rPr>
                <w:t>38</w:t>
              </w:r>
            </w:hyperlink>
            <w:r>
              <w:rPr>
                <w:w w:val="115"/>
                <w:sz w:val="12"/>
              </w:rPr>
              <w:t>]</w:t>
            </w:r>
            <w:r>
              <w:rPr>
                <w:w w:val="115"/>
                <w:sz w:val="12"/>
                <w:vertAlign w:val="superscript"/>
              </w:rPr>
              <w:t>,</w:t>
            </w:r>
            <w:hyperlink w:history="true" w:anchor="_bookmark109">
              <w:r>
                <w:rPr>
                  <w:color w:val="007FAC"/>
                  <w:w w:val="115"/>
                  <w:sz w:val="12"/>
                  <w:vertAlign w:val="superscript"/>
                </w:rPr>
                <w:t>c</w:t>
              </w:r>
            </w:hyperlink>
          </w:p>
        </w:tc>
        <w:tc>
          <w:tcPr>
            <w:tcW w:w="968" w:type="dxa"/>
          </w:tcPr>
          <w:p>
            <w:pPr>
              <w:pStyle w:val="TableParagraph"/>
              <w:spacing w:line="135" w:lineRule="exact" w:before="26"/>
              <w:ind w:right="488"/>
              <w:jc w:val="right"/>
              <w:rPr>
                <w:sz w:val="12"/>
              </w:rPr>
            </w:pPr>
            <w:r>
              <w:rPr>
                <w:w w:val="125"/>
                <w:sz w:val="12"/>
              </w:rPr>
              <w:t>29</w:t>
            </w:r>
          </w:p>
        </w:tc>
        <w:tc>
          <w:tcPr>
            <w:tcW w:w="295" w:type="dxa"/>
          </w:tcPr>
          <w:p>
            <w:pPr>
              <w:pStyle w:val="TableParagraph"/>
              <w:spacing w:line="136" w:lineRule="exact" w:before="25"/>
              <w:ind w:left="-1"/>
              <w:rPr>
                <w:rFonts w:ascii="Lucida Sans"/>
                <w:sz w:val="12"/>
              </w:rPr>
            </w:pPr>
            <w:r>
              <w:rPr>
                <w:rFonts w:ascii="Lucida Sans"/>
                <w:w w:val="174"/>
                <w:sz w:val="12"/>
              </w:rPr>
              <w:t>C</w:t>
            </w:r>
          </w:p>
        </w:tc>
        <w:tc>
          <w:tcPr>
            <w:tcW w:w="233" w:type="dxa"/>
          </w:tcPr>
          <w:p>
            <w:pPr>
              <w:pStyle w:val="TableParagraph"/>
              <w:rPr>
                <w:rFonts w:ascii="Times New Roman"/>
                <w:sz w:val="12"/>
              </w:rPr>
            </w:pPr>
          </w:p>
        </w:tc>
        <w:tc>
          <w:tcPr>
            <w:tcW w:w="169" w:type="dxa"/>
          </w:tcPr>
          <w:p>
            <w:pPr>
              <w:pStyle w:val="TableParagraph"/>
              <w:rPr>
                <w:rFonts w:ascii="Times New Roman"/>
                <w:sz w:val="12"/>
              </w:rPr>
            </w:pPr>
          </w:p>
        </w:tc>
        <w:tc>
          <w:tcPr>
            <w:tcW w:w="402" w:type="dxa"/>
          </w:tcPr>
          <w:p>
            <w:pPr>
              <w:pStyle w:val="TableParagraph"/>
              <w:spacing w:line="136" w:lineRule="exact" w:before="25"/>
              <w:ind w:left="-4"/>
              <w:rPr>
                <w:rFonts w:ascii="Lucida Sans"/>
                <w:sz w:val="12"/>
              </w:rPr>
            </w:pPr>
            <w:r>
              <w:rPr>
                <w:rFonts w:ascii="Lucida Sans"/>
                <w:w w:val="174"/>
                <w:sz w:val="12"/>
              </w:rPr>
              <w:t>C</w:t>
            </w:r>
          </w:p>
        </w:tc>
        <w:tc>
          <w:tcPr>
            <w:tcW w:w="553" w:type="dxa"/>
          </w:tcPr>
          <w:p>
            <w:pPr>
              <w:pStyle w:val="TableParagraph"/>
              <w:rPr>
                <w:rFonts w:ascii="Times New Roman"/>
                <w:sz w:val="12"/>
              </w:rPr>
            </w:pPr>
          </w:p>
        </w:tc>
        <w:tc>
          <w:tcPr>
            <w:tcW w:w="169" w:type="dxa"/>
          </w:tcPr>
          <w:p>
            <w:pPr>
              <w:pStyle w:val="TableParagraph"/>
              <w:rPr>
                <w:rFonts w:ascii="Times New Roman"/>
                <w:sz w:val="12"/>
              </w:rPr>
            </w:pPr>
          </w:p>
        </w:tc>
        <w:tc>
          <w:tcPr>
            <w:tcW w:w="330" w:type="dxa"/>
          </w:tcPr>
          <w:p>
            <w:pPr>
              <w:pStyle w:val="TableParagraph"/>
              <w:spacing w:line="136" w:lineRule="exact" w:before="25"/>
              <w:ind w:left="-8"/>
              <w:rPr>
                <w:rFonts w:ascii="Lucida Sans"/>
                <w:sz w:val="12"/>
              </w:rPr>
            </w:pPr>
            <w:r>
              <w:rPr>
                <w:rFonts w:ascii="Lucida Sans"/>
                <w:w w:val="174"/>
                <w:sz w:val="12"/>
              </w:rPr>
              <w:t>C</w:t>
            </w:r>
          </w:p>
        </w:tc>
        <w:tc>
          <w:tcPr>
            <w:tcW w:w="537" w:type="dxa"/>
          </w:tcPr>
          <w:p>
            <w:pPr>
              <w:pStyle w:val="TableParagraph"/>
              <w:rPr>
                <w:rFonts w:ascii="Times New Roman"/>
                <w:sz w:val="12"/>
              </w:rPr>
            </w:pPr>
          </w:p>
        </w:tc>
        <w:tc>
          <w:tcPr>
            <w:tcW w:w="170" w:type="dxa"/>
          </w:tcPr>
          <w:p>
            <w:pPr>
              <w:pStyle w:val="TableParagraph"/>
              <w:rPr>
                <w:rFonts w:ascii="Times New Roman"/>
                <w:sz w:val="12"/>
              </w:rPr>
            </w:pPr>
          </w:p>
        </w:tc>
        <w:tc>
          <w:tcPr>
            <w:tcW w:w="229" w:type="dxa"/>
          </w:tcPr>
          <w:p>
            <w:pPr>
              <w:pStyle w:val="TableParagraph"/>
              <w:rPr>
                <w:rFonts w:ascii="Times New Roman"/>
                <w:sz w:val="12"/>
              </w:rPr>
            </w:pPr>
          </w:p>
        </w:tc>
        <w:tc>
          <w:tcPr>
            <w:tcW w:w="319" w:type="dxa"/>
          </w:tcPr>
          <w:p>
            <w:pPr>
              <w:pStyle w:val="TableParagraph"/>
              <w:rPr>
                <w:rFonts w:ascii="Times New Roman"/>
                <w:sz w:val="12"/>
              </w:rPr>
            </w:pPr>
          </w:p>
        </w:tc>
        <w:tc>
          <w:tcPr>
            <w:tcW w:w="600" w:type="dxa"/>
          </w:tcPr>
          <w:p>
            <w:pPr>
              <w:pStyle w:val="TableParagraph"/>
              <w:spacing w:line="136" w:lineRule="exact" w:before="25"/>
              <w:ind w:left="66"/>
              <w:rPr>
                <w:rFonts w:ascii="Lucida Sans"/>
                <w:sz w:val="12"/>
              </w:rPr>
            </w:pPr>
            <w:r>
              <w:rPr>
                <w:rFonts w:ascii="Lucida Sans"/>
                <w:w w:val="174"/>
                <w:sz w:val="12"/>
              </w:rPr>
              <w:t>C</w:t>
            </w:r>
          </w:p>
        </w:tc>
        <w:tc>
          <w:tcPr>
            <w:tcW w:w="400" w:type="dxa"/>
          </w:tcPr>
          <w:p>
            <w:pPr>
              <w:pStyle w:val="TableParagraph"/>
              <w:spacing w:line="135" w:lineRule="exact" w:before="26"/>
              <w:ind w:right="176"/>
              <w:jc w:val="center"/>
              <w:rPr>
                <w:sz w:val="12"/>
              </w:rPr>
            </w:pPr>
            <w:r>
              <w:rPr>
                <w:w w:val="101"/>
                <w:sz w:val="12"/>
              </w:rPr>
              <w:t>D</w:t>
            </w:r>
          </w:p>
        </w:tc>
        <w:tc>
          <w:tcPr>
            <w:tcW w:w="776" w:type="dxa"/>
          </w:tcPr>
          <w:p>
            <w:pPr>
              <w:pStyle w:val="TableParagraph"/>
              <w:rPr>
                <w:rFonts w:ascii="Times New Roman"/>
                <w:sz w:val="12"/>
              </w:rPr>
            </w:pPr>
          </w:p>
        </w:tc>
        <w:tc>
          <w:tcPr>
            <w:tcW w:w="695" w:type="dxa"/>
          </w:tcPr>
          <w:p>
            <w:pPr>
              <w:pStyle w:val="TableParagraph"/>
              <w:rPr>
                <w:rFonts w:ascii="Times New Roman"/>
                <w:sz w:val="12"/>
              </w:rPr>
            </w:pPr>
          </w:p>
        </w:tc>
        <w:tc>
          <w:tcPr>
            <w:tcW w:w="432" w:type="dxa"/>
          </w:tcPr>
          <w:p>
            <w:pPr>
              <w:pStyle w:val="TableParagraph"/>
              <w:rPr>
                <w:rFonts w:ascii="Times New Roman"/>
                <w:sz w:val="12"/>
              </w:rPr>
            </w:pPr>
          </w:p>
        </w:tc>
        <w:tc>
          <w:tcPr>
            <w:tcW w:w="566" w:type="dxa"/>
          </w:tcPr>
          <w:p>
            <w:pPr>
              <w:pStyle w:val="TableParagraph"/>
              <w:spacing w:line="135" w:lineRule="exact" w:before="26"/>
              <w:ind w:left="134"/>
              <w:rPr>
                <w:sz w:val="12"/>
              </w:rPr>
            </w:pPr>
            <w:r>
              <w:rPr>
                <w:w w:val="105"/>
                <w:sz w:val="12"/>
              </w:rPr>
              <w:t>0.0%</w:t>
            </w:r>
          </w:p>
        </w:tc>
        <w:tc>
          <w:tcPr>
            <w:tcW w:w="725" w:type="dxa"/>
          </w:tcPr>
          <w:p>
            <w:pPr>
              <w:pStyle w:val="TableParagraph"/>
              <w:spacing w:line="135" w:lineRule="exact" w:before="26"/>
              <w:ind w:left="48"/>
              <w:rPr>
                <w:sz w:val="12"/>
              </w:rPr>
            </w:pPr>
            <w:r>
              <w:rPr>
                <w:w w:val="110"/>
                <w:sz w:val="12"/>
              </w:rPr>
              <w:t>10.3%</w:t>
            </w:r>
          </w:p>
        </w:tc>
        <w:tc>
          <w:tcPr>
            <w:tcW w:w="978" w:type="dxa"/>
          </w:tcPr>
          <w:p>
            <w:pPr>
              <w:pStyle w:val="TableParagraph"/>
              <w:spacing w:line="135" w:lineRule="exact" w:before="26"/>
              <w:ind w:left="128"/>
              <w:rPr>
                <w:sz w:val="12"/>
              </w:rPr>
            </w:pPr>
            <w:r>
              <w:rPr>
                <w:w w:val="105"/>
                <w:sz w:val="12"/>
              </w:rPr>
              <w:t>0.0%</w:t>
            </w:r>
          </w:p>
        </w:tc>
        <w:tc>
          <w:tcPr>
            <w:tcW w:w="1823" w:type="dxa"/>
          </w:tcPr>
          <w:p>
            <w:pPr>
              <w:pStyle w:val="TableParagraph"/>
              <w:spacing w:line="135" w:lineRule="exact" w:before="26"/>
              <w:ind w:left="502"/>
              <w:rPr>
                <w:sz w:val="12"/>
              </w:rPr>
            </w:pPr>
            <w:r>
              <w:rPr>
                <w:sz w:val="12"/>
              </w:rPr>
              <w:t>NR</w:t>
            </w:r>
          </w:p>
        </w:tc>
      </w:tr>
      <w:tr>
        <w:trPr>
          <w:trHeight w:val="162" w:hRule="atLeast"/>
        </w:trPr>
        <w:tc>
          <w:tcPr>
            <w:tcW w:w="2168" w:type="dxa"/>
          </w:tcPr>
          <w:p>
            <w:pPr>
              <w:pStyle w:val="TableParagraph"/>
              <w:rPr>
                <w:rFonts w:ascii="Times New Roman"/>
                <w:sz w:val="10"/>
              </w:rPr>
            </w:pPr>
          </w:p>
        </w:tc>
        <w:tc>
          <w:tcPr>
            <w:tcW w:w="968" w:type="dxa"/>
          </w:tcPr>
          <w:p>
            <w:pPr>
              <w:pStyle w:val="TableParagraph"/>
              <w:spacing w:line="125" w:lineRule="exact" w:before="17"/>
              <w:ind w:right="488"/>
              <w:jc w:val="right"/>
              <w:rPr>
                <w:sz w:val="12"/>
              </w:rPr>
            </w:pPr>
            <w:r>
              <w:rPr>
                <w:w w:val="125"/>
                <w:sz w:val="12"/>
              </w:rPr>
              <w:t>31</w:t>
            </w:r>
          </w:p>
        </w:tc>
        <w:tc>
          <w:tcPr>
            <w:tcW w:w="295" w:type="dxa"/>
          </w:tcPr>
          <w:p>
            <w:pPr>
              <w:pStyle w:val="TableParagraph"/>
              <w:rPr>
                <w:rFonts w:ascii="Times New Roman"/>
                <w:sz w:val="10"/>
              </w:rPr>
            </w:pPr>
          </w:p>
        </w:tc>
        <w:tc>
          <w:tcPr>
            <w:tcW w:w="233" w:type="dxa"/>
          </w:tcPr>
          <w:p>
            <w:pPr>
              <w:pStyle w:val="TableParagraph"/>
              <w:spacing w:line="125" w:lineRule="exact" w:before="17"/>
              <w:ind w:left="82"/>
              <w:rPr>
                <w:sz w:val="12"/>
              </w:rPr>
            </w:pPr>
            <w:r>
              <w:rPr>
                <w:w w:val="99"/>
                <w:sz w:val="12"/>
              </w:rPr>
              <w:t>Q</w:t>
            </w:r>
          </w:p>
        </w:tc>
        <w:tc>
          <w:tcPr>
            <w:tcW w:w="169" w:type="dxa"/>
          </w:tcPr>
          <w:p>
            <w:pPr>
              <w:pStyle w:val="TableParagraph"/>
              <w:rPr>
                <w:rFonts w:ascii="Times New Roman"/>
                <w:sz w:val="10"/>
              </w:rPr>
            </w:pPr>
          </w:p>
        </w:tc>
        <w:tc>
          <w:tcPr>
            <w:tcW w:w="402" w:type="dxa"/>
          </w:tcPr>
          <w:p>
            <w:pPr>
              <w:pStyle w:val="TableParagraph"/>
              <w:rPr>
                <w:rFonts w:ascii="Times New Roman"/>
                <w:sz w:val="10"/>
              </w:rPr>
            </w:pPr>
          </w:p>
        </w:tc>
        <w:tc>
          <w:tcPr>
            <w:tcW w:w="553" w:type="dxa"/>
          </w:tcPr>
          <w:p>
            <w:pPr>
              <w:pStyle w:val="TableParagraph"/>
              <w:spacing w:line="125" w:lineRule="exact" w:before="17"/>
              <w:ind w:left="185"/>
              <w:rPr>
                <w:sz w:val="12"/>
              </w:rPr>
            </w:pPr>
            <w:r>
              <w:rPr>
                <w:w w:val="99"/>
                <w:sz w:val="12"/>
              </w:rPr>
              <w:t>Q</w:t>
            </w:r>
          </w:p>
        </w:tc>
        <w:tc>
          <w:tcPr>
            <w:tcW w:w="169" w:type="dxa"/>
          </w:tcPr>
          <w:p>
            <w:pPr>
              <w:pStyle w:val="TableParagraph"/>
              <w:rPr>
                <w:rFonts w:ascii="Times New Roman"/>
                <w:sz w:val="10"/>
              </w:rPr>
            </w:pPr>
          </w:p>
        </w:tc>
        <w:tc>
          <w:tcPr>
            <w:tcW w:w="330" w:type="dxa"/>
          </w:tcPr>
          <w:p>
            <w:pPr>
              <w:pStyle w:val="TableParagraph"/>
              <w:rPr>
                <w:rFonts w:ascii="Times New Roman"/>
                <w:sz w:val="10"/>
              </w:rPr>
            </w:pPr>
          </w:p>
        </w:tc>
        <w:tc>
          <w:tcPr>
            <w:tcW w:w="537" w:type="dxa"/>
          </w:tcPr>
          <w:p>
            <w:pPr>
              <w:pStyle w:val="TableParagraph"/>
              <w:spacing w:line="125" w:lineRule="exact" w:before="17"/>
              <w:ind w:left="174"/>
              <w:rPr>
                <w:sz w:val="12"/>
              </w:rPr>
            </w:pPr>
            <w:r>
              <w:rPr>
                <w:w w:val="99"/>
                <w:sz w:val="12"/>
              </w:rPr>
              <w:t>Q</w:t>
            </w:r>
          </w:p>
        </w:tc>
        <w:tc>
          <w:tcPr>
            <w:tcW w:w="170" w:type="dxa"/>
          </w:tcPr>
          <w:p>
            <w:pPr>
              <w:pStyle w:val="TableParagraph"/>
              <w:rPr>
                <w:rFonts w:ascii="Times New Roman"/>
                <w:sz w:val="10"/>
              </w:rPr>
            </w:pPr>
          </w:p>
        </w:tc>
        <w:tc>
          <w:tcPr>
            <w:tcW w:w="229" w:type="dxa"/>
          </w:tcPr>
          <w:p>
            <w:pPr>
              <w:pStyle w:val="TableParagraph"/>
              <w:rPr>
                <w:rFonts w:ascii="Times New Roman"/>
                <w:sz w:val="10"/>
              </w:rPr>
            </w:pPr>
          </w:p>
        </w:tc>
        <w:tc>
          <w:tcPr>
            <w:tcW w:w="319" w:type="dxa"/>
          </w:tcPr>
          <w:p>
            <w:pPr>
              <w:pStyle w:val="TableParagraph"/>
              <w:rPr>
                <w:rFonts w:ascii="Times New Roman"/>
                <w:sz w:val="10"/>
              </w:rPr>
            </w:pPr>
          </w:p>
        </w:tc>
        <w:tc>
          <w:tcPr>
            <w:tcW w:w="600" w:type="dxa"/>
          </w:tcPr>
          <w:p>
            <w:pPr>
              <w:pStyle w:val="TableParagraph"/>
              <w:spacing w:line="126" w:lineRule="exact" w:before="16"/>
              <w:ind w:left="66"/>
              <w:rPr>
                <w:rFonts w:ascii="Lucida Sans"/>
                <w:sz w:val="12"/>
              </w:rPr>
            </w:pPr>
            <w:r>
              <w:rPr>
                <w:rFonts w:ascii="Lucida Sans"/>
                <w:w w:val="174"/>
                <w:sz w:val="12"/>
              </w:rPr>
              <w:t>C</w:t>
            </w:r>
          </w:p>
        </w:tc>
        <w:tc>
          <w:tcPr>
            <w:tcW w:w="400" w:type="dxa"/>
          </w:tcPr>
          <w:p>
            <w:pPr>
              <w:pStyle w:val="TableParagraph"/>
              <w:spacing w:line="125" w:lineRule="exact" w:before="17"/>
              <w:ind w:right="176"/>
              <w:jc w:val="center"/>
              <w:rPr>
                <w:sz w:val="12"/>
              </w:rPr>
            </w:pPr>
            <w:r>
              <w:rPr>
                <w:w w:val="101"/>
                <w:sz w:val="12"/>
              </w:rPr>
              <w:t>D</w:t>
            </w:r>
          </w:p>
        </w:tc>
        <w:tc>
          <w:tcPr>
            <w:tcW w:w="776" w:type="dxa"/>
          </w:tcPr>
          <w:p>
            <w:pPr>
              <w:pStyle w:val="TableParagraph"/>
              <w:rPr>
                <w:rFonts w:ascii="Times New Roman"/>
                <w:sz w:val="10"/>
              </w:rPr>
            </w:pPr>
          </w:p>
        </w:tc>
        <w:tc>
          <w:tcPr>
            <w:tcW w:w="695" w:type="dxa"/>
          </w:tcPr>
          <w:p>
            <w:pPr>
              <w:pStyle w:val="TableParagraph"/>
              <w:rPr>
                <w:rFonts w:ascii="Times New Roman"/>
                <w:sz w:val="10"/>
              </w:rPr>
            </w:pPr>
          </w:p>
        </w:tc>
        <w:tc>
          <w:tcPr>
            <w:tcW w:w="432" w:type="dxa"/>
          </w:tcPr>
          <w:p>
            <w:pPr>
              <w:pStyle w:val="TableParagraph"/>
              <w:rPr>
                <w:rFonts w:ascii="Times New Roman"/>
                <w:sz w:val="10"/>
              </w:rPr>
            </w:pPr>
          </w:p>
        </w:tc>
        <w:tc>
          <w:tcPr>
            <w:tcW w:w="566" w:type="dxa"/>
          </w:tcPr>
          <w:p>
            <w:pPr>
              <w:pStyle w:val="TableParagraph"/>
              <w:spacing w:line="125" w:lineRule="exact" w:before="17"/>
              <w:ind w:left="134"/>
              <w:rPr>
                <w:sz w:val="12"/>
              </w:rPr>
            </w:pPr>
            <w:r>
              <w:rPr>
                <w:w w:val="105"/>
                <w:sz w:val="12"/>
              </w:rPr>
              <w:t>0.0%</w:t>
            </w:r>
          </w:p>
        </w:tc>
        <w:tc>
          <w:tcPr>
            <w:tcW w:w="725" w:type="dxa"/>
          </w:tcPr>
          <w:p>
            <w:pPr>
              <w:pStyle w:val="TableParagraph"/>
              <w:spacing w:line="125" w:lineRule="exact" w:before="17"/>
              <w:ind w:left="124"/>
              <w:rPr>
                <w:sz w:val="12"/>
              </w:rPr>
            </w:pPr>
            <w:r>
              <w:rPr>
                <w:w w:val="105"/>
                <w:sz w:val="12"/>
              </w:rPr>
              <w:t>6.5%</w:t>
            </w:r>
          </w:p>
        </w:tc>
        <w:tc>
          <w:tcPr>
            <w:tcW w:w="978" w:type="dxa"/>
          </w:tcPr>
          <w:p>
            <w:pPr>
              <w:pStyle w:val="TableParagraph"/>
              <w:spacing w:line="125" w:lineRule="exact" w:before="17"/>
              <w:ind w:left="128"/>
              <w:rPr>
                <w:sz w:val="12"/>
              </w:rPr>
            </w:pPr>
            <w:r>
              <w:rPr>
                <w:w w:val="105"/>
                <w:sz w:val="12"/>
              </w:rPr>
              <w:t>0.0%</w:t>
            </w:r>
          </w:p>
        </w:tc>
        <w:tc>
          <w:tcPr>
            <w:tcW w:w="1823" w:type="dxa"/>
          </w:tcPr>
          <w:p>
            <w:pPr>
              <w:pStyle w:val="TableParagraph"/>
              <w:spacing w:line="125" w:lineRule="exact" w:before="17"/>
              <w:ind w:left="502"/>
              <w:rPr>
                <w:sz w:val="12"/>
              </w:rPr>
            </w:pPr>
            <w:r>
              <w:rPr>
                <w:sz w:val="12"/>
              </w:rPr>
              <w:t>NR</w:t>
            </w:r>
          </w:p>
        </w:tc>
      </w:tr>
      <w:tr>
        <w:trPr>
          <w:trHeight w:val="186" w:hRule="atLeast"/>
        </w:trPr>
        <w:tc>
          <w:tcPr>
            <w:tcW w:w="2168" w:type="dxa"/>
          </w:tcPr>
          <w:p>
            <w:pPr>
              <w:pStyle w:val="TableParagraph"/>
              <w:spacing w:line="140" w:lineRule="exact" w:before="26"/>
              <w:ind w:left="120"/>
              <w:rPr>
                <w:sz w:val="12"/>
              </w:rPr>
            </w:pPr>
            <w:r>
              <w:rPr>
                <w:w w:val="115"/>
                <w:sz w:val="12"/>
              </w:rPr>
              <w:t>Smith et al., 2014 [</w:t>
            </w:r>
            <w:hyperlink w:history="true" w:anchor="_bookmark50">
              <w:r>
                <w:rPr>
                  <w:color w:val="007FAC"/>
                  <w:w w:val="115"/>
                  <w:sz w:val="12"/>
                </w:rPr>
                <w:t>39</w:t>
              </w:r>
            </w:hyperlink>
            <w:r>
              <w:rPr>
                <w:w w:val="115"/>
                <w:sz w:val="12"/>
              </w:rPr>
              <w:t>]</w:t>
            </w:r>
            <w:r>
              <w:rPr>
                <w:w w:val="115"/>
                <w:sz w:val="12"/>
                <w:vertAlign w:val="superscript"/>
              </w:rPr>
              <w:t>,</w:t>
            </w:r>
            <w:hyperlink w:history="true" w:anchor="_bookmark108">
              <w:r>
                <w:rPr>
                  <w:color w:val="007FAC"/>
                  <w:w w:val="115"/>
                  <w:sz w:val="12"/>
                  <w:vertAlign w:val="superscript"/>
                </w:rPr>
                <w:t>d</w:t>
              </w:r>
            </w:hyperlink>
          </w:p>
        </w:tc>
        <w:tc>
          <w:tcPr>
            <w:tcW w:w="968" w:type="dxa"/>
          </w:tcPr>
          <w:p>
            <w:pPr>
              <w:pStyle w:val="TableParagraph"/>
              <w:spacing w:line="140" w:lineRule="exact" w:before="26"/>
              <w:ind w:right="488"/>
              <w:jc w:val="right"/>
              <w:rPr>
                <w:sz w:val="12"/>
              </w:rPr>
            </w:pPr>
            <w:r>
              <w:rPr>
                <w:w w:val="125"/>
                <w:sz w:val="12"/>
              </w:rPr>
              <w:t>36</w:t>
            </w:r>
          </w:p>
        </w:tc>
        <w:tc>
          <w:tcPr>
            <w:tcW w:w="295" w:type="dxa"/>
          </w:tcPr>
          <w:p>
            <w:pPr>
              <w:pStyle w:val="TableParagraph"/>
              <w:spacing w:line="141" w:lineRule="exact" w:before="25"/>
              <w:ind w:left="-1"/>
              <w:rPr>
                <w:rFonts w:ascii="Lucida Sans"/>
                <w:sz w:val="12"/>
              </w:rPr>
            </w:pPr>
            <w:r>
              <w:rPr>
                <w:rFonts w:ascii="Lucida Sans"/>
                <w:w w:val="174"/>
                <w:sz w:val="12"/>
              </w:rPr>
              <w:t>C</w:t>
            </w:r>
          </w:p>
        </w:tc>
        <w:tc>
          <w:tcPr>
            <w:tcW w:w="233" w:type="dxa"/>
          </w:tcPr>
          <w:p>
            <w:pPr>
              <w:pStyle w:val="TableParagraph"/>
              <w:rPr>
                <w:rFonts w:ascii="Times New Roman"/>
                <w:sz w:val="12"/>
              </w:rPr>
            </w:pPr>
          </w:p>
        </w:tc>
        <w:tc>
          <w:tcPr>
            <w:tcW w:w="169" w:type="dxa"/>
          </w:tcPr>
          <w:p>
            <w:pPr>
              <w:pStyle w:val="TableParagraph"/>
              <w:rPr>
                <w:rFonts w:ascii="Times New Roman"/>
                <w:sz w:val="12"/>
              </w:rPr>
            </w:pPr>
          </w:p>
        </w:tc>
        <w:tc>
          <w:tcPr>
            <w:tcW w:w="402" w:type="dxa"/>
          </w:tcPr>
          <w:p>
            <w:pPr>
              <w:pStyle w:val="TableParagraph"/>
              <w:spacing w:line="141" w:lineRule="exact" w:before="25"/>
              <w:ind w:left="-4"/>
              <w:rPr>
                <w:rFonts w:ascii="Lucida Sans"/>
                <w:sz w:val="12"/>
              </w:rPr>
            </w:pPr>
            <w:r>
              <w:rPr>
                <w:rFonts w:ascii="Lucida Sans"/>
                <w:w w:val="174"/>
                <w:sz w:val="12"/>
              </w:rPr>
              <w:t>C</w:t>
            </w:r>
          </w:p>
        </w:tc>
        <w:tc>
          <w:tcPr>
            <w:tcW w:w="553" w:type="dxa"/>
          </w:tcPr>
          <w:p>
            <w:pPr>
              <w:pStyle w:val="TableParagraph"/>
              <w:rPr>
                <w:rFonts w:ascii="Times New Roman"/>
                <w:sz w:val="12"/>
              </w:rPr>
            </w:pPr>
          </w:p>
        </w:tc>
        <w:tc>
          <w:tcPr>
            <w:tcW w:w="169" w:type="dxa"/>
          </w:tcPr>
          <w:p>
            <w:pPr>
              <w:pStyle w:val="TableParagraph"/>
              <w:rPr>
                <w:rFonts w:ascii="Times New Roman"/>
                <w:sz w:val="12"/>
              </w:rPr>
            </w:pPr>
          </w:p>
        </w:tc>
        <w:tc>
          <w:tcPr>
            <w:tcW w:w="330" w:type="dxa"/>
          </w:tcPr>
          <w:p>
            <w:pPr>
              <w:pStyle w:val="TableParagraph"/>
              <w:spacing w:line="141" w:lineRule="exact" w:before="25"/>
              <w:ind w:left="-8"/>
              <w:rPr>
                <w:rFonts w:ascii="Lucida Sans"/>
                <w:sz w:val="12"/>
              </w:rPr>
            </w:pPr>
            <w:r>
              <w:rPr>
                <w:rFonts w:ascii="Lucida Sans"/>
                <w:w w:val="174"/>
                <w:sz w:val="12"/>
              </w:rPr>
              <w:t>C</w:t>
            </w:r>
          </w:p>
        </w:tc>
        <w:tc>
          <w:tcPr>
            <w:tcW w:w="537" w:type="dxa"/>
          </w:tcPr>
          <w:p>
            <w:pPr>
              <w:pStyle w:val="TableParagraph"/>
              <w:rPr>
                <w:rFonts w:ascii="Times New Roman"/>
                <w:sz w:val="12"/>
              </w:rPr>
            </w:pPr>
          </w:p>
        </w:tc>
        <w:tc>
          <w:tcPr>
            <w:tcW w:w="170" w:type="dxa"/>
          </w:tcPr>
          <w:p>
            <w:pPr>
              <w:pStyle w:val="TableParagraph"/>
              <w:rPr>
                <w:rFonts w:ascii="Times New Roman"/>
                <w:sz w:val="12"/>
              </w:rPr>
            </w:pPr>
          </w:p>
        </w:tc>
        <w:tc>
          <w:tcPr>
            <w:tcW w:w="229" w:type="dxa"/>
          </w:tcPr>
          <w:p>
            <w:pPr>
              <w:pStyle w:val="TableParagraph"/>
              <w:spacing w:line="156" w:lineRule="exact" w:before="10"/>
              <w:ind w:left="-13"/>
              <w:rPr>
                <w:rFonts w:ascii="Arial"/>
                <w:sz w:val="14"/>
              </w:rPr>
            </w:pPr>
            <w:r>
              <w:rPr>
                <w:rFonts w:ascii="Arial"/>
                <w:w w:val="97"/>
                <w:sz w:val="14"/>
              </w:rPr>
              <w:t>a</w:t>
            </w:r>
          </w:p>
        </w:tc>
        <w:tc>
          <w:tcPr>
            <w:tcW w:w="319" w:type="dxa"/>
          </w:tcPr>
          <w:p>
            <w:pPr>
              <w:pStyle w:val="TableParagraph"/>
              <w:rPr>
                <w:rFonts w:ascii="Times New Roman"/>
                <w:sz w:val="12"/>
              </w:rPr>
            </w:pPr>
          </w:p>
        </w:tc>
        <w:tc>
          <w:tcPr>
            <w:tcW w:w="600" w:type="dxa"/>
          </w:tcPr>
          <w:p>
            <w:pPr>
              <w:pStyle w:val="TableParagraph"/>
              <w:rPr>
                <w:rFonts w:ascii="Times New Roman"/>
                <w:sz w:val="12"/>
              </w:rPr>
            </w:pPr>
          </w:p>
        </w:tc>
        <w:tc>
          <w:tcPr>
            <w:tcW w:w="400" w:type="dxa"/>
          </w:tcPr>
          <w:p>
            <w:pPr>
              <w:pStyle w:val="TableParagraph"/>
              <w:rPr>
                <w:rFonts w:ascii="Times New Roman"/>
                <w:sz w:val="12"/>
              </w:rPr>
            </w:pPr>
          </w:p>
        </w:tc>
        <w:tc>
          <w:tcPr>
            <w:tcW w:w="776" w:type="dxa"/>
          </w:tcPr>
          <w:p>
            <w:pPr>
              <w:pStyle w:val="TableParagraph"/>
              <w:rPr>
                <w:rFonts w:ascii="Times New Roman"/>
                <w:sz w:val="12"/>
              </w:rPr>
            </w:pPr>
          </w:p>
        </w:tc>
        <w:tc>
          <w:tcPr>
            <w:tcW w:w="695" w:type="dxa"/>
          </w:tcPr>
          <w:p>
            <w:pPr>
              <w:pStyle w:val="TableParagraph"/>
              <w:spacing w:line="141" w:lineRule="exact" w:before="25"/>
              <w:ind w:left="57"/>
              <w:rPr>
                <w:rFonts w:ascii="Lucida Sans"/>
                <w:sz w:val="12"/>
              </w:rPr>
            </w:pPr>
            <w:r>
              <w:rPr>
                <w:rFonts w:ascii="Lucida Sans"/>
                <w:w w:val="174"/>
                <w:sz w:val="12"/>
              </w:rPr>
              <w:t>C</w:t>
            </w:r>
          </w:p>
        </w:tc>
        <w:tc>
          <w:tcPr>
            <w:tcW w:w="432" w:type="dxa"/>
          </w:tcPr>
          <w:p>
            <w:pPr>
              <w:pStyle w:val="TableParagraph"/>
              <w:rPr>
                <w:rFonts w:ascii="Times New Roman"/>
                <w:sz w:val="12"/>
              </w:rPr>
            </w:pPr>
          </w:p>
        </w:tc>
        <w:tc>
          <w:tcPr>
            <w:tcW w:w="566" w:type="dxa"/>
          </w:tcPr>
          <w:p>
            <w:pPr>
              <w:pStyle w:val="TableParagraph"/>
              <w:spacing w:line="140" w:lineRule="exact" w:before="26"/>
              <w:ind w:left="134"/>
              <w:rPr>
                <w:sz w:val="12"/>
              </w:rPr>
            </w:pPr>
            <w:r>
              <w:rPr>
                <w:w w:val="105"/>
                <w:sz w:val="12"/>
              </w:rPr>
              <w:t>0.0%</w:t>
            </w:r>
          </w:p>
        </w:tc>
        <w:tc>
          <w:tcPr>
            <w:tcW w:w="725" w:type="dxa"/>
          </w:tcPr>
          <w:p>
            <w:pPr>
              <w:pStyle w:val="TableParagraph"/>
              <w:spacing w:line="140" w:lineRule="exact" w:before="26"/>
              <w:ind w:left="124"/>
              <w:rPr>
                <w:sz w:val="12"/>
              </w:rPr>
            </w:pPr>
            <w:r>
              <w:rPr>
                <w:w w:val="105"/>
                <w:sz w:val="12"/>
              </w:rPr>
              <w:t>2.8%</w:t>
            </w:r>
          </w:p>
        </w:tc>
        <w:tc>
          <w:tcPr>
            <w:tcW w:w="978" w:type="dxa"/>
          </w:tcPr>
          <w:p>
            <w:pPr>
              <w:pStyle w:val="TableParagraph"/>
              <w:spacing w:line="140" w:lineRule="exact" w:before="26"/>
              <w:ind w:left="128"/>
              <w:rPr>
                <w:sz w:val="12"/>
              </w:rPr>
            </w:pPr>
            <w:r>
              <w:rPr>
                <w:sz w:val="12"/>
              </w:rPr>
              <w:t>NR</w:t>
            </w:r>
          </w:p>
        </w:tc>
        <w:tc>
          <w:tcPr>
            <w:tcW w:w="1823" w:type="dxa"/>
          </w:tcPr>
          <w:p>
            <w:pPr>
              <w:pStyle w:val="TableParagraph"/>
              <w:spacing w:line="140" w:lineRule="exact" w:before="26"/>
              <w:ind w:left="502"/>
              <w:rPr>
                <w:sz w:val="12"/>
              </w:rPr>
            </w:pPr>
            <w:r>
              <w:rPr>
                <w:sz w:val="12"/>
              </w:rPr>
              <w:t>NR</w:t>
            </w:r>
          </w:p>
        </w:tc>
      </w:tr>
      <w:tr>
        <w:trPr>
          <w:trHeight w:val="165" w:hRule="atLeast"/>
        </w:trPr>
        <w:tc>
          <w:tcPr>
            <w:tcW w:w="2168" w:type="dxa"/>
          </w:tcPr>
          <w:p>
            <w:pPr>
              <w:pStyle w:val="TableParagraph"/>
              <w:rPr>
                <w:rFonts w:ascii="Times New Roman"/>
                <w:sz w:val="10"/>
              </w:rPr>
            </w:pPr>
          </w:p>
        </w:tc>
        <w:tc>
          <w:tcPr>
            <w:tcW w:w="968" w:type="dxa"/>
          </w:tcPr>
          <w:p>
            <w:pPr>
              <w:pStyle w:val="TableParagraph"/>
              <w:spacing w:line="134" w:lineRule="exact" w:before="11"/>
              <w:ind w:right="488"/>
              <w:jc w:val="right"/>
              <w:rPr>
                <w:sz w:val="12"/>
              </w:rPr>
            </w:pPr>
            <w:r>
              <w:rPr>
                <w:w w:val="125"/>
                <w:sz w:val="12"/>
              </w:rPr>
              <w:t>98</w:t>
            </w:r>
          </w:p>
        </w:tc>
        <w:tc>
          <w:tcPr>
            <w:tcW w:w="295" w:type="dxa"/>
          </w:tcPr>
          <w:p>
            <w:pPr>
              <w:pStyle w:val="TableParagraph"/>
              <w:rPr>
                <w:rFonts w:ascii="Times New Roman"/>
                <w:sz w:val="10"/>
              </w:rPr>
            </w:pPr>
          </w:p>
        </w:tc>
        <w:tc>
          <w:tcPr>
            <w:tcW w:w="233" w:type="dxa"/>
          </w:tcPr>
          <w:p>
            <w:pPr>
              <w:pStyle w:val="TableParagraph"/>
              <w:spacing w:line="134" w:lineRule="exact" w:before="11"/>
              <w:ind w:left="82"/>
              <w:rPr>
                <w:sz w:val="12"/>
              </w:rPr>
            </w:pPr>
            <w:r>
              <w:rPr>
                <w:w w:val="99"/>
                <w:sz w:val="12"/>
              </w:rPr>
              <w:t>Q</w:t>
            </w:r>
          </w:p>
        </w:tc>
        <w:tc>
          <w:tcPr>
            <w:tcW w:w="169" w:type="dxa"/>
          </w:tcPr>
          <w:p>
            <w:pPr>
              <w:pStyle w:val="TableParagraph"/>
              <w:rPr>
                <w:rFonts w:ascii="Times New Roman"/>
                <w:sz w:val="10"/>
              </w:rPr>
            </w:pPr>
          </w:p>
        </w:tc>
        <w:tc>
          <w:tcPr>
            <w:tcW w:w="402" w:type="dxa"/>
          </w:tcPr>
          <w:p>
            <w:pPr>
              <w:pStyle w:val="TableParagraph"/>
              <w:rPr>
                <w:rFonts w:ascii="Times New Roman"/>
                <w:sz w:val="10"/>
              </w:rPr>
            </w:pPr>
          </w:p>
        </w:tc>
        <w:tc>
          <w:tcPr>
            <w:tcW w:w="553" w:type="dxa"/>
          </w:tcPr>
          <w:p>
            <w:pPr>
              <w:pStyle w:val="TableParagraph"/>
              <w:spacing w:line="134" w:lineRule="exact" w:before="11"/>
              <w:ind w:left="185"/>
              <w:rPr>
                <w:sz w:val="12"/>
              </w:rPr>
            </w:pPr>
            <w:r>
              <w:rPr>
                <w:w w:val="99"/>
                <w:sz w:val="12"/>
              </w:rPr>
              <w:t>Q</w:t>
            </w:r>
          </w:p>
        </w:tc>
        <w:tc>
          <w:tcPr>
            <w:tcW w:w="169" w:type="dxa"/>
          </w:tcPr>
          <w:p>
            <w:pPr>
              <w:pStyle w:val="TableParagraph"/>
              <w:rPr>
                <w:rFonts w:ascii="Times New Roman"/>
                <w:sz w:val="10"/>
              </w:rPr>
            </w:pPr>
          </w:p>
        </w:tc>
        <w:tc>
          <w:tcPr>
            <w:tcW w:w="330" w:type="dxa"/>
          </w:tcPr>
          <w:p>
            <w:pPr>
              <w:pStyle w:val="TableParagraph"/>
              <w:rPr>
                <w:rFonts w:ascii="Times New Roman"/>
                <w:sz w:val="10"/>
              </w:rPr>
            </w:pPr>
          </w:p>
        </w:tc>
        <w:tc>
          <w:tcPr>
            <w:tcW w:w="537" w:type="dxa"/>
          </w:tcPr>
          <w:p>
            <w:pPr>
              <w:pStyle w:val="TableParagraph"/>
              <w:spacing w:line="134" w:lineRule="exact" w:before="11"/>
              <w:ind w:left="174"/>
              <w:rPr>
                <w:sz w:val="12"/>
              </w:rPr>
            </w:pPr>
            <w:r>
              <w:rPr>
                <w:w w:val="99"/>
                <w:sz w:val="12"/>
              </w:rPr>
              <w:t>Q</w:t>
            </w:r>
          </w:p>
        </w:tc>
        <w:tc>
          <w:tcPr>
            <w:tcW w:w="170" w:type="dxa"/>
          </w:tcPr>
          <w:p>
            <w:pPr>
              <w:pStyle w:val="TableParagraph"/>
              <w:rPr>
                <w:rFonts w:ascii="Times New Roman"/>
                <w:sz w:val="10"/>
              </w:rPr>
            </w:pPr>
          </w:p>
        </w:tc>
        <w:tc>
          <w:tcPr>
            <w:tcW w:w="229" w:type="dxa"/>
          </w:tcPr>
          <w:p>
            <w:pPr>
              <w:pStyle w:val="TableParagraph"/>
              <w:rPr>
                <w:rFonts w:ascii="Times New Roman"/>
                <w:sz w:val="10"/>
              </w:rPr>
            </w:pPr>
          </w:p>
        </w:tc>
        <w:tc>
          <w:tcPr>
            <w:tcW w:w="319" w:type="dxa"/>
          </w:tcPr>
          <w:p>
            <w:pPr>
              <w:pStyle w:val="TableParagraph"/>
              <w:rPr>
                <w:rFonts w:ascii="Times New Roman"/>
                <w:sz w:val="10"/>
              </w:rPr>
            </w:pPr>
          </w:p>
        </w:tc>
        <w:tc>
          <w:tcPr>
            <w:tcW w:w="600" w:type="dxa"/>
          </w:tcPr>
          <w:p>
            <w:pPr>
              <w:pStyle w:val="TableParagraph"/>
              <w:rPr>
                <w:rFonts w:ascii="Times New Roman"/>
                <w:sz w:val="10"/>
              </w:rPr>
            </w:pPr>
          </w:p>
        </w:tc>
        <w:tc>
          <w:tcPr>
            <w:tcW w:w="400" w:type="dxa"/>
          </w:tcPr>
          <w:p>
            <w:pPr>
              <w:pStyle w:val="TableParagraph"/>
              <w:rPr>
                <w:rFonts w:ascii="Times New Roman"/>
                <w:sz w:val="10"/>
              </w:rPr>
            </w:pPr>
          </w:p>
        </w:tc>
        <w:tc>
          <w:tcPr>
            <w:tcW w:w="776" w:type="dxa"/>
          </w:tcPr>
          <w:p>
            <w:pPr>
              <w:pStyle w:val="TableParagraph"/>
              <w:rPr>
                <w:rFonts w:ascii="Times New Roman"/>
                <w:sz w:val="10"/>
              </w:rPr>
            </w:pPr>
          </w:p>
        </w:tc>
        <w:tc>
          <w:tcPr>
            <w:tcW w:w="695" w:type="dxa"/>
          </w:tcPr>
          <w:p>
            <w:pPr>
              <w:pStyle w:val="TableParagraph"/>
              <w:spacing w:line="135" w:lineRule="exact" w:before="10"/>
              <w:ind w:left="57"/>
              <w:rPr>
                <w:rFonts w:ascii="Lucida Sans"/>
                <w:sz w:val="12"/>
              </w:rPr>
            </w:pPr>
            <w:r>
              <w:rPr>
                <w:rFonts w:ascii="Lucida Sans"/>
                <w:w w:val="174"/>
                <w:sz w:val="12"/>
              </w:rPr>
              <w:t>C</w:t>
            </w:r>
          </w:p>
        </w:tc>
        <w:tc>
          <w:tcPr>
            <w:tcW w:w="432" w:type="dxa"/>
          </w:tcPr>
          <w:p>
            <w:pPr>
              <w:pStyle w:val="TableParagraph"/>
              <w:rPr>
                <w:rFonts w:ascii="Times New Roman"/>
                <w:sz w:val="10"/>
              </w:rPr>
            </w:pPr>
          </w:p>
        </w:tc>
        <w:tc>
          <w:tcPr>
            <w:tcW w:w="566" w:type="dxa"/>
          </w:tcPr>
          <w:p>
            <w:pPr>
              <w:pStyle w:val="TableParagraph"/>
              <w:spacing w:line="134" w:lineRule="exact" w:before="11"/>
              <w:ind w:left="134"/>
              <w:rPr>
                <w:sz w:val="12"/>
              </w:rPr>
            </w:pPr>
            <w:r>
              <w:rPr>
                <w:w w:val="105"/>
                <w:sz w:val="12"/>
              </w:rPr>
              <w:t>2.0%</w:t>
            </w:r>
          </w:p>
        </w:tc>
        <w:tc>
          <w:tcPr>
            <w:tcW w:w="725" w:type="dxa"/>
          </w:tcPr>
          <w:p>
            <w:pPr>
              <w:pStyle w:val="TableParagraph"/>
              <w:spacing w:line="134" w:lineRule="exact" w:before="11"/>
              <w:ind w:left="124"/>
              <w:rPr>
                <w:sz w:val="12"/>
              </w:rPr>
            </w:pPr>
            <w:r>
              <w:rPr>
                <w:w w:val="105"/>
                <w:sz w:val="12"/>
              </w:rPr>
              <w:t>6.1%</w:t>
            </w:r>
          </w:p>
        </w:tc>
        <w:tc>
          <w:tcPr>
            <w:tcW w:w="978" w:type="dxa"/>
          </w:tcPr>
          <w:p>
            <w:pPr>
              <w:pStyle w:val="TableParagraph"/>
              <w:spacing w:line="134" w:lineRule="exact" w:before="11"/>
              <w:ind w:left="128"/>
              <w:rPr>
                <w:sz w:val="12"/>
              </w:rPr>
            </w:pPr>
            <w:r>
              <w:rPr>
                <w:sz w:val="12"/>
              </w:rPr>
              <w:t>NR</w:t>
            </w:r>
          </w:p>
        </w:tc>
        <w:tc>
          <w:tcPr>
            <w:tcW w:w="1823" w:type="dxa"/>
          </w:tcPr>
          <w:p>
            <w:pPr>
              <w:pStyle w:val="TableParagraph"/>
              <w:spacing w:line="134" w:lineRule="exact" w:before="11"/>
              <w:ind w:left="502"/>
              <w:rPr>
                <w:sz w:val="12"/>
              </w:rPr>
            </w:pPr>
            <w:r>
              <w:rPr>
                <w:w w:val="105"/>
                <w:sz w:val="12"/>
              </w:rPr>
              <w:t>8.2%</w:t>
            </w:r>
          </w:p>
        </w:tc>
      </w:tr>
      <w:tr>
        <w:trPr>
          <w:trHeight w:val="171" w:hRule="atLeast"/>
        </w:trPr>
        <w:tc>
          <w:tcPr>
            <w:tcW w:w="2168" w:type="dxa"/>
          </w:tcPr>
          <w:p>
            <w:pPr>
              <w:pStyle w:val="TableParagraph"/>
              <w:spacing w:line="134" w:lineRule="exact" w:before="17"/>
              <w:ind w:left="120"/>
              <w:rPr>
                <w:sz w:val="12"/>
              </w:rPr>
            </w:pPr>
            <w:r>
              <w:rPr>
                <w:w w:val="115"/>
                <w:sz w:val="12"/>
              </w:rPr>
              <w:t>Li et al., 2018 [</w:t>
            </w:r>
            <w:hyperlink w:history="true" w:anchor="_bookmark47">
              <w:r>
                <w:rPr>
                  <w:color w:val="007FAC"/>
                  <w:w w:val="115"/>
                  <w:sz w:val="12"/>
                </w:rPr>
                <w:t>36</w:t>
              </w:r>
            </w:hyperlink>
            <w:r>
              <w:rPr>
                <w:w w:val="115"/>
                <w:sz w:val="12"/>
              </w:rPr>
              <w:t>]</w:t>
            </w:r>
          </w:p>
        </w:tc>
        <w:tc>
          <w:tcPr>
            <w:tcW w:w="968" w:type="dxa"/>
          </w:tcPr>
          <w:p>
            <w:pPr>
              <w:pStyle w:val="TableParagraph"/>
              <w:spacing w:line="134" w:lineRule="exact" w:before="17"/>
              <w:ind w:right="488"/>
              <w:jc w:val="right"/>
              <w:rPr>
                <w:sz w:val="12"/>
              </w:rPr>
            </w:pPr>
            <w:r>
              <w:rPr>
                <w:w w:val="125"/>
                <w:sz w:val="12"/>
              </w:rPr>
              <w:t>84</w:t>
            </w:r>
          </w:p>
        </w:tc>
        <w:tc>
          <w:tcPr>
            <w:tcW w:w="295" w:type="dxa"/>
          </w:tcPr>
          <w:p>
            <w:pPr>
              <w:pStyle w:val="TableParagraph"/>
              <w:spacing w:line="135" w:lineRule="exact" w:before="16"/>
              <w:ind w:left="-1"/>
              <w:rPr>
                <w:rFonts w:ascii="Lucida Sans"/>
                <w:sz w:val="12"/>
              </w:rPr>
            </w:pPr>
            <w:r>
              <w:rPr>
                <w:rFonts w:ascii="Lucida Sans"/>
                <w:w w:val="174"/>
                <w:sz w:val="12"/>
              </w:rPr>
              <w:t>C</w:t>
            </w:r>
          </w:p>
        </w:tc>
        <w:tc>
          <w:tcPr>
            <w:tcW w:w="233" w:type="dxa"/>
          </w:tcPr>
          <w:p>
            <w:pPr>
              <w:pStyle w:val="TableParagraph"/>
              <w:rPr>
                <w:rFonts w:ascii="Times New Roman"/>
                <w:sz w:val="10"/>
              </w:rPr>
            </w:pPr>
          </w:p>
        </w:tc>
        <w:tc>
          <w:tcPr>
            <w:tcW w:w="169" w:type="dxa"/>
          </w:tcPr>
          <w:p>
            <w:pPr>
              <w:pStyle w:val="TableParagraph"/>
              <w:rPr>
                <w:rFonts w:ascii="Times New Roman"/>
                <w:sz w:val="10"/>
              </w:rPr>
            </w:pPr>
          </w:p>
        </w:tc>
        <w:tc>
          <w:tcPr>
            <w:tcW w:w="402" w:type="dxa"/>
          </w:tcPr>
          <w:p>
            <w:pPr>
              <w:pStyle w:val="TableParagraph"/>
              <w:spacing w:line="135" w:lineRule="exact" w:before="16"/>
              <w:ind w:left="-4"/>
              <w:rPr>
                <w:rFonts w:ascii="Lucida Sans"/>
                <w:sz w:val="12"/>
              </w:rPr>
            </w:pPr>
            <w:r>
              <w:rPr>
                <w:rFonts w:ascii="Lucida Sans"/>
                <w:w w:val="174"/>
                <w:sz w:val="12"/>
              </w:rPr>
              <w:t>C</w:t>
            </w:r>
          </w:p>
        </w:tc>
        <w:tc>
          <w:tcPr>
            <w:tcW w:w="553" w:type="dxa"/>
          </w:tcPr>
          <w:p>
            <w:pPr>
              <w:pStyle w:val="TableParagraph"/>
              <w:rPr>
                <w:rFonts w:ascii="Times New Roman"/>
                <w:sz w:val="10"/>
              </w:rPr>
            </w:pPr>
          </w:p>
        </w:tc>
        <w:tc>
          <w:tcPr>
            <w:tcW w:w="169" w:type="dxa"/>
          </w:tcPr>
          <w:p>
            <w:pPr>
              <w:pStyle w:val="TableParagraph"/>
              <w:rPr>
                <w:rFonts w:ascii="Times New Roman"/>
                <w:sz w:val="10"/>
              </w:rPr>
            </w:pPr>
          </w:p>
        </w:tc>
        <w:tc>
          <w:tcPr>
            <w:tcW w:w="330" w:type="dxa"/>
          </w:tcPr>
          <w:p>
            <w:pPr>
              <w:pStyle w:val="TableParagraph"/>
              <w:rPr>
                <w:rFonts w:ascii="Times New Roman"/>
                <w:sz w:val="10"/>
              </w:rPr>
            </w:pPr>
          </w:p>
        </w:tc>
        <w:tc>
          <w:tcPr>
            <w:tcW w:w="537" w:type="dxa"/>
          </w:tcPr>
          <w:p>
            <w:pPr>
              <w:pStyle w:val="TableParagraph"/>
              <w:rPr>
                <w:rFonts w:ascii="Times New Roman"/>
                <w:sz w:val="10"/>
              </w:rPr>
            </w:pPr>
          </w:p>
        </w:tc>
        <w:tc>
          <w:tcPr>
            <w:tcW w:w="170" w:type="dxa"/>
          </w:tcPr>
          <w:p>
            <w:pPr>
              <w:pStyle w:val="TableParagraph"/>
              <w:rPr>
                <w:rFonts w:ascii="Times New Roman"/>
                <w:sz w:val="10"/>
              </w:rPr>
            </w:pPr>
          </w:p>
        </w:tc>
        <w:tc>
          <w:tcPr>
            <w:tcW w:w="229" w:type="dxa"/>
          </w:tcPr>
          <w:p>
            <w:pPr>
              <w:pStyle w:val="TableParagraph"/>
              <w:rPr>
                <w:rFonts w:ascii="Times New Roman"/>
                <w:sz w:val="10"/>
              </w:rPr>
            </w:pPr>
          </w:p>
        </w:tc>
        <w:tc>
          <w:tcPr>
            <w:tcW w:w="319" w:type="dxa"/>
          </w:tcPr>
          <w:p>
            <w:pPr>
              <w:pStyle w:val="TableParagraph"/>
              <w:rPr>
                <w:rFonts w:ascii="Times New Roman"/>
                <w:sz w:val="10"/>
              </w:rPr>
            </w:pPr>
          </w:p>
        </w:tc>
        <w:tc>
          <w:tcPr>
            <w:tcW w:w="600" w:type="dxa"/>
          </w:tcPr>
          <w:p>
            <w:pPr>
              <w:pStyle w:val="TableParagraph"/>
              <w:spacing w:line="135" w:lineRule="exact" w:before="16"/>
              <w:ind w:left="66"/>
              <w:rPr>
                <w:rFonts w:ascii="Lucida Sans"/>
                <w:sz w:val="12"/>
              </w:rPr>
            </w:pPr>
            <w:r>
              <w:rPr>
                <w:rFonts w:ascii="Lucida Sans"/>
                <w:w w:val="174"/>
                <w:sz w:val="12"/>
              </w:rPr>
              <w:t>C</w:t>
            </w:r>
          </w:p>
        </w:tc>
        <w:tc>
          <w:tcPr>
            <w:tcW w:w="400" w:type="dxa"/>
          </w:tcPr>
          <w:p>
            <w:pPr>
              <w:pStyle w:val="TableParagraph"/>
              <w:rPr>
                <w:rFonts w:ascii="Times New Roman"/>
                <w:sz w:val="10"/>
              </w:rPr>
            </w:pPr>
          </w:p>
        </w:tc>
        <w:tc>
          <w:tcPr>
            <w:tcW w:w="776" w:type="dxa"/>
          </w:tcPr>
          <w:p>
            <w:pPr>
              <w:pStyle w:val="TableParagraph"/>
              <w:rPr>
                <w:rFonts w:ascii="Times New Roman"/>
                <w:sz w:val="10"/>
              </w:rPr>
            </w:pPr>
          </w:p>
        </w:tc>
        <w:tc>
          <w:tcPr>
            <w:tcW w:w="695" w:type="dxa"/>
          </w:tcPr>
          <w:p>
            <w:pPr>
              <w:pStyle w:val="TableParagraph"/>
              <w:spacing w:line="135" w:lineRule="exact" w:before="16"/>
              <w:ind w:left="57"/>
              <w:rPr>
                <w:rFonts w:ascii="Lucida Sans"/>
                <w:sz w:val="12"/>
              </w:rPr>
            </w:pPr>
            <w:r>
              <w:rPr>
                <w:rFonts w:ascii="Lucida Sans"/>
                <w:w w:val="174"/>
                <w:sz w:val="12"/>
              </w:rPr>
              <w:t>C</w:t>
            </w:r>
          </w:p>
        </w:tc>
        <w:tc>
          <w:tcPr>
            <w:tcW w:w="432" w:type="dxa"/>
          </w:tcPr>
          <w:p>
            <w:pPr>
              <w:pStyle w:val="TableParagraph"/>
              <w:rPr>
                <w:rFonts w:ascii="Times New Roman"/>
                <w:sz w:val="10"/>
              </w:rPr>
            </w:pPr>
          </w:p>
        </w:tc>
        <w:tc>
          <w:tcPr>
            <w:tcW w:w="566" w:type="dxa"/>
          </w:tcPr>
          <w:p>
            <w:pPr>
              <w:pStyle w:val="TableParagraph"/>
              <w:spacing w:line="134" w:lineRule="exact" w:before="17"/>
              <w:ind w:left="134"/>
              <w:rPr>
                <w:sz w:val="12"/>
              </w:rPr>
            </w:pPr>
            <w:r>
              <w:rPr>
                <w:w w:val="105"/>
                <w:sz w:val="12"/>
              </w:rPr>
              <w:t>0.0%</w:t>
            </w:r>
          </w:p>
        </w:tc>
        <w:tc>
          <w:tcPr>
            <w:tcW w:w="725" w:type="dxa"/>
          </w:tcPr>
          <w:p>
            <w:pPr>
              <w:pStyle w:val="TableParagraph"/>
              <w:spacing w:line="134" w:lineRule="exact" w:before="17"/>
              <w:ind w:left="124"/>
              <w:rPr>
                <w:sz w:val="12"/>
              </w:rPr>
            </w:pPr>
            <w:r>
              <w:rPr>
                <w:w w:val="105"/>
                <w:sz w:val="12"/>
              </w:rPr>
              <w:t>0.0%</w:t>
            </w:r>
          </w:p>
        </w:tc>
        <w:tc>
          <w:tcPr>
            <w:tcW w:w="978" w:type="dxa"/>
          </w:tcPr>
          <w:p>
            <w:pPr>
              <w:pStyle w:val="TableParagraph"/>
              <w:spacing w:line="134" w:lineRule="exact" w:before="17"/>
              <w:ind w:left="128"/>
              <w:rPr>
                <w:sz w:val="12"/>
              </w:rPr>
            </w:pPr>
            <w:r>
              <w:rPr>
                <w:sz w:val="12"/>
              </w:rPr>
              <w:t>NR</w:t>
            </w:r>
          </w:p>
        </w:tc>
        <w:tc>
          <w:tcPr>
            <w:tcW w:w="1823" w:type="dxa"/>
          </w:tcPr>
          <w:p>
            <w:pPr>
              <w:pStyle w:val="TableParagraph"/>
              <w:spacing w:line="134" w:lineRule="exact" w:before="17"/>
              <w:ind w:left="502"/>
              <w:rPr>
                <w:sz w:val="12"/>
              </w:rPr>
            </w:pPr>
            <w:r>
              <w:rPr>
                <w:sz w:val="12"/>
              </w:rPr>
              <w:t>NR</w:t>
            </w:r>
          </w:p>
        </w:tc>
      </w:tr>
      <w:tr>
        <w:trPr>
          <w:trHeight w:val="161" w:hRule="atLeast"/>
        </w:trPr>
        <w:tc>
          <w:tcPr>
            <w:tcW w:w="2168" w:type="dxa"/>
          </w:tcPr>
          <w:p>
            <w:pPr>
              <w:pStyle w:val="TableParagraph"/>
              <w:rPr>
                <w:rFonts w:ascii="Times New Roman"/>
                <w:sz w:val="10"/>
              </w:rPr>
            </w:pPr>
          </w:p>
        </w:tc>
        <w:tc>
          <w:tcPr>
            <w:tcW w:w="968" w:type="dxa"/>
          </w:tcPr>
          <w:p>
            <w:pPr>
              <w:pStyle w:val="TableParagraph"/>
              <w:spacing w:line="125" w:lineRule="exact" w:before="17"/>
              <w:ind w:right="488"/>
              <w:jc w:val="right"/>
              <w:rPr>
                <w:sz w:val="12"/>
              </w:rPr>
            </w:pPr>
            <w:r>
              <w:rPr>
                <w:w w:val="125"/>
                <w:sz w:val="12"/>
              </w:rPr>
              <w:t>84</w:t>
            </w:r>
          </w:p>
        </w:tc>
        <w:tc>
          <w:tcPr>
            <w:tcW w:w="295" w:type="dxa"/>
          </w:tcPr>
          <w:p>
            <w:pPr>
              <w:pStyle w:val="TableParagraph"/>
              <w:rPr>
                <w:rFonts w:ascii="Times New Roman"/>
                <w:sz w:val="10"/>
              </w:rPr>
            </w:pPr>
          </w:p>
        </w:tc>
        <w:tc>
          <w:tcPr>
            <w:tcW w:w="233" w:type="dxa"/>
          </w:tcPr>
          <w:p>
            <w:pPr>
              <w:pStyle w:val="TableParagraph"/>
              <w:spacing w:line="125" w:lineRule="exact" w:before="17"/>
              <w:ind w:left="82"/>
              <w:rPr>
                <w:sz w:val="12"/>
              </w:rPr>
            </w:pPr>
            <w:r>
              <w:rPr>
                <w:w w:val="99"/>
                <w:sz w:val="12"/>
              </w:rPr>
              <w:t>Q</w:t>
            </w:r>
          </w:p>
        </w:tc>
        <w:tc>
          <w:tcPr>
            <w:tcW w:w="169" w:type="dxa"/>
          </w:tcPr>
          <w:p>
            <w:pPr>
              <w:pStyle w:val="TableParagraph"/>
              <w:rPr>
                <w:rFonts w:ascii="Times New Roman"/>
                <w:sz w:val="10"/>
              </w:rPr>
            </w:pPr>
          </w:p>
        </w:tc>
        <w:tc>
          <w:tcPr>
            <w:tcW w:w="402" w:type="dxa"/>
          </w:tcPr>
          <w:p>
            <w:pPr>
              <w:pStyle w:val="TableParagraph"/>
              <w:spacing w:line="126" w:lineRule="exact" w:before="16"/>
              <w:ind w:left="-4"/>
              <w:rPr>
                <w:rFonts w:ascii="Lucida Sans"/>
                <w:sz w:val="12"/>
              </w:rPr>
            </w:pPr>
            <w:r>
              <w:rPr>
                <w:rFonts w:ascii="Lucida Sans"/>
                <w:w w:val="174"/>
                <w:sz w:val="12"/>
              </w:rPr>
              <w:t>C</w:t>
            </w:r>
          </w:p>
        </w:tc>
        <w:tc>
          <w:tcPr>
            <w:tcW w:w="553" w:type="dxa"/>
          </w:tcPr>
          <w:p>
            <w:pPr>
              <w:pStyle w:val="TableParagraph"/>
              <w:rPr>
                <w:rFonts w:ascii="Times New Roman"/>
                <w:sz w:val="10"/>
              </w:rPr>
            </w:pPr>
          </w:p>
        </w:tc>
        <w:tc>
          <w:tcPr>
            <w:tcW w:w="169" w:type="dxa"/>
          </w:tcPr>
          <w:p>
            <w:pPr>
              <w:pStyle w:val="TableParagraph"/>
              <w:rPr>
                <w:rFonts w:ascii="Times New Roman"/>
                <w:sz w:val="10"/>
              </w:rPr>
            </w:pPr>
          </w:p>
        </w:tc>
        <w:tc>
          <w:tcPr>
            <w:tcW w:w="330" w:type="dxa"/>
          </w:tcPr>
          <w:p>
            <w:pPr>
              <w:pStyle w:val="TableParagraph"/>
              <w:rPr>
                <w:rFonts w:ascii="Times New Roman"/>
                <w:sz w:val="10"/>
              </w:rPr>
            </w:pPr>
          </w:p>
        </w:tc>
        <w:tc>
          <w:tcPr>
            <w:tcW w:w="537" w:type="dxa"/>
          </w:tcPr>
          <w:p>
            <w:pPr>
              <w:pStyle w:val="TableParagraph"/>
              <w:rPr>
                <w:rFonts w:ascii="Times New Roman"/>
                <w:sz w:val="10"/>
              </w:rPr>
            </w:pPr>
          </w:p>
        </w:tc>
        <w:tc>
          <w:tcPr>
            <w:tcW w:w="170" w:type="dxa"/>
          </w:tcPr>
          <w:p>
            <w:pPr>
              <w:pStyle w:val="TableParagraph"/>
              <w:rPr>
                <w:rFonts w:ascii="Times New Roman"/>
                <w:sz w:val="10"/>
              </w:rPr>
            </w:pPr>
          </w:p>
        </w:tc>
        <w:tc>
          <w:tcPr>
            <w:tcW w:w="229" w:type="dxa"/>
          </w:tcPr>
          <w:p>
            <w:pPr>
              <w:pStyle w:val="TableParagraph"/>
              <w:rPr>
                <w:rFonts w:ascii="Times New Roman"/>
                <w:sz w:val="10"/>
              </w:rPr>
            </w:pPr>
          </w:p>
        </w:tc>
        <w:tc>
          <w:tcPr>
            <w:tcW w:w="319" w:type="dxa"/>
          </w:tcPr>
          <w:p>
            <w:pPr>
              <w:pStyle w:val="TableParagraph"/>
              <w:rPr>
                <w:rFonts w:ascii="Times New Roman"/>
                <w:sz w:val="10"/>
              </w:rPr>
            </w:pPr>
          </w:p>
        </w:tc>
        <w:tc>
          <w:tcPr>
            <w:tcW w:w="600" w:type="dxa"/>
          </w:tcPr>
          <w:p>
            <w:pPr>
              <w:pStyle w:val="TableParagraph"/>
              <w:spacing w:line="126" w:lineRule="exact" w:before="16"/>
              <w:ind w:left="66"/>
              <w:rPr>
                <w:rFonts w:ascii="Lucida Sans"/>
                <w:sz w:val="12"/>
              </w:rPr>
            </w:pPr>
            <w:r>
              <w:rPr>
                <w:rFonts w:ascii="Lucida Sans"/>
                <w:w w:val="174"/>
                <w:sz w:val="12"/>
              </w:rPr>
              <w:t>C</w:t>
            </w:r>
          </w:p>
        </w:tc>
        <w:tc>
          <w:tcPr>
            <w:tcW w:w="400" w:type="dxa"/>
          </w:tcPr>
          <w:p>
            <w:pPr>
              <w:pStyle w:val="TableParagraph"/>
              <w:rPr>
                <w:rFonts w:ascii="Times New Roman"/>
                <w:sz w:val="10"/>
              </w:rPr>
            </w:pPr>
          </w:p>
        </w:tc>
        <w:tc>
          <w:tcPr>
            <w:tcW w:w="776" w:type="dxa"/>
          </w:tcPr>
          <w:p>
            <w:pPr>
              <w:pStyle w:val="TableParagraph"/>
              <w:rPr>
                <w:rFonts w:ascii="Times New Roman"/>
                <w:sz w:val="10"/>
              </w:rPr>
            </w:pPr>
          </w:p>
        </w:tc>
        <w:tc>
          <w:tcPr>
            <w:tcW w:w="695" w:type="dxa"/>
          </w:tcPr>
          <w:p>
            <w:pPr>
              <w:pStyle w:val="TableParagraph"/>
              <w:spacing w:line="126" w:lineRule="exact" w:before="16"/>
              <w:ind w:left="57"/>
              <w:rPr>
                <w:rFonts w:ascii="Lucida Sans"/>
                <w:sz w:val="12"/>
              </w:rPr>
            </w:pPr>
            <w:r>
              <w:rPr>
                <w:rFonts w:ascii="Lucida Sans"/>
                <w:w w:val="174"/>
                <w:sz w:val="12"/>
              </w:rPr>
              <w:t>C</w:t>
            </w:r>
          </w:p>
        </w:tc>
        <w:tc>
          <w:tcPr>
            <w:tcW w:w="432" w:type="dxa"/>
          </w:tcPr>
          <w:p>
            <w:pPr>
              <w:pStyle w:val="TableParagraph"/>
              <w:rPr>
                <w:rFonts w:ascii="Times New Roman"/>
                <w:sz w:val="10"/>
              </w:rPr>
            </w:pPr>
          </w:p>
        </w:tc>
        <w:tc>
          <w:tcPr>
            <w:tcW w:w="566" w:type="dxa"/>
          </w:tcPr>
          <w:p>
            <w:pPr>
              <w:pStyle w:val="TableParagraph"/>
              <w:spacing w:line="125" w:lineRule="exact" w:before="17"/>
              <w:ind w:left="134"/>
              <w:rPr>
                <w:sz w:val="12"/>
              </w:rPr>
            </w:pPr>
            <w:r>
              <w:rPr>
                <w:w w:val="105"/>
                <w:sz w:val="12"/>
              </w:rPr>
              <w:t>0.0%</w:t>
            </w:r>
          </w:p>
        </w:tc>
        <w:tc>
          <w:tcPr>
            <w:tcW w:w="725" w:type="dxa"/>
          </w:tcPr>
          <w:p>
            <w:pPr>
              <w:pStyle w:val="TableParagraph"/>
              <w:spacing w:line="125" w:lineRule="exact" w:before="17"/>
              <w:ind w:left="124"/>
              <w:rPr>
                <w:sz w:val="12"/>
              </w:rPr>
            </w:pPr>
            <w:r>
              <w:rPr>
                <w:w w:val="105"/>
                <w:sz w:val="12"/>
              </w:rPr>
              <w:t>0.0%</w:t>
            </w:r>
          </w:p>
        </w:tc>
        <w:tc>
          <w:tcPr>
            <w:tcW w:w="978" w:type="dxa"/>
          </w:tcPr>
          <w:p>
            <w:pPr>
              <w:pStyle w:val="TableParagraph"/>
              <w:spacing w:line="125" w:lineRule="exact" w:before="17"/>
              <w:ind w:left="128"/>
              <w:rPr>
                <w:sz w:val="12"/>
              </w:rPr>
            </w:pPr>
            <w:r>
              <w:rPr>
                <w:sz w:val="12"/>
              </w:rPr>
              <w:t>NR</w:t>
            </w:r>
          </w:p>
        </w:tc>
        <w:tc>
          <w:tcPr>
            <w:tcW w:w="1823" w:type="dxa"/>
          </w:tcPr>
          <w:p>
            <w:pPr>
              <w:pStyle w:val="TableParagraph"/>
              <w:spacing w:line="125" w:lineRule="exact" w:before="17"/>
              <w:ind w:left="502"/>
              <w:rPr>
                <w:sz w:val="12"/>
              </w:rPr>
            </w:pPr>
            <w:r>
              <w:rPr>
                <w:sz w:val="12"/>
              </w:rPr>
              <w:t>NR</w:t>
            </w:r>
          </w:p>
        </w:tc>
      </w:tr>
      <w:tr>
        <w:trPr>
          <w:trHeight w:val="186" w:hRule="atLeast"/>
        </w:trPr>
        <w:tc>
          <w:tcPr>
            <w:tcW w:w="2168" w:type="dxa"/>
          </w:tcPr>
          <w:p>
            <w:pPr>
              <w:pStyle w:val="TableParagraph"/>
              <w:spacing w:line="140" w:lineRule="exact" w:before="26"/>
              <w:ind w:left="120"/>
              <w:rPr>
                <w:sz w:val="12"/>
              </w:rPr>
            </w:pPr>
            <w:r>
              <w:rPr>
                <w:w w:val="115"/>
                <w:sz w:val="12"/>
              </w:rPr>
              <w:t>Sprowson et al., 2018 [</w:t>
            </w:r>
            <w:hyperlink w:history="true" w:anchor="_bookmark48">
              <w:r>
                <w:rPr>
                  <w:color w:val="007FAC"/>
                  <w:w w:val="115"/>
                  <w:sz w:val="12"/>
                </w:rPr>
                <w:t>37</w:t>
              </w:r>
            </w:hyperlink>
            <w:r>
              <w:rPr>
                <w:w w:val="115"/>
                <w:sz w:val="12"/>
              </w:rPr>
              <w:t>]</w:t>
            </w:r>
            <w:r>
              <w:rPr>
                <w:w w:val="115"/>
                <w:sz w:val="12"/>
                <w:vertAlign w:val="superscript"/>
              </w:rPr>
              <w:t>,</w:t>
            </w:r>
            <w:hyperlink w:history="true" w:anchor="_bookmark107">
              <w:r>
                <w:rPr>
                  <w:color w:val="007FAC"/>
                  <w:w w:val="115"/>
                  <w:sz w:val="12"/>
                  <w:vertAlign w:val="superscript"/>
                </w:rPr>
                <w:t>e</w:t>
              </w:r>
            </w:hyperlink>
          </w:p>
        </w:tc>
        <w:tc>
          <w:tcPr>
            <w:tcW w:w="968" w:type="dxa"/>
          </w:tcPr>
          <w:p>
            <w:pPr>
              <w:pStyle w:val="TableParagraph"/>
              <w:spacing w:line="140" w:lineRule="exact" w:before="26"/>
              <w:ind w:right="489"/>
              <w:jc w:val="right"/>
              <w:rPr>
                <w:sz w:val="12"/>
              </w:rPr>
            </w:pPr>
            <w:r>
              <w:rPr>
                <w:w w:val="125"/>
                <w:sz w:val="12"/>
              </w:rPr>
              <w:t>1323</w:t>
            </w:r>
          </w:p>
        </w:tc>
        <w:tc>
          <w:tcPr>
            <w:tcW w:w="295" w:type="dxa"/>
          </w:tcPr>
          <w:p>
            <w:pPr>
              <w:pStyle w:val="TableParagraph"/>
              <w:spacing w:line="141" w:lineRule="exact" w:before="25"/>
              <w:ind w:left="-1"/>
              <w:rPr>
                <w:rFonts w:ascii="Lucida Sans"/>
                <w:sz w:val="12"/>
              </w:rPr>
            </w:pPr>
            <w:r>
              <w:rPr>
                <w:rFonts w:ascii="Lucida Sans"/>
                <w:w w:val="174"/>
                <w:sz w:val="12"/>
              </w:rPr>
              <w:t>C</w:t>
            </w:r>
          </w:p>
        </w:tc>
        <w:tc>
          <w:tcPr>
            <w:tcW w:w="233" w:type="dxa"/>
          </w:tcPr>
          <w:p>
            <w:pPr>
              <w:pStyle w:val="TableParagraph"/>
              <w:rPr>
                <w:rFonts w:ascii="Times New Roman"/>
                <w:sz w:val="12"/>
              </w:rPr>
            </w:pPr>
          </w:p>
        </w:tc>
        <w:tc>
          <w:tcPr>
            <w:tcW w:w="169" w:type="dxa"/>
          </w:tcPr>
          <w:p>
            <w:pPr>
              <w:pStyle w:val="TableParagraph"/>
              <w:rPr>
                <w:rFonts w:ascii="Times New Roman"/>
                <w:sz w:val="12"/>
              </w:rPr>
            </w:pPr>
          </w:p>
        </w:tc>
        <w:tc>
          <w:tcPr>
            <w:tcW w:w="402" w:type="dxa"/>
          </w:tcPr>
          <w:p>
            <w:pPr>
              <w:pStyle w:val="TableParagraph"/>
              <w:spacing w:line="141" w:lineRule="exact" w:before="25"/>
              <w:ind w:left="-4"/>
              <w:rPr>
                <w:rFonts w:ascii="Lucida Sans"/>
                <w:sz w:val="12"/>
              </w:rPr>
            </w:pPr>
            <w:r>
              <w:rPr>
                <w:rFonts w:ascii="Lucida Sans"/>
                <w:w w:val="174"/>
                <w:sz w:val="12"/>
              </w:rPr>
              <w:t>C</w:t>
            </w:r>
          </w:p>
        </w:tc>
        <w:tc>
          <w:tcPr>
            <w:tcW w:w="553" w:type="dxa"/>
          </w:tcPr>
          <w:p>
            <w:pPr>
              <w:pStyle w:val="TableParagraph"/>
              <w:rPr>
                <w:rFonts w:ascii="Times New Roman"/>
                <w:sz w:val="12"/>
              </w:rPr>
            </w:pPr>
          </w:p>
        </w:tc>
        <w:tc>
          <w:tcPr>
            <w:tcW w:w="169" w:type="dxa"/>
          </w:tcPr>
          <w:p>
            <w:pPr>
              <w:pStyle w:val="TableParagraph"/>
              <w:rPr>
                <w:rFonts w:ascii="Times New Roman"/>
                <w:sz w:val="12"/>
              </w:rPr>
            </w:pPr>
          </w:p>
        </w:tc>
        <w:tc>
          <w:tcPr>
            <w:tcW w:w="330" w:type="dxa"/>
          </w:tcPr>
          <w:p>
            <w:pPr>
              <w:pStyle w:val="TableParagraph"/>
              <w:spacing w:line="156" w:lineRule="exact" w:before="10"/>
              <w:ind w:left="-8"/>
              <w:rPr>
                <w:rFonts w:ascii="Arial"/>
                <w:sz w:val="14"/>
              </w:rPr>
            </w:pPr>
            <w:r>
              <w:rPr>
                <w:rFonts w:ascii="Arial"/>
                <w:w w:val="97"/>
                <w:sz w:val="14"/>
              </w:rPr>
              <w:t>a</w:t>
            </w:r>
          </w:p>
        </w:tc>
        <w:tc>
          <w:tcPr>
            <w:tcW w:w="537" w:type="dxa"/>
          </w:tcPr>
          <w:p>
            <w:pPr>
              <w:pStyle w:val="TableParagraph"/>
              <w:rPr>
                <w:rFonts w:ascii="Times New Roman"/>
                <w:sz w:val="12"/>
              </w:rPr>
            </w:pPr>
          </w:p>
        </w:tc>
        <w:tc>
          <w:tcPr>
            <w:tcW w:w="170" w:type="dxa"/>
          </w:tcPr>
          <w:p>
            <w:pPr>
              <w:pStyle w:val="TableParagraph"/>
              <w:rPr>
                <w:rFonts w:ascii="Times New Roman"/>
                <w:sz w:val="12"/>
              </w:rPr>
            </w:pPr>
          </w:p>
        </w:tc>
        <w:tc>
          <w:tcPr>
            <w:tcW w:w="229" w:type="dxa"/>
          </w:tcPr>
          <w:p>
            <w:pPr>
              <w:pStyle w:val="TableParagraph"/>
              <w:spacing w:line="156" w:lineRule="exact" w:before="10"/>
              <w:ind w:left="-13"/>
              <w:rPr>
                <w:rFonts w:ascii="Arial"/>
                <w:sz w:val="14"/>
              </w:rPr>
            </w:pPr>
            <w:r>
              <w:rPr>
                <w:rFonts w:ascii="Arial"/>
                <w:w w:val="97"/>
                <w:sz w:val="14"/>
              </w:rPr>
              <w:t>a</w:t>
            </w:r>
          </w:p>
        </w:tc>
        <w:tc>
          <w:tcPr>
            <w:tcW w:w="319" w:type="dxa"/>
          </w:tcPr>
          <w:p>
            <w:pPr>
              <w:pStyle w:val="TableParagraph"/>
              <w:rPr>
                <w:rFonts w:ascii="Times New Roman"/>
                <w:sz w:val="12"/>
              </w:rPr>
            </w:pPr>
          </w:p>
        </w:tc>
        <w:tc>
          <w:tcPr>
            <w:tcW w:w="600" w:type="dxa"/>
          </w:tcPr>
          <w:p>
            <w:pPr>
              <w:pStyle w:val="TableParagraph"/>
              <w:rPr>
                <w:rFonts w:ascii="Times New Roman"/>
                <w:sz w:val="12"/>
              </w:rPr>
            </w:pPr>
          </w:p>
        </w:tc>
        <w:tc>
          <w:tcPr>
            <w:tcW w:w="400" w:type="dxa"/>
          </w:tcPr>
          <w:p>
            <w:pPr>
              <w:pStyle w:val="TableParagraph"/>
              <w:rPr>
                <w:rFonts w:ascii="Times New Roman"/>
                <w:sz w:val="12"/>
              </w:rPr>
            </w:pPr>
          </w:p>
        </w:tc>
        <w:tc>
          <w:tcPr>
            <w:tcW w:w="776" w:type="dxa"/>
          </w:tcPr>
          <w:p>
            <w:pPr>
              <w:pStyle w:val="TableParagraph"/>
              <w:rPr>
                <w:rFonts w:ascii="Times New Roman"/>
                <w:sz w:val="12"/>
              </w:rPr>
            </w:pPr>
          </w:p>
        </w:tc>
        <w:tc>
          <w:tcPr>
            <w:tcW w:w="695" w:type="dxa"/>
          </w:tcPr>
          <w:p>
            <w:pPr>
              <w:pStyle w:val="TableParagraph"/>
              <w:spacing w:line="140" w:lineRule="exact" w:before="26"/>
              <w:ind w:left="57"/>
              <w:rPr>
                <w:sz w:val="12"/>
              </w:rPr>
            </w:pPr>
            <w:r>
              <w:rPr>
                <w:w w:val="93"/>
                <w:sz w:val="12"/>
              </w:rPr>
              <w:t>A</w:t>
            </w:r>
          </w:p>
        </w:tc>
        <w:tc>
          <w:tcPr>
            <w:tcW w:w="432" w:type="dxa"/>
          </w:tcPr>
          <w:p>
            <w:pPr>
              <w:pStyle w:val="TableParagraph"/>
              <w:rPr>
                <w:rFonts w:ascii="Times New Roman"/>
                <w:sz w:val="12"/>
              </w:rPr>
            </w:pPr>
          </w:p>
        </w:tc>
        <w:tc>
          <w:tcPr>
            <w:tcW w:w="566" w:type="dxa"/>
          </w:tcPr>
          <w:p>
            <w:pPr>
              <w:pStyle w:val="TableParagraph"/>
              <w:spacing w:line="140" w:lineRule="exact" w:before="26"/>
              <w:ind w:left="134"/>
              <w:rPr>
                <w:sz w:val="12"/>
              </w:rPr>
            </w:pPr>
            <w:r>
              <w:rPr>
                <w:w w:val="105"/>
                <w:sz w:val="12"/>
              </w:rPr>
              <w:t>1.6%</w:t>
            </w:r>
          </w:p>
        </w:tc>
        <w:tc>
          <w:tcPr>
            <w:tcW w:w="725" w:type="dxa"/>
          </w:tcPr>
          <w:p>
            <w:pPr>
              <w:pStyle w:val="TableParagraph"/>
              <w:spacing w:line="140" w:lineRule="exact" w:before="26"/>
              <w:ind w:left="124"/>
              <w:rPr>
                <w:sz w:val="12"/>
              </w:rPr>
            </w:pPr>
            <w:r>
              <w:rPr>
                <w:w w:val="105"/>
                <w:sz w:val="12"/>
              </w:rPr>
              <w:t>0.8%</w:t>
            </w:r>
          </w:p>
        </w:tc>
        <w:tc>
          <w:tcPr>
            <w:tcW w:w="978" w:type="dxa"/>
          </w:tcPr>
          <w:p>
            <w:pPr>
              <w:pStyle w:val="TableParagraph"/>
              <w:spacing w:line="140" w:lineRule="exact" w:before="26"/>
              <w:ind w:left="128"/>
              <w:rPr>
                <w:sz w:val="12"/>
              </w:rPr>
            </w:pPr>
            <w:r>
              <w:rPr>
                <w:sz w:val="12"/>
              </w:rPr>
              <w:t>NR</w:t>
            </w:r>
          </w:p>
        </w:tc>
        <w:tc>
          <w:tcPr>
            <w:tcW w:w="1823" w:type="dxa"/>
          </w:tcPr>
          <w:p>
            <w:pPr>
              <w:pStyle w:val="TableParagraph"/>
              <w:spacing w:line="140" w:lineRule="exact" w:before="26"/>
              <w:ind w:left="502"/>
              <w:rPr>
                <w:sz w:val="12"/>
              </w:rPr>
            </w:pPr>
            <w:r>
              <w:rPr>
                <w:sz w:val="12"/>
              </w:rPr>
              <w:t>NR</w:t>
            </w:r>
          </w:p>
        </w:tc>
      </w:tr>
      <w:tr>
        <w:trPr>
          <w:trHeight w:val="171" w:hRule="atLeast"/>
        </w:trPr>
        <w:tc>
          <w:tcPr>
            <w:tcW w:w="2168" w:type="dxa"/>
          </w:tcPr>
          <w:p>
            <w:pPr>
              <w:pStyle w:val="TableParagraph"/>
              <w:rPr>
                <w:rFonts w:ascii="Times New Roman"/>
                <w:sz w:val="10"/>
              </w:rPr>
            </w:pPr>
          </w:p>
        </w:tc>
        <w:tc>
          <w:tcPr>
            <w:tcW w:w="968" w:type="dxa"/>
          </w:tcPr>
          <w:p>
            <w:pPr>
              <w:pStyle w:val="TableParagraph"/>
              <w:spacing w:line="140" w:lineRule="exact" w:before="11"/>
              <w:ind w:right="489"/>
              <w:jc w:val="right"/>
              <w:rPr>
                <w:sz w:val="12"/>
              </w:rPr>
            </w:pPr>
            <w:r>
              <w:rPr>
                <w:w w:val="125"/>
                <w:sz w:val="12"/>
              </w:rPr>
              <w:t>1223</w:t>
            </w:r>
          </w:p>
        </w:tc>
        <w:tc>
          <w:tcPr>
            <w:tcW w:w="295" w:type="dxa"/>
          </w:tcPr>
          <w:p>
            <w:pPr>
              <w:pStyle w:val="TableParagraph"/>
              <w:spacing w:line="140" w:lineRule="exact" w:before="11"/>
              <w:ind w:left="-1"/>
              <w:rPr>
                <w:sz w:val="12"/>
              </w:rPr>
            </w:pPr>
            <w:r>
              <w:rPr>
                <w:sz w:val="12"/>
              </w:rPr>
              <w:t>AM</w:t>
            </w:r>
          </w:p>
        </w:tc>
        <w:tc>
          <w:tcPr>
            <w:tcW w:w="233" w:type="dxa"/>
          </w:tcPr>
          <w:p>
            <w:pPr>
              <w:pStyle w:val="TableParagraph"/>
              <w:rPr>
                <w:rFonts w:ascii="Times New Roman"/>
                <w:sz w:val="10"/>
              </w:rPr>
            </w:pPr>
          </w:p>
        </w:tc>
        <w:tc>
          <w:tcPr>
            <w:tcW w:w="169" w:type="dxa"/>
          </w:tcPr>
          <w:p>
            <w:pPr>
              <w:pStyle w:val="TableParagraph"/>
              <w:rPr>
                <w:rFonts w:ascii="Times New Roman"/>
                <w:sz w:val="10"/>
              </w:rPr>
            </w:pPr>
          </w:p>
        </w:tc>
        <w:tc>
          <w:tcPr>
            <w:tcW w:w="402" w:type="dxa"/>
          </w:tcPr>
          <w:p>
            <w:pPr>
              <w:pStyle w:val="TableParagraph"/>
              <w:spacing w:line="140" w:lineRule="exact" w:before="11"/>
              <w:ind w:left="-4"/>
              <w:rPr>
                <w:sz w:val="12"/>
              </w:rPr>
            </w:pPr>
            <w:r>
              <w:rPr>
                <w:sz w:val="12"/>
              </w:rPr>
              <w:t>AM</w:t>
            </w:r>
          </w:p>
        </w:tc>
        <w:tc>
          <w:tcPr>
            <w:tcW w:w="553" w:type="dxa"/>
          </w:tcPr>
          <w:p>
            <w:pPr>
              <w:pStyle w:val="TableParagraph"/>
              <w:rPr>
                <w:rFonts w:ascii="Times New Roman"/>
                <w:sz w:val="10"/>
              </w:rPr>
            </w:pPr>
          </w:p>
        </w:tc>
        <w:tc>
          <w:tcPr>
            <w:tcW w:w="169" w:type="dxa"/>
          </w:tcPr>
          <w:p>
            <w:pPr>
              <w:pStyle w:val="TableParagraph"/>
              <w:rPr>
                <w:rFonts w:ascii="Times New Roman"/>
                <w:sz w:val="10"/>
              </w:rPr>
            </w:pPr>
          </w:p>
        </w:tc>
        <w:tc>
          <w:tcPr>
            <w:tcW w:w="330" w:type="dxa"/>
          </w:tcPr>
          <w:p>
            <w:pPr>
              <w:pStyle w:val="TableParagraph"/>
              <w:spacing w:line="151" w:lineRule="exact"/>
              <w:ind w:left="-8"/>
              <w:rPr>
                <w:rFonts w:ascii="Arial"/>
                <w:sz w:val="14"/>
              </w:rPr>
            </w:pPr>
            <w:r>
              <w:rPr>
                <w:rFonts w:ascii="Arial"/>
                <w:w w:val="97"/>
                <w:sz w:val="14"/>
              </w:rPr>
              <w:t>a</w:t>
            </w:r>
          </w:p>
        </w:tc>
        <w:tc>
          <w:tcPr>
            <w:tcW w:w="537" w:type="dxa"/>
          </w:tcPr>
          <w:p>
            <w:pPr>
              <w:pStyle w:val="TableParagraph"/>
              <w:rPr>
                <w:rFonts w:ascii="Times New Roman"/>
                <w:sz w:val="10"/>
              </w:rPr>
            </w:pPr>
          </w:p>
        </w:tc>
        <w:tc>
          <w:tcPr>
            <w:tcW w:w="170" w:type="dxa"/>
          </w:tcPr>
          <w:p>
            <w:pPr>
              <w:pStyle w:val="TableParagraph"/>
              <w:rPr>
                <w:rFonts w:ascii="Times New Roman"/>
                <w:sz w:val="10"/>
              </w:rPr>
            </w:pPr>
          </w:p>
        </w:tc>
        <w:tc>
          <w:tcPr>
            <w:tcW w:w="229" w:type="dxa"/>
          </w:tcPr>
          <w:p>
            <w:pPr>
              <w:pStyle w:val="TableParagraph"/>
              <w:spacing w:line="151" w:lineRule="exact"/>
              <w:ind w:left="-13"/>
              <w:rPr>
                <w:rFonts w:ascii="Arial"/>
                <w:sz w:val="14"/>
              </w:rPr>
            </w:pPr>
            <w:r>
              <w:rPr>
                <w:rFonts w:ascii="Arial"/>
                <w:w w:val="97"/>
                <w:sz w:val="14"/>
              </w:rPr>
              <w:t>a</w:t>
            </w:r>
          </w:p>
        </w:tc>
        <w:tc>
          <w:tcPr>
            <w:tcW w:w="319" w:type="dxa"/>
          </w:tcPr>
          <w:p>
            <w:pPr>
              <w:pStyle w:val="TableParagraph"/>
              <w:rPr>
                <w:rFonts w:ascii="Times New Roman"/>
                <w:sz w:val="10"/>
              </w:rPr>
            </w:pPr>
          </w:p>
        </w:tc>
        <w:tc>
          <w:tcPr>
            <w:tcW w:w="600" w:type="dxa"/>
          </w:tcPr>
          <w:p>
            <w:pPr>
              <w:pStyle w:val="TableParagraph"/>
              <w:rPr>
                <w:rFonts w:ascii="Times New Roman"/>
                <w:sz w:val="10"/>
              </w:rPr>
            </w:pPr>
          </w:p>
        </w:tc>
        <w:tc>
          <w:tcPr>
            <w:tcW w:w="400" w:type="dxa"/>
          </w:tcPr>
          <w:p>
            <w:pPr>
              <w:pStyle w:val="TableParagraph"/>
              <w:rPr>
                <w:rFonts w:ascii="Times New Roman"/>
                <w:sz w:val="10"/>
              </w:rPr>
            </w:pPr>
          </w:p>
        </w:tc>
        <w:tc>
          <w:tcPr>
            <w:tcW w:w="776" w:type="dxa"/>
          </w:tcPr>
          <w:p>
            <w:pPr>
              <w:pStyle w:val="TableParagraph"/>
              <w:rPr>
                <w:rFonts w:ascii="Times New Roman"/>
                <w:sz w:val="10"/>
              </w:rPr>
            </w:pPr>
          </w:p>
        </w:tc>
        <w:tc>
          <w:tcPr>
            <w:tcW w:w="695" w:type="dxa"/>
          </w:tcPr>
          <w:p>
            <w:pPr>
              <w:pStyle w:val="TableParagraph"/>
              <w:spacing w:line="140" w:lineRule="exact" w:before="11"/>
              <w:ind w:left="57"/>
              <w:rPr>
                <w:sz w:val="12"/>
              </w:rPr>
            </w:pPr>
            <w:r>
              <w:rPr>
                <w:w w:val="93"/>
                <w:sz w:val="12"/>
              </w:rPr>
              <w:t>A</w:t>
            </w:r>
          </w:p>
        </w:tc>
        <w:tc>
          <w:tcPr>
            <w:tcW w:w="432" w:type="dxa"/>
          </w:tcPr>
          <w:p>
            <w:pPr>
              <w:pStyle w:val="TableParagraph"/>
              <w:rPr>
                <w:rFonts w:ascii="Times New Roman"/>
                <w:sz w:val="10"/>
              </w:rPr>
            </w:pPr>
          </w:p>
        </w:tc>
        <w:tc>
          <w:tcPr>
            <w:tcW w:w="566" w:type="dxa"/>
          </w:tcPr>
          <w:p>
            <w:pPr>
              <w:pStyle w:val="TableParagraph"/>
              <w:spacing w:line="140" w:lineRule="exact" w:before="11"/>
              <w:ind w:left="134"/>
              <w:rPr>
                <w:sz w:val="12"/>
              </w:rPr>
            </w:pPr>
            <w:r>
              <w:rPr>
                <w:w w:val="105"/>
                <w:sz w:val="12"/>
              </w:rPr>
              <w:t>1.1%</w:t>
            </w:r>
          </w:p>
        </w:tc>
        <w:tc>
          <w:tcPr>
            <w:tcW w:w="725" w:type="dxa"/>
          </w:tcPr>
          <w:p>
            <w:pPr>
              <w:pStyle w:val="TableParagraph"/>
              <w:spacing w:line="140" w:lineRule="exact" w:before="11"/>
              <w:ind w:left="124"/>
              <w:rPr>
                <w:sz w:val="12"/>
              </w:rPr>
            </w:pPr>
            <w:r>
              <w:rPr>
                <w:w w:val="105"/>
                <w:sz w:val="12"/>
              </w:rPr>
              <w:t>0.7%</w:t>
            </w:r>
          </w:p>
        </w:tc>
        <w:tc>
          <w:tcPr>
            <w:tcW w:w="978" w:type="dxa"/>
          </w:tcPr>
          <w:p>
            <w:pPr>
              <w:pStyle w:val="TableParagraph"/>
              <w:spacing w:line="140" w:lineRule="exact" w:before="11"/>
              <w:ind w:left="128"/>
              <w:rPr>
                <w:sz w:val="12"/>
              </w:rPr>
            </w:pPr>
            <w:r>
              <w:rPr>
                <w:sz w:val="12"/>
              </w:rPr>
              <w:t>NR</w:t>
            </w:r>
          </w:p>
        </w:tc>
        <w:tc>
          <w:tcPr>
            <w:tcW w:w="1823" w:type="dxa"/>
          </w:tcPr>
          <w:p>
            <w:pPr>
              <w:pStyle w:val="TableParagraph"/>
              <w:spacing w:line="140" w:lineRule="exact" w:before="11"/>
              <w:ind w:left="502"/>
              <w:rPr>
                <w:sz w:val="12"/>
              </w:rPr>
            </w:pPr>
            <w:r>
              <w:rPr>
                <w:sz w:val="12"/>
              </w:rPr>
              <w:t>NR</w:t>
            </w:r>
          </w:p>
        </w:tc>
      </w:tr>
      <w:tr>
        <w:trPr>
          <w:trHeight w:val="204" w:hRule="atLeast"/>
        </w:trPr>
        <w:tc>
          <w:tcPr>
            <w:tcW w:w="2168" w:type="dxa"/>
            <w:tcBorders>
              <w:bottom w:val="single" w:sz="6" w:space="0" w:color="000000"/>
            </w:tcBorders>
          </w:tcPr>
          <w:p>
            <w:pPr>
              <w:pStyle w:val="TableParagraph"/>
              <w:spacing w:before="11"/>
              <w:ind w:left="120"/>
              <w:rPr>
                <w:sz w:val="12"/>
              </w:rPr>
            </w:pPr>
            <w:r>
              <w:rPr>
                <w:w w:val="120"/>
                <w:sz w:val="12"/>
              </w:rPr>
              <w:t>Snyder et al., 2020 [</w:t>
            </w:r>
            <w:hyperlink w:history="true" w:anchor="_bookmark29">
              <w:r>
                <w:rPr>
                  <w:color w:val="007FAC"/>
                  <w:w w:val="120"/>
                  <w:sz w:val="12"/>
                </w:rPr>
                <w:t>18</w:t>
              </w:r>
            </w:hyperlink>
            <w:r>
              <w:rPr>
                <w:w w:val="120"/>
                <w:sz w:val="12"/>
              </w:rPr>
              <w:t>]</w:t>
            </w:r>
          </w:p>
        </w:tc>
        <w:tc>
          <w:tcPr>
            <w:tcW w:w="968" w:type="dxa"/>
            <w:tcBorders>
              <w:bottom w:val="single" w:sz="6" w:space="0" w:color="000000"/>
            </w:tcBorders>
          </w:tcPr>
          <w:p>
            <w:pPr>
              <w:pStyle w:val="TableParagraph"/>
              <w:spacing w:before="10"/>
              <w:ind w:right="489"/>
              <w:jc w:val="right"/>
              <w:rPr>
                <w:sz w:val="12"/>
              </w:rPr>
            </w:pPr>
            <w:r>
              <w:rPr>
                <w:rFonts w:ascii="Lucida Sans"/>
                <w:w w:val="125"/>
                <w:sz w:val="12"/>
              </w:rPr>
              <w:t>&gt;</w:t>
            </w:r>
            <w:r>
              <w:rPr>
                <w:w w:val="125"/>
                <w:sz w:val="12"/>
              </w:rPr>
              <w:t>2000</w:t>
            </w:r>
          </w:p>
        </w:tc>
        <w:tc>
          <w:tcPr>
            <w:tcW w:w="295" w:type="dxa"/>
            <w:tcBorders>
              <w:bottom w:val="single" w:sz="6" w:space="0" w:color="000000"/>
            </w:tcBorders>
          </w:tcPr>
          <w:p>
            <w:pPr>
              <w:pStyle w:val="TableParagraph"/>
              <w:spacing w:before="10"/>
              <w:ind w:left="-1"/>
              <w:rPr>
                <w:rFonts w:ascii="Lucida Sans"/>
                <w:sz w:val="12"/>
              </w:rPr>
            </w:pPr>
            <w:r>
              <w:rPr>
                <w:rFonts w:ascii="Lucida Sans"/>
                <w:w w:val="174"/>
                <w:sz w:val="12"/>
              </w:rPr>
              <w:t>C</w:t>
            </w:r>
          </w:p>
        </w:tc>
        <w:tc>
          <w:tcPr>
            <w:tcW w:w="233" w:type="dxa"/>
            <w:tcBorders>
              <w:bottom w:val="single" w:sz="6" w:space="0" w:color="000000"/>
            </w:tcBorders>
          </w:tcPr>
          <w:p>
            <w:pPr>
              <w:pStyle w:val="TableParagraph"/>
              <w:spacing w:before="11"/>
              <w:ind w:left="82"/>
              <w:rPr>
                <w:sz w:val="12"/>
              </w:rPr>
            </w:pPr>
            <w:r>
              <w:rPr>
                <w:w w:val="109"/>
                <w:sz w:val="12"/>
              </w:rPr>
              <w:t>S</w:t>
            </w:r>
          </w:p>
        </w:tc>
        <w:tc>
          <w:tcPr>
            <w:tcW w:w="169" w:type="dxa"/>
            <w:tcBorders>
              <w:bottom w:val="single" w:sz="6" w:space="0" w:color="000000"/>
            </w:tcBorders>
          </w:tcPr>
          <w:p>
            <w:pPr>
              <w:pStyle w:val="TableParagraph"/>
              <w:rPr>
                <w:rFonts w:ascii="Times New Roman"/>
                <w:sz w:val="12"/>
              </w:rPr>
            </w:pPr>
          </w:p>
        </w:tc>
        <w:tc>
          <w:tcPr>
            <w:tcW w:w="402" w:type="dxa"/>
            <w:tcBorders>
              <w:bottom w:val="single" w:sz="6" w:space="0" w:color="000000"/>
            </w:tcBorders>
          </w:tcPr>
          <w:p>
            <w:pPr>
              <w:pStyle w:val="TableParagraph"/>
              <w:rPr>
                <w:rFonts w:ascii="Times New Roman"/>
                <w:sz w:val="12"/>
              </w:rPr>
            </w:pPr>
          </w:p>
        </w:tc>
        <w:tc>
          <w:tcPr>
            <w:tcW w:w="553" w:type="dxa"/>
            <w:tcBorders>
              <w:bottom w:val="single" w:sz="6" w:space="0" w:color="000000"/>
            </w:tcBorders>
          </w:tcPr>
          <w:p>
            <w:pPr>
              <w:pStyle w:val="TableParagraph"/>
              <w:spacing w:before="11"/>
              <w:ind w:left="185"/>
              <w:rPr>
                <w:sz w:val="12"/>
              </w:rPr>
            </w:pPr>
            <w:r>
              <w:rPr>
                <w:w w:val="109"/>
                <w:sz w:val="12"/>
              </w:rPr>
              <w:t>S</w:t>
            </w:r>
          </w:p>
        </w:tc>
        <w:tc>
          <w:tcPr>
            <w:tcW w:w="169" w:type="dxa"/>
            <w:tcBorders>
              <w:bottom w:val="single" w:sz="6" w:space="0" w:color="000000"/>
            </w:tcBorders>
          </w:tcPr>
          <w:p>
            <w:pPr>
              <w:pStyle w:val="TableParagraph"/>
              <w:rPr>
                <w:rFonts w:ascii="Times New Roman"/>
                <w:sz w:val="12"/>
              </w:rPr>
            </w:pPr>
          </w:p>
        </w:tc>
        <w:tc>
          <w:tcPr>
            <w:tcW w:w="330" w:type="dxa"/>
            <w:tcBorders>
              <w:bottom w:val="single" w:sz="6" w:space="0" w:color="000000"/>
            </w:tcBorders>
          </w:tcPr>
          <w:p>
            <w:pPr>
              <w:pStyle w:val="TableParagraph"/>
              <w:rPr>
                <w:rFonts w:ascii="Times New Roman"/>
                <w:sz w:val="12"/>
              </w:rPr>
            </w:pPr>
          </w:p>
        </w:tc>
        <w:tc>
          <w:tcPr>
            <w:tcW w:w="537" w:type="dxa"/>
            <w:tcBorders>
              <w:bottom w:val="single" w:sz="6" w:space="0" w:color="000000"/>
            </w:tcBorders>
          </w:tcPr>
          <w:p>
            <w:pPr>
              <w:pStyle w:val="TableParagraph"/>
              <w:spacing w:before="11"/>
              <w:ind w:left="174"/>
              <w:rPr>
                <w:sz w:val="12"/>
              </w:rPr>
            </w:pPr>
            <w:r>
              <w:rPr>
                <w:w w:val="109"/>
                <w:sz w:val="12"/>
              </w:rPr>
              <w:t>S</w:t>
            </w:r>
          </w:p>
        </w:tc>
        <w:tc>
          <w:tcPr>
            <w:tcW w:w="170" w:type="dxa"/>
            <w:tcBorders>
              <w:bottom w:val="single" w:sz="6" w:space="0" w:color="000000"/>
            </w:tcBorders>
          </w:tcPr>
          <w:p>
            <w:pPr>
              <w:pStyle w:val="TableParagraph"/>
              <w:rPr>
                <w:rFonts w:ascii="Times New Roman"/>
                <w:sz w:val="12"/>
              </w:rPr>
            </w:pPr>
          </w:p>
        </w:tc>
        <w:tc>
          <w:tcPr>
            <w:tcW w:w="229" w:type="dxa"/>
            <w:tcBorders>
              <w:bottom w:val="single" w:sz="6" w:space="0" w:color="000000"/>
            </w:tcBorders>
          </w:tcPr>
          <w:p>
            <w:pPr>
              <w:pStyle w:val="TableParagraph"/>
              <w:rPr>
                <w:rFonts w:ascii="Times New Roman"/>
                <w:sz w:val="12"/>
              </w:rPr>
            </w:pPr>
          </w:p>
        </w:tc>
        <w:tc>
          <w:tcPr>
            <w:tcW w:w="319" w:type="dxa"/>
            <w:tcBorders>
              <w:bottom w:val="single" w:sz="6" w:space="0" w:color="000000"/>
            </w:tcBorders>
          </w:tcPr>
          <w:p>
            <w:pPr>
              <w:pStyle w:val="TableParagraph"/>
              <w:rPr>
                <w:rFonts w:ascii="Times New Roman"/>
                <w:sz w:val="12"/>
              </w:rPr>
            </w:pPr>
          </w:p>
        </w:tc>
        <w:tc>
          <w:tcPr>
            <w:tcW w:w="600" w:type="dxa"/>
            <w:tcBorders>
              <w:bottom w:val="single" w:sz="6" w:space="0" w:color="000000"/>
            </w:tcBorders>
          </w:tcPr>
          <w:p>
            <w:pPr>
              <w:pStyle w:val="TableParagraph"/>
              <w:rPr>
                <w:rFonts w:ascii="Times New Roman"/>
                <w:sz w:val="12"/>
              </w:rPr>
            </w:pPr>
          </w:p>
        </w:tc>
        <w:tc>
          <w:tcPr>
            <w:tcW w:w="400" w:type="dxa"/>
            <w:tcBorders>
              <w:bottom w:val="single" w:sz="6" w:space="0" w:color="000000"/>
            </w:tcBorders>
          </w:tcPr>
          <w:p>
            <w:pPr>
              <w:pStyle w:val="TableParagraph"/>
              <w:rPr>
                <w:rFonts w:ascii="Times New Roman"/>
                <w:sz w:val="12"/>
              </w:rPr>
            </w:pPr>
          </w:p>
        </w:tc>
        <w:tc>
          <w:tcPr>
            <w:tcW w:w="776" w:type="dxa"/>
            <w:tcBorders>
              <w:bottom w:val="single" w:sz="6" w:space="0" w:color="000000"/>
            </w:tcBorders>
          </w:tcPr>
          <w:p>
            <w:pPr>
              <w:pStyle w:val="TableParagraph"/>
              <w:spacing w:before="10"/>
              <w:ind w:left="60"/>
              <w:rPr>
                <w:rFonts w:ascii="Lucida Sans"/>
                <w:sz w:val="12"/>
              </w:rPr>
            </w:pPr>
            <w:r>
              <w:rPr>
                <w:rFonts w:ascii="Lucida Sans"/>
                <w:w w:val="174"/>
                <w:sz w:val="12"/>
              </w:rPr>
              <w:t>C</w:t>
            </w:r>
          </w:p>
        </w:tc>
        <w:tc>
          <w:tcPr>
            <w:tcW w:w="695" w:type="dxa"/>
            <w:tcBorders>
              <w:bottom w:val="single" w:sz="6" w:space="0" w:color="000000"/>
            </w:tcBorders>
          </w:tcPr>
          <w:p>
            <w:pPr>
              <w:pStyle w:val="TableParagraph"/>
              <w:rPr>
                <w:rFonts w:ascii="Times New Roman"/>
                <w:sz w:val="12"/>
              </w:rPr>
            </w:pPr>
          </w:p>
        </w:tc>
        <w:tc>
          <w:tcPr>
            <w:tcW w:w="432" w:type="dxa"/>
            <w:tcBorders>
              <w:bottom w:val="single" w:sz="6" w:space="0" w:color="000000"/>
            </w:tcBorders>
          </w:tcPr>
          <w:p>
            <w:pPr>
              <w:pStyle w:val="TableParagraph"/>
              <w:rPr>
                <w:rFonts w:ascii="Times New Roman"/>
                <w:sz w:val="12"/>
              </w:rPr>
            </w:pPr>
          </w:p>
        </w:tc>
        <w:tc>
          <w:tcPr>
            <w:tcW w:w="566" w:type="dxa"/>
            <w:tcBorders>
              <w:bottom w:val="single" w:sz="6" w:space="0" w:color="000000"/>
            </w:tcBorders>
          </w:tcPr>
          <w:p>
            <w:pPr>
              <w:pStyle w:val="TableParagraph"/>
              <w:spacing w:before="11"/>
              <w:ind w:left="54"/>
              <w:rPr>
                <w:sz w:val="12"/>
              </w:rPr>
            </w:pPr>
            <w:r>
              <w:rPr>
                <w:w w:val="105"/>
                <w:sz w:val="12"/>
              </w:rPr>
              <w:t>0%</w:t>
            </w:r>
          </w:p>
        </w:tc>
        <w:tc>
          <w:tcPr>
            <w:tcW w:w="725" w:type="dxa"/>
            <w:tcBorders>
              <w:bottom w:val="single" w:sz="6" w:space="0" w:color="000000"/>
            </w:tcBorders>
          </w:tcPr>
          <w:p>
            <w:pPr>
              <w:pStyle w:val="TableParagraph"/>
              <w:rPr>
                <w:rFonts w:ascii="Times New Roman"/>
                <w:sz w:val="12"/>
              </w:rPr>
            </w:pPr>
          </w:p>
        </w:tc>
        <w:tc>
          <w:tcPr>
            <w:tcW w:w="978" w:type="dxa"/>
            <w:tcBorders>
              <w:bottom w:val="single" w:sz="6" w:space="0" w:color="000000"/>
            </w:tcBorders>
          </w:tcPr>
          <w:p>
            <w:pPr>
              <w:pStyle w:val="TableParagraph"/>
              <w:spacing w:before="11"/>
              <w:ind w:left="128"/>
              <w:rPr>
                <w:sz w:val="12"/>
              </w:rPr>
            </w:pPr>
            <w:r>
              <w:rPr>
                <w:sz w:val="12"/>
              </w:rPr>
              <w:t>NR</w:t>
            </w:r>
          </w:p>
        </w:tc>
        <w:tc>
          <w:tcPr>
            <w:tcW w:w="1823" w:type="dxa"/>
            <w:tcBorders>
              <w:bottom w:val="single" w:sz="6" w:space="0" w:color="000000"/>
            </w:tcBorders>
          </w:tcPr>
          <w:p>
            <w:pPr>
              <w:pStyle w:val="TableParagraph"/>
              <w:spacing w:before="11"/>
              <w:ind w:left="502"/>
              <w:rPr>
                <w:sz w:val="12"/>
              </w:rPr>
            </w:pPr>
            <w:r>
              <w:rPr>
                <w:sz w:val="12"/>
              </w:rPr>
              <w:t>NR</w:t>
            </w:r>
          </w:p>
        </w:tc>
      </w:tr>
    </w:tbl>
    <w:p>
      <w:pPr>
        <w:spacing w:line="273" w:lineRule="auto" w:before="36"/>
        <w:ind w:left="511" w:right="0" w:firstLine="0"/>
        <w:jc w:val="left"/>
        <w:rPr>
          <w:sz w:val="12"/>
        </w:rPr>
      </w:pPr>
      <w:r>
        <w:rPr/>
        <w:pict>
          <v:shape style="position:absolute;margin-left:738.346069pt;margin-top:6.232032pt;width:9.65pt;height:167.95pt;mso-position-horizontal-relative:page;mso-position-vertical-relative:paragraph;z-index:251736064" type="#_x0000_t202" filled="false" stroked="false">
            <v:textbox inset="0,0,0,0" style="layout-flow:vertical">
              <w:txbxContent>
                <w:p>
                  <w:pPr>
                    <w:spacing w:before="27"/>
                    <w:ind w:left="20" w:right="0" w:firstLine="0"/>
                    <w:jc w:val="left"/>
                    <w:rPr>
                      <w:i/>
                      <w:sz w:val="12"/>
                    </w:rPr>
                  </w:pPr>
                  <w:r>
                    <w:rPr>
                      <w:i/>
                      <w:w w:val="110"/>
                      <w:sz w:val="12"/>
                    </w:rPr>
                    <w:t>M.A. Snyder et al. / Arthroplasty Today xxx (2021) 1</w:t>
                  </w:r>
                  <w:r>
                    <w:rPr>
                      <w:rFonts w:ascii="Lucida Sans"/>
                      <w:w w:val="110"/>
                      <w:sz w:val="12"/>
                    </w:rPr>
                    <w:t>e</w:t>
                  </w:r>
                  <w:r>
                    <w:rPr>
                      <w:i/>
                      <w:w w:val="110"/>
                      <w:sz w:val="12"/>
                    </w:rPr>
                    <w:t>10.e7</w:t>
                  </w:r>
                </w:p>
              </w:txbxContent>
            </v:textbox>
            <w10:wrap type="none"/>
          </v:shape>
        </w:pict>
      </w:r>
      <w:r>
        <w:rPr>
          <w:rFonts w:ascii="Arial"/>
          <w:w w:val="110"/>
          <w:sz w:val="14"/>
        </w:rPr>
        <w:t>a</w:t>
      </w:r>
      <w:r>
        <w:rPr>
          <w:w w:val="110"/>
          <w:sz w:val="12"/>
        </w:rPr>
        <w:t>, assumption; A, Aquacel; AM, antimicrobial sutures; BS, barbed sutures; D, Dermabond; E, Ethilon; H, Histoacryl; I, Insorb; L, Liquiband; M, Mastisol; NR, not reported; Q, Quill; S, STRATAFIX; SS, Steri-strips; SSI, surgical site infection; TS, traditional sutures; TSA, topical skin adhesive; VL, V-Loc; X, Xeroform.</w:t>
      </w:r>
    </w:p>
    <w:p>
      <w:pPr>
        <w:spacing w:line="146" w:lineRule="exact" w:before="0"/>
        <w:ind w:left="629" w:right="0" w:firstLine="0"/>
        <w:jc w:val="left"/>
        <w:rPr>
          <w:sz w:val="12"/>
        </w:rPr>
      </w:pPr>
      <w:r>
        <w:rPr>
          <w:w w:val="115"/>
          <w:position w:val="6"/>
          <w:sz w:val="9"/>
        </w:rPr>
        <w:t>a </w:t>
      </w:r>
      <w:r>
        <w:rPr>
          <w:w w:val="115"/>
          <w:sz w:val="12"/>
        </w:rPr>
        <w:t>Singhal, 2006 mentioned that wounds were closed in layers but did not specify methods.</w:t>
      </w:r>
    </w:p>
    <w:p>
      <w:pPr>
        <w:spacing w:line="171" w:lineRule="exact" w:before="0"/>
        <w:ind w:left="622" w:right="0" w:firstLine="0"/>
        <w:jc w:val="left"/>
        <w:rPr>
          <w:sz w:val="12"/>
        </w:rPr>
      </w:pPr>
      <w:r>
        <w:rPr>
          <w:w w:val="115"/>
          <w:position w:val="6"/>
          <w:sz w:val="9"/>
        </w:rPr>
        <w:t>b </w:t>
      </w:r>
      <w:r>
        <w:rPr>
          <w:w w:val="115"/>
          <w:sz w:val="12"/>
        </w:rPr>
        <w:t>Patel, 2012 used 3-0 mono</w:t>
      </w:r>
      <w:r>
        <w:rPr>
          <w:rFonts w:ascii="Times New Roman" w:hAnsi="Times New Roman"/>
          <w:w w:val="115"/>
          <w:sz w:val="12"/>
        </w:rPr>
        <w:t>ﬁ</w:t>
      </w:r>
      <w:r>
        <w:rPr>
          <w:w w:val="115"/>
          <w:sz w:val="12"/>
        </w:rPr>
        <w:t>lament Biosyn for closure. Assumed that stitch technique for subcuticular would close the skin as well.</w:t>
      </w:r>
    </w:p>
    <w:p>
      <w:pPr>
        <w:spacing w:line="276" w:lineRule="auto" w:before="0"/>
        <w:ind w:left="511" w:right="136" w:firstLine="121"/>
        <w:jc w:val="left"/>
        <w:rPr>
          <w:sz w:val="12"/>
        </w:rPr>
      </w:pPr>
      <w:r>
        <w:rPr>
          <w:w w:val="115"/>
          <w:position w:val="6"/>
          <w:sz w:val="9"/>
        </w:rPr>
        <w:t>c</w:t>
      </w:r>
      <w:r>
        <w:rPr>
          <w:spacing w:val="6"/>
          <w:w w:val="115"/>
          <w:position w:val="6"/>
          <w:sz w:val="9"/>
        </w:rPr>
        <w:t> </w:t>
      </w:r>
      <w:r>
        <w:rPr>
          <w:w w:val="115"/>
          <w:sz w:val="12"/>
        </w:rPr>
        <w:t>Ting,</w:t>
      </w:r>
      <w:r>
        <w:rPr>
          <w:spacing w:val="-13"/>
          <w:w w:val="115"/>
          <w:sz w:val="12"/>
        </w:rPr>
        <w:t> </w:t>
      </w:r>
      <w:r>
        <w:rPr>
          <w:w w:val="115"/>
          <w:sz w:val="12"/>
        </w:rPr>
        <w:t>2012</w:t>
      </w:r>
      <w:r>
        <w:rPr>
          <w:spacing w:val="-12"/>
          <w:w w:val="115"/>
          <w:sz w:val="12"/>
        </w:rPr>
        <w:t> </w:t>
      </w:r>
      <w:r>
        <w:rPr>
          <w:w w:val="115"/>
          <w:sz w:val="12"/>
        </w:rPr>
        <w:t>explicitly</w:t>
      </w:r>
      <w:r>
        <w:rPr>
          <w:spacing w:val="-12"/>
          <w:w w:val="115"/>
          <w:sz w:val="12"/>
        </w:rPr>
        <w:t> </w:t>
      </w:r>
      <w:r>
        <w:rPr>
          <w:w w:val="115"/>
          <w:sz w:val="12"/>
        </w:rPr>
        <w:t>de</w:t>
      </w:r>
      <w:r>
        <w:rPr>
          <w:rFonts w:ascii="Times New Roman" w:hAnsi="Times New Roman"/>
          <w:w w:val="115"/>
          <w:sz w:val="12"/>
        </w:rPr>
        <w:t>ﬁ</w:t>
      </w:r>
      <w:r>
        <w:rPr>
          <w:w w:val="115"/>
          <w:sz w:val="12"/>
        </w:rPr>
        <w:t>ned</w:t>
      </w:r>
      <w:r>
        <w:rPr>
          <w:spacing w:val="-13"/>
          <w:w w:val="115"/>
          <w:sz w:val="12"/>
        </w:rPr>
        <w:t> </w:t>
      </w:r>
      <w:r>
        <w:rPr>
          <w:w w:val="115"/>
          <w:sz w:val="12"/>
        </w:rPr>
        <w:t>super</w:t>
      </w:r>
      <w:r>
        <w:rPr>
          <w:rFonts w:ascii="Times New Roman" w:hAnsi="Times New Roman"/>
          <w:w w:val="115"/>
          <w:sz w:val="12"/>
        </w:rPr>
        <w:t>ﬁ</w:t>
      </w:r>
      <w:r>
        <w:rPr>
          <w:w w:val="115"/>
          <w:sz w:val="12"/>
        </w:rPr>
        <w:t>cial</w:t>
      </w:r>
      <w:r>
        <w:rPr>
          <w:spacing w:val="-13"/>
          <w:w w:val="115"/>
          <w:sz w:val="12"/>
        </w:rPr>
        <w:t> </w:t>
      </w:r>
      <w:r>
        <w:rPr>
          <w:w w:val="115"/>
          <w:sz w:val="12"/>
        </w:rPr>
        <w:t>infection</w:t>
      </w:r>
      <w:r>
        <w:rPr>
          <w:spacing w:val="-12"/>
          <w:w w:val="115"/>
          <w:sz w:val="12"/>
        </w:rPr>
        <w:t> </w:t>
      </w:r>
      <w:r>
        <w:rPr>
          <w:w w:val="115"/>
          <w:sz w:val="12"/>
        </w:rPr>
        <w:t>as</w:t>
      </w:r>
      <w:r>
        <w:rPr>
          <w:spacing w:val="-12"/>
          <w:w w:val="115"/>
          <w:sz w:val="12"/>
        </w:rPr>
        <w:t> </w:t>
      </w:r>
      <w:r>
        <w:rPr>
          <w:w w:val="115"/>
          <w:sz w:val="12"/>
        </w:rPr>
        <w:t>need</w:t>
      </w:r>
      <w:r>
        <w:rPr>
          <w:spacing w:val="-13"/>
          <w:w w:val="115"/>
          <w:sz w:val="12"/>
        </w:rPr>
        <w:t> </w:t>
      </w:r>
      <w:r>
        <w:rPr>
          <w:w w:val="115"/>
          <w:sz w:val="12"/>
        </w:rPr>
        <w:t>for</w:t>
      </w:r>
      <w:r>
        <w:rPr>
          <w:spacing w:val="-12"/>
          <w:w w:val="115"/>
          <w:sz w:val="12"/>
        </w:rPr>
        <w:t> </w:t>
      </w:r>
      <w:r>
        <w:rPr>
          <w:w w:val="115"/>
          <w:sz w:val="12"/>
        </w:rPr>
        <w:t>reoperation</w:t>
      </w:r>
      <w:r>
        <w:rPr>
          <w:spacing w:val="-13"/>
          <w:w w:val="115"/>
          <w:sz w:val="12"/>
        </w:rPr>
        <w:t> </w:t>
      </w:r>
      <w:r>
        <w:rPr>
          <w:w w:val="115"/>
          <w:sz w:val="12"/>
        </w:rPr>
        <w:t>and/or</w:t>
      </w:r>
      <w:r>
        <w:rPr>
          <w:spacing w:val="-12"/>
          <w:w w:val="115"/>
          <w:sz w:val="12"/>
        </w:rPr>
        <w:t> </w:t>
      </w:r>
      <w:r>
        <w:rPr>
          <w:rFonts w:ascii="Lucida Sans" w:hAnsi="Lucida Sans"/>
          <w:w w:val="115"/>
          <w:sz w:val="12"/>
        </w:rPr>
        <w:t>&gt;</w:t>
      </w:r>
      <w:r>
        <w:rPr>
          <w:w w:val="115"/>
          <w:sz w:val="12"/>
        </w:rPr>
        <w:t>10-day</w:t>
      </w:r>
      <w:r>
        <w:rPr>
          <w:spacing w:val="-12"/>
          <w:w w:val="115"/>
          <w:sz w:val="12"/>
        </w:rPr>
        <w:t> </w:t>
      </w:r>
      <w:r>
        <w:rPr>
          <w:w w:val="115"/>
          <w:sz w:val="12"/>
        </w:rPr>
        <w:t>course</w:t>
      </w:r>
      <w:r>
        <w:rPr>
          <w:spacing w:val="-13"/>
          <w:w w:val="115"/>
          <w:sz w:val="12"/>
        </w:rPr>
        <w:t> </w:t>
      </w:r>
      <w:r>
        <w:rPr>
          <w:w w:val="115"/>
          <w:sz w:val="12"/>
        </w:rPr>
        <w:t>of</w:t>
      </w:r>
      <w:r>
        <w:rPr>
          <w:spacing w:val="-13"/>
          <w:w w:val="115"/>
          <w:sz w:val="12"/>
        </w:rPr>
        <w:t> </w:t>
      </w:r>
      <w:r>
        <w:rPr>
          <w:w w:val="115"/>
          <w:sz w:val="12"/>
        </w:rPr>
        <w:t>oral</w:t>
      </w:r>
      <w:r>
        <w:rPr>
          <w:spacing w:val="-12"/>
          <w:w w:val="115"/>
          <w:sz w:val="12"/>
        </w:rPr>
        <w:t> </w:t>
      </w:r>
      <w:r>
        <w:rPr>
          <w:w w:val="115"/>
          <w:sz w:val="12"/>
        </w:rPr>
        <w:t>or</w:t>
      </w:r>
      <w:r>
        <w:rPr>
          <w:spacing w:val="-13"/>
          <w:w w:val="115"/>
          <w:sz w:val="12"/>
        </w:rPr>
        <w:t> </w:t>
      </w:r>
      <w:r>
        <w:rPr>
          <w:w w:val="115"/>
          <w:sz w:val="12"/>
        </w:rPr>
        <w:t>IV</w:t>
      </w:r>
      <w:r>
        <w:rPr>
          <w:spacing w:val="-12"/>
          <w:w w:val="115"/>
          <w:sz w:val="12"/>
        </w:rPr>
        <w:t> </w:t>
      </w:r>
      <w:r>
        <w:rPr>
          <w:w w:val="115"/>
          <w:sz w:val="12"/>
        </w:rPr>
        <w:t>antibiotics.</w:t>
      </w:r>
      <w:r>
        <w:rPr>
          <w:spacing w:val="-12"/>
          <w:w w:val="115"/>
          <w:sz w:val="12"/>
        </w:rPr>
        <w:t> </w:t>
      </w:r>
      <w:r>
        <w:rPr>
          <w:w w:val="115"/>
          <w:sz w:val="12"/>
        </w:rPr>
        <w:t>Rates</w:t>
      </w:r>
      <w:r>
        <w:rPr>
          <w:spacing w:val="-12"/>
          <w:w w:val="115"/>
          <w:sz w:val="12"/>
        </w:rPr>
        <w:t> </w:t>
      </w:r>
      <w:r>
        <w:rPr>
          <w:w w:val="115"/>
          <w:sz w:val="12"/>
        </w:rPr>
        <w:t>for</w:t>
      </w:r>
      <w:r>
        <w:rPr>
          <w:spacing w:val="-13"/>
          <w:w w:val="115"/>
          <w:sz w:val="12"/>
        </w:rPr>
        <w:t> </w:t>
      </w:r>
      <w:r>
        <w:rPr>
          <w:w w:val="115"/>
          <w:sz w:val="12"/>
        </w:rPr>
        <w:t>super</w:t>
      </w:r>
      <w:r>
        <w:rPr>
          <w:rFonts w:ascii="Times New Roman" w:hAnsi="Times New Roman"/>
          <w:w w:val="115"/>
          <w:sz w:val="12"/>
        </w:rPr>
        <w:t>ﬁ</w:t>
      </w:r>
      <w:r>
        <w:rPr>
          <w:w w:val="115"/>
          <w:sz w:val="12"/>
        </w:rPr>
        <w:t>cial</w:t>
      </w:r>
      <w:r>
        <w:rPr>
          <w:spacing w:val="-13"/>
          <w:w w:val="115"/>
          <w:sz w:val="12"/>
        </w:rPr>
        <w:t> </w:t>
      </w:r>
      <w:r>
        <w:rPr>
          <w:w w:val="115"/>
          <w:sz w:val="12"/>
        </w:rPr>
        <w:t>extracted</w:t>
      </w:r>
      <w:r>
        <w:rPr>
          <w:spacing w:val="-12"/>
          <w:w w:val="115"/>
          <w:sz w:val="12"/>
        </w:rPr>
        <w:t> </w:t>
      </w:r>
      <w:r>
        <w:rPr>
          <w:w w:val="115"/>
          <w:sz w:val="12"/>
        </w:rPr>
        <w:t>taken</w:t>
      </w:r>
      <w:r>
        <w:rPr>
          <w:spacing w:val="-13"/>
          <w:w w:val="115"/>
          <w:sz w:val="12"/>
        </w:rPr>
        <w:t> </w:t>
      </w:r>
      <w:r>
        <w:rPr>
          <w:w w:val="115"/>
          <w:sz w:val="12"/>
        </w:rPr>
        <w:t>from</w:t>
      </w:r>
      <w:r>
        <w:rPr>
          <w:spacing w:val="-12"/>
          <w:w w:val="115"/>
          <w:sz w:val="12"/>
        </w:rPr>
        <w:t> </w:t>
      </w:r>
      <w:r>
        <w:rPr>
          <w:w w:val="115"/>
          <w:sz w:val="12"/>
        </w:rPr>
        <w:t>development</w:t>
      </w:r>
      <w:r>
        <w:rPr>
          <w:spacing w:val="-12"/>
          <w:w w:val="115"/>
          <w:sz w:val="12"/>
        </w:rPr>
        <w:t> </w:t>
      </w:r>
      <w:r>
        <w:rPr>
          <w:w w:val="115"/>
          <w:sz w:val="12"/>
        </w:rPr>
        <w:t>of</w:t>
      </w:r>
      <w:r>
        <w:rPr>
          <w:spacing w:val="-12"/>
          <w:w w:val="115"/>
          <w:sz w:val="12"/>
        </w:rPr>
        <w:t> </w:t>
      </w:r>
      <w:r>
        <w:rPr>
          <w:w w:val="115"/>
          <w:sz w:val="12"/>
        </w:rPr>
        <w:t>peri-incisional</w:t>
      </w:r>
      <w:r>
        <w:rPr>
          <w:spacing w:val="-11"/>
          <w:w w:val="115"/>
          <w:sz w:val="12"/>
        </w:rPr>
        <w:t> </w:t>
      </w:r>
      <w:r>
        <w:rPr>
          <w:w w:val="115"/>
          <w:sz w:val="12"/>
        </w:rPr>
        <w:t>erythema</w:t>
      </w:r>
      <w:r>
        <w:rPr>
          <w:spacing w:val="-13"/>
          <w:w w:val="115"/>
          <w:sz w:val="12"/>
        </w:rPr>
        <w:t> </w:t>
      </w:r>
      <w:r>
        <w:rPr>
          <w:w w:val="115"/>
          <w:sz w:val="12"/>
        </w:rPr>
        <w:t>(2-5</w:t>
      </w:r>
      <w:r>
        <w:rPr>
          <w:spacing w:val="-12"/>
          <w:w w:val="115"/>
          <w:sz w:val="12"/>
        </w:rPr>
        <w:t> </w:t>
      </w:r>
      <w:r>
        <w:rPr>
          <w:w w:val="115"/>
          <w:sz w:val="12"/>
        </w:rPr>
        <w:t>weeks</w:t>
      </w:r>
      <w:r>
        <w:rPr>
          <w:spacing w:val="-13"/>
          <w:w w:val="115"/>
          <w:sz w:val="12"/>
        </w:rPr>
        <w:t> </w:t>
      </w:r>
      <w:r>
        <w:rPr>
          <w:w w:val="115"/>
          <w:sz w:val="12"/>
        </w:rPr>
        <w:t>postop) and were resolved after 7-10 days</w:t>
      </w:r>
      <w:r>
        <w:rPr>
          <w:spacing w:val="30"/>
          <w:w w:val="115"/>
          <w:sz w:val="12"/>
        </w:rPr>
        <w:t> </w:t>
      </w:r>
      <w:r>
        <w:rPr>
          <w:w w:val="115"/>
          <w:sz w:val="12"/>
        </w:rPr>
        <w:t>antibiotics.</w:t>
      </w:r>
    </w:p>
    <w:p>
      <w:pPr>
        <w:spacing w:line="144" w:lineRule="exact" w:before="0"/>
        <w:ind w:left="620" w:right="0" w:firstLine="0"/>
        <w:jc w:val="left"/>
        <w:rPr>
          <w:sz w:val="12"/>
        </w:rPr>
      </w:pPr>
      <w:r>
        <w:rPr>
          <w:w w:val="115"/>
          <w:position w:val="6"/>
          <w:sz w:val="9"/>
        </w:rPr>
        <w:t>d </w:t>
      </w:r>
      <w:r>
        <w:rPr>
          <w:w w:val="115"/>
          <w:sz w:val="12"/>
        </w:rPr>
        <w:t>Smith, 2014 running stitch was used for subcuticular closure in the traditional arm. Assumed that stitch technique for subcuticular would close the skin as well.</w:t>
      </w:r>
    </w:p>
    <w:p>
      <w:pPr>
        <w:spacing w:line="176" w:lineRule="exact" w:before="0"/>
        <w:ind w:left="628" w:right="0" w:firstLine="0"/>
        <w:jc w:val="left"/>
        <w:rPr>
          <w:sz w:val="12"/>
        </w:rPr>
      </w:pPr>
      <w:r>
        <w:rPr>
          <w:w w:val="115"/>
          <w:position w:val="6"/>
          <w:sz w:val="9"/>
        </w:rPr>
        <w:t>e </w:t>
      </w:r>
      <w:r>
        <w:rPr>
          <w:w w:val="115"/>
          <w:sz w:val="12"/>
        </w:rPr>
        <w:t>Sprowson, 2018 note that Vicryl was used on either the deep fascia or subcutaneous layer not both, subcuticular and skin closure methods not reported.</w:t>
      </w:r>
    </w:p>
    <w:p>
      <w:pPr>
        <w:spacing w:after="0" w:line="176" w:lineRule="exact"/>
        <w:jc w:val="left"/>
        <w:rPr>
          <w:sz w:val="12"/>
        </w:rPr>
        <w:sectPr>
          <w:headerReference w:type="default" r:id="rId109"/>
          <w:footerReference w:type="default" r:id="rId110"/>
          <w:pgSz w:w="15880" w:h="11910" w:orient="landscape"/>
          <w:pgMar w:header="0" w:footer="0" w:top="0" w:bottom="0" w:left="520" w:right="1100"/>
        </w:sectPr>
      </w:pPr>
    </w:p>
    <w:p>
      <w:pPr>
        <w:pStyle w:val="BodyText"/>
        <w:ind w:left="110"/>
        <w:rPr>
          <w:sz w:val="20"/>
        </w:rPr>
      </w:pPr>
      <w:r>
        <w:rPr>
          <w:sz w:val="20"/>
        </w:rPr>
        <w:pict>
          <v:group style="width:520pt;height:15.6pt;mso-position-horizontal-relative:char;mso-position-vertical-relative:line" coordorigin="0,0" coordsize="10400,312">
            <v:rect style="position:absolute;left:0;top:0;width:10400;height:312" filled="true" fillcolor="#c1c3c5" stroked="false">
              <v:fill type="solid"/>
            </v:rect>
            <v:shape style="position:absolute;left:3652;top:45;width:2589;height:211" coordorigin="3652,45" coordsize="2589,211" path="m6116,189l6076,189,6079,210,6092,232,6118,249,6162,256,6182,254,6208,246,6231,226,6232,221,6159,221,6137,218,6124,209,6118,199,6116,189xm6156,45l6117,51,6093,67,6082,88,6079,107,6085,133,6099,150,6119,159,6143,166,6164,171,6179,174,6190,179,6198,186,6201,195,6197,208,6187,216,6174,220,6159,221,6232,221,6241,190,6236,168,6225,152,6208,143,6188,137,6139,125,6131,123,6118,119,6118,104,6121,92,6130,85,6141,81,6153,80,6225,80,6218,68,6194,52,6156,45xm6225,80l6153,80,6175,83,6187,91,6192,101,6194,110,6234,110,6231,89,6225,80xm5931,189l5890,189,5893,210,5906,232,5932,249,5976,256,5996,254,6022,246,6045,226,6046,221,5973,221,5951,218,5938,209,5932,199,5931,189xm5970,45l5931,51,5908,67,5896,88,5893,107,5899,133,5913,150,5933,159,5957,166,5978,171,5993,174,6005,179,6012,186,6015,195,6011,208,6001,216,5988,220,5973,221,6046,221,6055,190,6051,168,6039,152,6022,143,6002,137,5954,125,5945,123,5932,119,5932,104,5936,92,5944,85,5955,81,5967,80,6039,80,6032,68,6008,52,5970,45xm6039,80l5967,80,5989,83,6001,91,6007,101,6008,110,6048,110,6045,89,6039,80xm5862,50l5715,50,5715,251,5867,251,5867,215,5756,215,5756,163,5854,163,5854,128,5756,128,5756,86,5862,86,5862,50xm5616,50l5515,50,5515,251,5556,251,5556,172,5668,172,5667,169,5659,160,5648,155,5661,147,5669,138,5556,138,5556,85,5674,85,5667,72,5648,57,5616,50xm5668,172l5599,172,5617,174,5627,181,5631,193,5631,210,5632,224,5633,235,5634,243,5636,251,5682,251,5682,245,5677,242,5674,235,5673,224,5673,205,5672,183,5668,172xm5674,85l5632,85,5637,101,5637,111,5635,124,5629,132,5619,137,5605,138,5669,138,5671,137,5677,123,5679,107,5677,91,5674,85xm5420,50l5329,50,5329,251,5371,251,5371,178,5419,178,5451,171,5471,153,5475,144,5371,144,5371,85,5476,85,5466,68,5446,55,5420,50xm5476,85l5404,85,5421,86,5432,91,5439,100,5441,113,5440,121,5437,131,5427,140,5409,144,5475,144,5480,132,5483,114,5478,88,5476,85xm5078,50l5034,50,5034,251,5073,251,5073,108,5111,108,5078,50xm5111,108l5073,108,5155,251,5197,251,5197,190,5157,190,5111,108xm5197,50l5158,50,5158,190,5197,190,5197,50xm4999,50l4957,50,4957,251,4999,251,4999,50xm4828,50l4681,50,4681,251,4833,251,4833,215,4722,215,4722,163,4819,163,4819,128,4722,128,4722,86,4828,86,4828,50xm4554,50l4512,50,4512,251,4654,251,4654,214,4554,214,4554,50xm4395,45l4359,52,4330,72,4310,105,4303,151,4310,196,4329,229,4358,249,4395,256,4428,250,4454,235,4466,220,4395,220,4373,214,4357,199,4349,177,4346,151,4351,116,4363,95,4379,84,4395,81,4468,81,4460,69,4434,52,4395,45xm4482,182l4440,182,4434,198,4424,210,4411,217,4395,220,4466,220,4472,212,4482,182xm4468,81l4395,81,4416,85,4429,94,4436,105,4440,116,4482,116,4476,92,4468,81xm4275,50l4233,50,4233,251,4275,251,4275,50xm4153,86l4111,86,4111,251,4153,251,4153,86xm4214,50l4051,50,4051,86,4214,86,4214,50xm3969,50l3868,50,3868,251,3909,251,3909,172,4021,172,4020,169,4012,160,4001,155,4014,147,4022,138,3909,138,3909,85,4027,85,4021,72,4002,57,3969,50xm4021,172l3952,172,3970,174,3980,181,3984,193,3985,210,3985,224,3986,235,3987,243,3989,251,4036,251,4036,245,4030,242,4028,235,4027,224,4027,205,4025,183,4021,172xm4027,85l3986,85,3990,101,3990,111,3988,124,3982,132,3972,137,3958,138,4022,138,4024,137,4030,123,4032,107,4030,91,4027,85xm3772,50l3723,50,3652,251,3696,251,3710,209,3828,209,3816,175,3721,175,3747,96,3788,96,3772,50xm3828,209l3784,209,3797,251,3842,251,3828,209xm3788,96l3747,96,3772,175,3816,175,3788,96xe" filled="true" fillcolor="#ffffff" stroked="false">
              <v:path arrowok="t"/>
              <v:fill type="solid"/>
            </v:shape>
          </v:group>
        </w:pict>
      </w:r>
      <w:r>
        <w:rPr>
          <w:sz w:val="20"/>
        </w:rPr>
      </w:r>
    </w:p>
    <w:p>
      <w:pPr>
        <w:pStyle w:val="BodyText"/>
        <w:spacing w:before="5"/>
        <w:rPr>
          <w:sz w:val="22"/>
        </w:rPr>
      </w:pPr>
    </w:p>
    <w:p>
      <w:pPr>
        <w:tabs>
          <w:tab w:pos="10203" w:val="left" w:leader="none"/>
        </w:tabs>
        <w:spacing w:before="109"/>
        <w:ind w:left="3651" w:right="0" w:firstLine="0"/>
        <w:jc w:val="left"/>
        <w:rPr>
          <w:sz w:val="12"/>
        </w:rPr>
      </w:pPr>
      <w:bookmarkStart w:name="Appendix D" w:id="152"/>
      <w:bookmarkEnd w:id="152"/>
      <w:r>
        <w:rPr/>
      </w:r>
      <w:r>
        <w:rPr>
          <w:i/>
          <w:w w:val="110"/>
          <w:sz w:val="12"/>
        </w:rPr>
        <w:t>M.A. Snyder et al. / Arthroplasty</w:t>
      </w:r>
      <w:r>
        <w:rPr>
          <w:i/>
          <w:spacing w:val="30"/>
          <w:w w:val="110"/>
          <w:sz w:val="12"/>
        </w:rPr>
        <w:t> </w:t>
      </w:r>
      <w:r>
        <w:rPr>
          <w:i/>
          <w:w w:val="110"/>
          <w:sz w:val="12"/>
        </w:rPr>
        <w:t>Today  xxx  (2021)</w:t>
      </w:r>
      <w:r>
        <w:rPr>
          <w:i/>
          <w:spacing w:val="12"/>
          <w:w w:val="110"/>
          <w:sz w:val="12"/>
        </w:rPr>
        <w:t> </w:t>
      </w:r>
      <w:r>
        <w:rPr>
          <w:i/>
          <w:spacing w:val="-3"/>
          <w:w w:val="110"/>
          <w:sz w:val="12"/>
        </w:rPr>
        <w:t>1</w:t>
      </w:r>
      <w:r>
        <w:rPr>
          <w:rFonts w:ascii="Lucida Sans"/>
          <w:spacing w:val="-3"/>
          <w:w w:val="110"/>
          <w:sz w:val="12"/>
        </w:rPr>
        <w:t>e</w:t>
      </w:r>
      <w:r>
        <w:rPr>
          <w:i/>
          <w:spacing w:val="-3"/>
          <w:w w:val="110"/>
          <w:sz w:val="12"/>
        </w:rPr>
        <w:t>10.e7</w:t>
        <w:tab/>
      </w:r>
      <w:r>
        <w:rPr>
          <w:w w:val="110"/>
          <w:sz w:val="12"/>
        </w:rPr>
        <w:t>10.e7</w:t>
      </w:r>
    </w:p>
    <w:p>
      <w:pPr>
        <w:pStyle w:val="BodyText"/>
        <w:spacing w:before="7"/>
        <w:rPr>
          <w:sz w:val="8"/>
        </w:rPr>
      </w:pPr>
    </w:p>
    <w:p>
      <w:pPr>
        <w:spacing w:before="106"/>
        <w:ind w:left="110" w:right="0" w:firstLine="0"/>
        <w:jc w:val="left"/>
        <w:rPr>
          <w:i/>
          <w:sz w:val="16"/>
        </w:rPr>
      </w:pPr>
      <w:bookmarkStart w:name="_bookmark112" w:id="153"/>
      <w:bookmarkEnd w:id="153"/>
      <w:r>
        <w:rPr/>
      </w:r>
      <w:r>
        <w:rPr>
          <w:i/>
          <w:w w:val="105"/>
          <w:sz w:val="16"/>
        </w:rPr>
        <w:t>Appendix D</w:t>
      </w:r>
    </w:p>
    <w:p>
      <w:pPr>
        <w:pStyle w:val="BodyText"/>
        <w:rPr>
          <w:i/>
          <w:sz w:val="20"/>
        </w:rPr>
      </w:pPr>
    </w:p>
    <w:p>
      <w:pPr>
        <w:pStyle w:val="BodyText"/>
        <w:rPr>
          <w:i/>
          <w:sz w:val="20"/>
        </w:rPr>
      </w:pPr>
    </w:p>
    <w:p>
      <w:pPr>
        <w:pStyle w:val="BodyText"/>
        <w:spacing w:before="2"/>
        <w:rPr>
          <w:i/>
          <w:sz w:val="23"/>
        </w:rPr>
      </w:pPr>
    </w:p>
    <w:p>
      <w:pPr>
        <w:spacing w:before="111"/>
        <w:ind w:left="110" w:right="0" w:firstLine="0"/>
        <w:jc w:val="left"/>
        <w:rPr>
          <w:sz w:val="12"/>
        </w:rPr>
      </w:pPr>
      <w:r>
        <w:rPr>
          <w:w w:val="120"/>
          <w:sz w:val="12"/>
        </w:rPr>
        <w:t>Supplement Table 6</w:t>
      </w:r>
    </w:p>
    <w:p>
      <w:pPr>
        <w:spacing w:before="22"/>
        <w:ind w:left="110" w:right="0" w:firstLine="0"/>
        <w:jc w:val="left"/>
        <w:rPr>
          <w:sz w:val="12"/>
        </w:rPr>
      </w:pPr>
      <w:r>
        <w:rPr>
          <w:w w:val="115"/>
          <w:sz w:val="12"/>
        </w:rPr>
        <w:t>Summary categories and techniques of wound closure methods for RCTs only.</w:t>
      </w:r>
    </w:p>
    <w:p>
      <w:pPr>
        <w:pStyle w:val="BodyText"/>
        <w:spacing w:before="8"/>
        <w:rPr>
          <w:sz w:val="5"/>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4"/>
        <w:gridCol w:w="897"/>
        <w:gridCol w:w="1098"/>
        <w:gridCol w:w="1048"/>
        <w:gridCol w:w="1171"/>
        <w:gridCol w:w="846"/>
        <w:gridCol w:w="611"/>
        <w:gridCol w:w="889"/>
        <w:gridCol w:w="941"/>
        <w:gridCol w:w="1019"/>
        <w:gridCol w:w="992"/>
      </w:tblGrid>
      <w:tr>
        <w:trPr>
          <w:trHeight w:val="419" w:hRule="atLeast"/>
        </w:trPr>
        <w:tc>
          <w:tcPr>
            <w:tcW w:w="884" w:type="dxa"/>
            <w:tcBorders>
              <w:top w:val="single" w:sz="6" w:space="0" w:color="000000"/>
              <w:bottom w:val="single" w:sz="6" w:space="0" w:color="000000"/>
            </w:tcBorders>
          </w:tcPr>
          <w:p>
            <w:pPr>
              <w:pStyle w:val="TableParagraph"/>
              <w:spacing w:line="276" w:lineRule="auto" w:before="56"/>
              <w:ind w:left="119" w:right="133"/>
              <w:rPr>
                <w:sz w:val="12"/>
              </w:rPr>
            </w:pPr>
            <w:r>
              <w:rPr>
                <w:w w:val="105"/>
                <w:sz w:val="12"/>
              </w:rPr>
              <w:t>Category/ </w:t>
            </w:r>
            <w:r>
              <w:rPr>
                <w:w w:val="110"/>
                <w:sz w:val="12"/>
              </w:rPr>
              <w:t>Technique</w:t>
            </w:r>
          </w:p>
        </w:tc>
        <w:tc>
          <w:tcPr>
            <w:tcW w:w="897" w:type="dxa"/>
            <w:tcBorders>
              <w:top w:val="single" w:sz="6" w:space="0" w:color="000000"/>
              <w:bottom w:val="single" w:sz="6" w:space="0" w:color="000000"/>
            </w:tcBorders>
          </w:tcPr>
          <w:p>
            <w:pPr>
              <w:pStyle w:val="TableParagraph"/>
              <w:spacing w:line="276" w:lineRule="auto" w:before="56"/>
              <w:ind w:left="137" w:right="44"/>
              <w:rPr>
                <w:sz w:val="12"/>
              </w:rPr>
            </w:pPr>
            <w:r>
              <w:rPr>
                <w:w w:val="115"/>
                <w:sz w:val="12"/>
              </w:rPr>
              <w:t>Fascia suture type</w:t>
            </w:r>
          </w:p>
        </w:tc>
        <w:tc>
          <w:tcPr>
            <w:tcW w:w="1098" w:type="dxa"/>
            <w:tcBorders>
              <w:top w:val="single" w:sz="6" w:space="0" w:color="000000"/>
              <w:bottom w:val="single" w:sz="6" w:space="0" w:color="000000"/>
            </w:tcBorders>
          </w:tcPr>
          <w:p>
            <w:pPr>
              <w:pStyle w:val="TableParagraph"/>
              <w:spacing w:line="276" w:lineRule="auto" w:before="56"/>
              <w:ind w:left="64"/>
              <w:rPr>
                <w:sz w:val="12"/>
              </w:rPr>
            </w:pPr>
            <w:r>
              <w:rPr>
                <w:w w:val="110"/>
                <w:sz w:val="12"/>
              </w:rPr>
              <w:t>Subcutaneous </w:t>
            </w:r>
            <w:r>
              <w:rPr>
                <w:w w:val="115"/>
                <w:sz w:val="12"/>
              </w:rPr>
              <w:t>suture type</w:t>
            </w:r>
          </w:p>
        </w:tc>
        <w:tc>
          <w:tcPr>
            <w:tcW w:w="1048" w:type="dxa"/>
            <w:tcBorders>
              <w:top w:val="single" w:sz="6" w:space="0" w:color="000000"/>
              <w:bottom w:val="single" w:sz="6" w:space="0" w:color="000000"/>
            </w:tcBorders>
          </w:tcPr>
          <w:p>
            <w:pPr>
              <w:pStyle w:val="TableParagraph"/>
              <w:spacing w:line="276" w:lineRule="auto" w:before="56"/>
              <w:ind w:left="124" w:right="167"/>
              <w:rPr>
                <w:sz w:val="12"/>
              </w:rPr>
            </w:pPr>
            <w:r>
              <w:rPr>
                <w:w w:val="110"/>
                <w:sz w:val="12"/>
              </w:rPr>
              <w:t>Subcuticular </w:t>
            </w:r>
            <w:r>
              <w:rPr>
                <w:w w:val="115"/>
                <w:sz w:val="12"/>
              </w:rPr>
              <w:t>suture type</w:t>
            </w:r>
          </w:p>
        </w:tc>
        <w:tc>
          <w:tcPr>
            <w:tcW w:w="1171" w:type="dxa"/>
            <w:tcBorders>
              <w:top w:val="single" w:sz="6" w:space="0" w:color="000000"/>
              <w:bottom w:val="single" w:sz="6" w:space="0" w:color="000000"/>
            </w:tcBorders>
          </w:tcPr>
          <w:p>
            <w:pPr>
              <w:pStyle w:val="TableParagraph"/>
              <w:spacing w:before="56"/>
              <w:ind w:left="173"/>
              <w:rPr>
                <w:sz w:val="12"/>
              </w:rPr>
            </w:pPr>
            <w:r>
              <w:rPr>
                <w:w w:val="110"/>
                <w:sz w:val="12"/>
              </w:rPr>
              <w:t>Skin</w:t>
            </w:r>
          </w:p>
        </w:tc>
        <w:tc>
          <w:tcPr>
            <w:tcW w:w="846" w:type="dxa"/>
            <w:tcBorders>
              <w:top w:val="single" w:sz="6" w:space="0" w:color="000000"/>
              <w:bottom w:val="single" w:sz="6" w:space="0" w:color="000000"/>
            </w:tcBorders>
          </w:tcPr>
          <w:p>
            <w:pPr>
              <w:pStyle w:val="TableParagraph"/>
              <w:spacing w:line="276" w:lineRule="auto" w:before="56"/>
              <w:ind w:left="146" w:right="37" w:hanging="1"/>
              <w:rPr>
                <w:sz w:val="12"/>
              </w:rPr>
            </w:pPr>
            <w:r>
              <w:rPr>
                <w:w w:val="110"/>
                <w:sz w:val="12"/>
              </w:rPr>
              <w:t>Number of arms</w:t>
            </w:r>
          </w:p>
        </w:tc>
        <w:tc>
          <w:tcPr>
            <w:tcW w:w="611" w:type="dxa"/>
            <w:tcBorders>
              <w:top w:val="single" w:sz="6" w:space="0" w:color="000000"/>
              <w:bottom w:val="single" w:sz="6" w:space="0" w:color="000000"/>
            </w:tcBorders>
          </w:tcPr>
          <w:p>
            <w:pPr>
              <w:pStyle w:val="TableParagraph"/>
              <w:spacing w:line="276" w:lineRule="auto" w:before="56"/>
              <w:ind w:left="51" w:right="120"/>
              <w:rPr>
                <w:sz w:val="12"/>
              </w:rPr>
            </w:pPr>
            <w:r>
              <w:rPr>
                <w:w w:val="105"/>
                <w:sz w:val="12"/>
              </w:rPr>
              <w:t>Overall </w:t>
            </w:r>
            <w:r>
              <w:rPr>
                <w:w w:val="110"/>
                <w:sz w:val="12"/>
              </w:rPr>
              <w:t>sample</w:t>
            </w:r>
          </w:p>
        </w:tc>
        <w:tc>
          <w:tcPr>
            <w:tcW w:w="1830" w:type="dxa"/>
            <w:gridSpan w:val="2"/>
            <w:tcBorders>
              <w:top w:val="single" w:sz="6" w:space="0" w:color="000000"/>
              <w:bottom w:val="single" w:sz="6" w:space="0" w:color="000000"/>
            </w:tcBorders>
          </w:tcPr>
          <w:p>
            <w:pPr>
              <w:pStyle w:val="TableParagraph"/>
              <w:tabs>
                <w:tab w:pos="918" w:val="left" w:leader="none"/>
              </w:tabs>
              <w:spacing w:before="56"/>
              <w:ind w:left="131"/>
              <w:rPr>
                <w:sz w:val="12"/>
              </w:rPr>
            </w:pPr>
            <w:r>
              <w:rPr>
                <w:w w:val="110"/>
                <w:sz w:val="12"/>
              </w:rPr>
              <w:t>Deep</w:t>
            </w:r>
            <w:r>
              <w:rPr>
                <w:spacing w:val="3"/>
                <w:w w:val="110"/>
                <w:sz w:val="12"/>
              </w:rPr>
              <w:t> </w:t>
            </w:r>
            <w:r>
              <w:rPr>
                <w:w w:val="110"/>
                <w:sz w:val="12"/>
              </w:rPr>
              <w:t>SSI</w:t>
            </w:r>
            <w:hyperlink w:history="true" w:anchor="_bookmark113">
              <w:r>
                <w:rPr>
                  <w:color w:val="007FAC"/>
                  <w:w w:val="110"/>
                  <w:sz w:val="12"/>
                  <w:vertAlign w:val="superscript"/>
                </w:rPr>
                <w:t>a</w:t>
              </w:r>
            </w:hyperlink>
            <w:r>
              <w:rPr>
                <w:color w:val="007FAC"/>
                <w:w w:val="110"/>
                <w:sz w:val="12"/>
                <w:vertAlign w:val="baseline"/>
              </w:rPr>
              <w:tab/>
            </w:r>
            <w:r>
              <w:rPr>
                <w:w w:val="110"/>
                <w:sz w:val="12"/>
                <w:vertAlign w:val="baseline"/>
              </w:rPr>
              <w:t>Super</w:t>
            </w:r>
            <w:r>
              <w:rPr>
                <w:rFonts w:ascii="Times New Roman" w:hAnsi="Times New Roman"/>
                <w:w w:val="110"/>
                <w:sz w:val="12"/>
                <w:vertAlign w:val="baseline"/>
              </w:rPr>
              <w:t>ﬁ</w:t>
            </w:r>
            <w:r>
              <w:rPr>
                <w:w w:val="110"/>
                <w:sz w:val="12"/>
                <w:vertAlign w:val="baseline"/>
              </w:rPr>
              <w:t>cial</w:t>
            </w:r>
          </w:p>
          <w:p>
            <w:pPr>
              <w:pStyle w:val="TableParagraph"/>
              <w:spacing w:before="22"/>
              <w:ind w:left="904" w:right="669"/>
              <w:jc w:val="center"/>
              <w:rPr>
                <w:sz w:val="12"/>
              </w:rPr>
            </w:pPr>
            <w:r>
              <w:rPr>
                <w:w w:val="105"/>
                <w:sz w:val="12"/>
              </w:rPr>
              <w:t>SSI</w:t>
            </w:r>
            <w:hyperlink w:history="true" w:anchor="_bookmark113">
              <w:r>
                <w:rPr>
                  <w:color w:val="007FAC"/>
                  <w:w w:val="105"/>
                  <w:sz w:val="12"/>
                  <w:vertAlign w:val="superscript"/>
                </w:rPr>
                <w:t>a</w:t>
              </w:r>
            </w:hyperlink>
          </w:p>
        </w:tc>
        <w:tc>
          <w:tcPr>
            <w:tcW w:w="1019" w:type="dxa"/>
            <w:tcBorders>
              <w:top w:val="single" w:sz="6" w:space="0" w:color="000000"/>
              <w:bottom w:val="single" w:sz="6" w:space="0" w:color="000000"/>
            </w:tcBorders>
          </w:tcPr>
          <w:p>
            <w:pPr>
              <w:pStyle w:val="TableParagraph"/>
              <w:spacing w:line="276" w:lineRule="auto" w:before="56"/>
              <w:ind w:left="32" w:right="358"/>
              <w:rPr>
                <w:sz w:val="12"/>
              </w:rPr>
            </w:pPr>
            <w:r>
              <w:rPr>
                <w:w w:val="110"/>
                <w:sz w:val="12"/>
              </w:rPr>
              <w:t>Prolonged drainage</w:t>
            </w:r>
            <w:hyperlink w:history="true" w:anchor="_bookmark113">
              <w:r>
                <w:rPr>
                  <w:color w:val="007FAC"/>
                  <w:w w:val="110"/>
                  <w:sz w:val="12"/>
                  <w:vertAlign w:val="superscript"/>
                </w:rPr>
                <w:t>a</w:t>
              </w:r>
            </w:hyperlink>
          </w:p>
        </w:tc>
        <w:tc>
          <w:tcPr>
            <w:tcW w:w="992" w:type="dxa"/>
            <w:tcBorders>
              <w:top w:val="single" w:sz="6" w:space="0" w:color="000000"/>
              <w:bottom w:val="single" w:sz="6" w:space="0" w:color="000000"/>
            </w:tcBorders>
          </w:tcPr>
          <w:p>
            <w:pPr>
              <w:pStyle w:val="TableParagraph"/>
              <w:spacing w:line="276" w:lineRule="auto" w:before="56"/>
              <w:ind w:left="33" w:right="229"/>
              <w:rPr>
                <w:sz w:val="12"/>
              </w:rPr>
            </w:pPr>
            <w:r>
              <w:rPr>
                <w:w w:val="115"/>
                <w:sz w:val="12"/>
              </w:rPr>
              <w:t>Wound dehiscence</w:t>
            </w:r>
            <w:hyperlink w:history="true" w:anchor="_bookmark113">
              <w:r>
                <w:rPr>
                  <w:color w:val="007FAC"/>
                  <w:w w:val="115"/>
                  <w:sz w:val="12"/>
                  <w:vertAlign w:val="superscript"/>
                </w:rPr>
                <w:t>a</w:t>
              </w:r>
            </w:hyperlink>
          </w:p>
        </w:tc>
      </w:tr>
      <w:tr>
        <w:trPr>
          <w:trHeight w:val="381" w:hRule="atLeast"/>
        </w:trPr>
        <w:tc>
          <w:tcPr>
            <w:tcW w:w="884" w:type="dxa"/>
          </w:tcPr>
          <w:p>
            <w:pPr>
              <w:pStyle w:val="TableParagraph"/>
              <w:spacing w:line="170" w:lineRule="atLeast" w:before="30"/>
              <w:ind w:left="247" w:right="502" w:hanging="129"/>
              <w:rPr>
                <w:sz w:val="12"/>
              </w:rPr>
            </w:pPr>
            <w:r>
              <w:rPr>
                <w:w w:val="110"/>
                <w:sz w:val="12"/>
              </w:rPr>
              <w:t>One</w:t>
            </w:r>
            <w:r>
              <w:rPr>
                <w:w w:val="109"/>
                <w:sz w:val="12"/>
              </w:rPr>
              <w:t> </w:t>
            </w:r>
            <w:r>
              <w:rPr>
                <w:w w:val="120"/>
                <w:sz w:val="12"/>
              </w:rPr>
              <w:t>1</w:t>
            </w:r>
          </w:p>
        </w:tc>
        <w:tc>
          <w:tcPr>
            <w:tcW w:w="897" w:type="dxa"/>
          </w:tcPr>
          <w:p>
            <w:pPr>
              <w:pStyle w:val="TableParagraph"/>
              <w:spacing w:before="10"/>
              <w:rPr>
                <w:sz w:val="17"/>
              </w:rPr>
            </w:pPr>
          </w:p>
          <w:p>
            <w:pPr>
              <w:pStyle w:val="TableParagraph"/>
              <w:spacing w:line="134" w:lineRule="exact"/>
              <w:ind w:left="120" w:right="83"/>
              <w:jc w:val="center"/>
              <w:rPr>
                <w:sz w:val="12"/>
              </w:rPr>
            </w:pPr>
            <w:r>
              <w:rPr>
                <w:w w:val="110"/>
                <w:sz w:val="12"/>
              </w:rPr>
              <w:t>Traditional</w:t>
            </w:r>
          </w:p>
        </w:tc>
        <w:tc>
          <w:tcPr>
            <w:tcW w:w="1098" w:type="dxa"/>
          </w:tcPr>
          <w:p>
            <w:pPr>
              <w:pStyle w:val="TableParagraph"/>
              <w:spacing w:before="10"/>
              <w:rPr>
                <w:sz w:val="17"/>
              </w:rPr>
            </w:pPr>
          </w:p>
          <w:p>
            <w:pPr>
              <w:pStyle w:val="TableParagraph"/>
              <w:spacing w:line="134" w:lineRule="exact"/>
              <w:ind w:left="64"/>
              <w:rPr>
                <w:sz w:val="12"/>
              </w:rPr>
            </w:pPr>
            <w:r>
              <w:rPr>
                <w:w w:val="110"/>
                <w:sz w:val="12"/>
              </w:rPr>
              <w:t>Traditional</w:t>
            </w:r>
          </w:p>
        </w:tc>
        <w:tc>
          <w:tcPr>
            <w:tcW w:w="1048" w:type="dxa"/>
          </w:tcPr>
          <w:p>
            <w:pPr>
              <w:pStyle w:val="TableParagraph"/>
              <w:rPr>
                <w:rFonts w:ascii="Times New Roman"/>
                <w:sz w:val="12"/>
              </w:rPr>
            </w:pPr>
          </w:p>
        </w:tc>
        <w:tc>
          <w:tcPr>
            <w:tcW w:w="1171" w:type="dxa"/>
          </w:tcPr>
          <w:p>
            <w:pPr>
              <w:pStyle w:val="TableParagraph"/>
              <w:spacing w:before="10"/>
              <w:rPr>
                <w:sz w:val="17"/>
              </w:rPr>
            </w:pPr>
          </w:p>
          <w:p>
            <w:pPr>
              <w:pStyle w:val="TableParagraph"/>
              <w:spacing w:line="134" w:lineRule="exact"/>
              <w:ind w:left="172"/>
              <w:rPr>
                <w:sz w:val="12"/>
              </w:rPr>
            </w:pPr>
            <w:r>
              <w:rPr>
                <w:w w:val="115"/>
                <w:sz w:val="12"/>
              </w:rPr>
              <w:t>Staples</w:t>
            </w:r>
          </w:p>
        </w:tc>
        <w:tc>
          <w:tcPr>
            <w:tcW w:w="846" w:type="dxa"/>
          </w:tcPr>
          <w:p>
            <w:pPr>
              <w:pStyle w:val="TableParagraph"/>
              <w:spacing w:before="10"/>
              <w:rPr>
                <w:sz w:val="17"/>
              </w:rPr>
            </w:pPr>
          </w:p>
          <w:p>
            <w:pPr>
              <w:pStyle w:val="TableParagraph"/>
              <w:spacing w:line="134" w:lineRule="exact"/>
              <w:ind w:left="145"/>
              <w:rPr>
                <w:sz w:val="12"/>
              </w:rPr>
            </w:pPr>
            <w:r>
              <w:rPr>
                <w:w w:val="125"/>
                <w:sz w:val="12"/>
              </w:rPr>
              <w:t>13</w:t>
            </w:r>
          </w:p>
        </w:tc>
        <w:tc>
          <w:tcPr>
            <w:tcW w:w="611" w:type="dxa"/>
          </w:tcPr>
          <w:p>
            <w:pPr>
              <w:pStyle w:val="TableParagraph"/>
              <w:spacing w:before="10"/>
              <w:rPr>
                <w:sz w:val="17"/>
              </w:rPr>
            </w:pPr>
          </w:p>
          <w:p>
            <w:pPr>
              <w:pStyle w:val="TableParagraph"/>
              <w:spacing w:line="134" w:lineRule="exact"/>
              <w:ind w:right="329"/>
              <w:jc w:val="right"/>
              <w:rPr>
                <w:sz w:val="12"/>
              </w:rPr>
            </w:pPr>
            <w:r>
              <w:rPr>
                <w:w w:val="125"/>
                <w:sz w:val="12"/>
              </w:rPr>
              <w:t>963</w:t>
            </w:r>
          </w:p>
        </w:tc>
        <w:tc>
          <w:tcPr>
            <w:tcW w:w="889" w:type="dxa"/>
          </w:tcPr>
          <w:p>
            <w:pPr>
              <w:pStyle w:val="TableParagraph"/>
              <w:spacing w:before="10"/>
              <w:rPr>
                <w:sz w:val="17"/>
              </w:rPr>
            </w:pPr>
          </w:p>
          <w:p>
            <w:pPr>
              <w:pStyle w:val="TableParagraph"/>
              <w:spacing w:line="134" w:lineRule="exact"/>
              <w:ind w:left="131"/>
              <w:rPr>
                <w:sz w:val="12"/>
              </w:rPr>
            </w:pPr>
            <w:r>
              <w:rPr>
                <w:w w:val="110"/>
                <w:sz w:val="12"/>
              </w:rPr>
              <w:t>0.0% to 2.0%</w:t>
            </w:r>
          </w:p>
        </w:tc>
        <w:tc>
          <w:tcPr>
            <w:tcW w:w="941" w:type="dxa"/>
          </w:tcPr>
          <w:p>
            <w:pPr>
              <w:pStyle w:val="TableParagraph"/>
              <w:spacing w:before="10"/>
              <w:rPr>
                <w:sz w:val="17"/>
              </w:rPr>
            </w:pPr>
          </w:p>
          <w:p>
            <w:pPr>
              <w:pStyle w:val="TableParagraph"/>
              <w:spacing w:line="134" w:lineRule="exact"/>
              <w:ind w:right="22"/>
              <w:jc w:val="right"/>
              <w:rPr>
                <w:sz w:val="12"/>
              </w:rPr>
            </w:pPr>
            <w:r>
              <w:rPr>
                <w:w w:val="110"/>
                <w:sz w:val="12"/>
              </w:rPr>
              <w:t>0.0% to 14.8%</w:t>
            </w:r>
          </w:p>
        </w:tc>
        <w:tc>
          <w:tcPr>
            <w:tcW w:w="2011" w:type="dxa"/>
            <w:gridSpan w:val="2"/>
          </w:tcPr>
          <w:p>
            <w:pPr>
              <w:pStyle w:val="TableParagraph"/>
              <w:spacing w:before="10"/>
              <w:rPr>
                <w:sz w:val="17"/>
              </w:rPr>
            </w:pPr>
          </w:p>
          <w:p>
            <w:pPr>
              <w:pStyle w:val="TableParagraph"/>
              <w:spacing w:line="134" w:lineRule="exact"/>
              <w:ind w:left="113"/>
              <w:rPr>
                <w:sz w:val="12"/>
              </w:rPr>
            </w:pPr>
            <w:r>
              <w:rPr>
                <w:w w:val="115"/>
                <w:sz w:val="12"/>
              </w:rPr>
              <w:t>13.9% to 22.2% 0.0% to 5.6%</w:t>
            </w:r>
          </w:p>
        </w:tc>
      </w:tr>
      <w:tr>
        <w:trPr>
          <w:trHeight w:val="171" w:hRule="atLeast"/>
        </w:trPr>
        <w:tc>
          <w:tcPr>
            <w:tcW w:w="884" w:type="dxa"/>
          </w:tcPr>
          <w:p>
            <w:pPr>
              <w:pStyle w:val="TableParagraph"/>
              <w:spacing w:line="134" w:lineRule="exact" w:before="17"/>
              <w:ind w:left="247"/>
              <w:rPr>
                <w:sz w:val="12"/>
              </w:rPr>
            </w:pPr>
            <w:r>
              <w:rPr>
                <w:w w:val="126"/>
                <w:sz w:val="12"/>
              </w:rPr>
              <w:t>2</w:t>
            </w:r>
          </w:p>
        </w:tc>
        <w:tc>
          <w:tcPr>
            <w:tcW w:w="897" w:type="dxa"/>
          </w:tcPr>
          <w:p>
            <w:pPr>
              <w:pStyle w:val="TableParagraph"/>
              <w:spacing w:line="134" w:lineRule="exact" w:before="17"/>
              <w:ind w:left="120" w:right="83"/>
              <w:jc w:val="center"/>
              <w:rPr>
                <w:sz w:val="12"/>
              </w:rPr>
            </w:pPr>
            <w:r>
              <w:rPr>
                <w:w w:val="110"/>
                <w:sz w:val="12"/>
              </w:rPr>
              <w:t>Traditional</w:t>
            </w:r>
          </w:p>
        </w:tc>
        <w:tc>
          <w:tcPr>
            <w:tcW w:w="1098" w:type="dxa"/>
          </w:tcPr>
          <w:p>
            <w:pPr>
              <w:pStyle w:val="TableParagraph"/>
              <w:spacing w:line="134" w:lineRule="exact" w:before="17"/>
              <w:ind w:left="64"/>
              <w:rPr>
                <w:sz w:val="12"/>
              </w:rPr>
            </w:pPr>
            <w:r>
              <w:rPr>
                <w:w w:val="110"/>
                <w:sz w:val="12"/>
              </w:rPr>
              <w:t>Traditional</w:t>
            </w:r>
          </w:p>
        </w:tc>
        <w:tc>
          <w:tcPr>
            <w:tcW w:w="1048" w:type="dxa"/>
          </w:tcPr>
          <w:p>
            <w:pPr>
              <w:pStyle w:val="TableParagraph"/>
              <w:spacing w:line="134" w:lineRule="exact" w:before="17"/>
              <w:ind w:left="124"/>
              <w:rPr>
                <w:sz w:val="12"/>
              </w:rPr>
            </w:pPr>
            <w:r>
              <w:rPr>
                <w:w w:val="110"/>
                <w:sz w:val="12"/>
              </w:rPr>
              <w:t>Traditional</w:t>
            </w:r>
          </w:p>
        </w:tc>
        <w:tc>
          <w:tcPr>
            <w:tcW w:w="1171" w:type="dxa"/>
          </w:tcPr>
          <w:p>
            <w:pPr>
              <w:pStyle w:val="TableParagraph"/>
              <w:spacing w:line="134" w:lineRule="exact" w:before="17"/>
              <w:ind w:left="172"/>
              <w:rPr>
                <w:sz w:val="12"/>
              </w:rPr>
            </w:pPr>
            <w:r>
              <w:rPr>
                <w:w w:val="115"/>
                <w:sz w:val="12"/>
              </w:rPr>
              <w:t>Staples</w:t>
            </w:r>
          </w:p>
        </w:tc>
        <w:tc>
          <w:tcPr>
            <w:tcW w:w="846" w:type="dxa"/>
          </w:tcPr>
          <w:p>
            <w:pPr>
              <w:pStyle w:val="TableParagraph"/>
              <w:spacing w:line="134" w:lineRule="exact" w:before="17"/>
              <w:ind w:left="221"/>
              <w:rPr>
                <w:sz w:val="12"/>
              </w:rPr>
            </w:pPr>
            <w:r>
              <w:rPr>
                <w:w w:val="126"/>
                <w:sz w:val="12"/>
              </w:rPr>
              <w:t>3</w:t>
            </w:r>
          </w:p>
        </w:tc>
        <w:tc>
          <w:tcPr>
            <w:tcW w:w="611" w:type="dxa"/>
          </w:tcPr>
          <w:p>
            <w:pPr>
              <w:pStyle w:val="TableParagraph"/>
              <w:spacing w:line="134" w:lineRule="exact" w:before="17"/>
              <w:ind w:right="329"/>
              <w:jc w:val="right"/>
              <w:rPr>
                <w:sz w:val="12"/>
              </w:rPr>
            </w:pPr>
            <w:r>
              <w:rPr>
                <w:w w:val="125"/>
                <w:sz w:val="12"/>
              </w:rPr>
              <w:t>195</w:t>
            </w:r>
          </w:p>
        </w:tc>
        <w:tc>
          <w:tcPr>
            <w:tcW w:w="889" w:type="dxa"/>
          </w:tcPr>
          <w:p>
            <w:pPr>
              <w:pStyle w:val="TableParagraph"/>
              <w:spacing w:line="134" w:lineRule="exact" w:before="17"/>
              <w:ind w:left="131"/>
              <w:rPr>
                <w:sz w:val="12"/>
              </w:rPr>
            </w:pPr>
            <w:r>
              <w:rPr>
                <w:w w:val="110"/>
                <w:sz w:val="12"/>
              </w:rPr>
              <w:t>0.0% to 0.0%</w:t>
            </w:r>
          </w:p>
        </w:tc>
        <w:tc>
          <w:tcPr>
            <w:tcW w:w="941" w:type="dxa"/>
          </w:tcPr>
          <w:p>
            <w:pPr>
              <w:pStyle w:val="TableParagraph"/>
              <w:spacing w:line="134" w:lineRule="exact" w:before="17"/>
              <w:ind w:left="110"/>
              <w:rPr>
                <w:sz w:val="12"/>
              </w:rPr>
            </w:pPr>
            <w:r>
              <w:rPr>
                <w:w w:val="110"/>
                <w:sz w:val="12"/>
              </w:rPr>
              <w:t>0.0% to 3.9%</w:t>
            </w:r>
          </w:p>
        </w:tc>
        <w:tc>
          <w:tcPr>
            <w:tcW w:w="2011" w:type="dxa"/>
            <w:gridSpan w:val="2"/>
          </w:tcPr>
          <w:p>
            <w:pPr>
              <w:pStyle w:val="TableParagraph"/>
              <w:tabs>
                <w:tab w:pos="1133" w:val="left" w:leader="none"/>
              </w:tabs>
              <w:spacing w:line="134" w:lineRule="exact" w:before="17"/>
              <w:ind w:left="113"/>
              <w:rPr>
                <w:sz w:val="12"/>
              </w:rPr>
            </w:pPr>
            <w:r>
              <w:rPr>
                <w:w w:val="110"/>
                <w:sz w:val="12"/>
              </w:rPr>
              <w:t>51.3%</w:t>
              <w:tab/>
              <w:t>0.0%</w:t>
            </w:r>
          </w:p>
        </w:tc>
      </w:tr>
      <w:tr>
        <w:trPr>
          <w:trHeight w:val="171" w:hRule="atLeast"/>
        </w:trPr>
        <w:tc>
          <w:tcPr>
            <w:tcW w:w="884" w:type="dxa"/>
          </w:tcPr>
          <w:p>
            <w:pPr>
              <w:pStyle w:val="TableParagraph"/>
              <w:spacing w:line="135" w:lineRule="exact" w:before="17"/>
              <w:ind w:left="247"/>
              <w:rPr>
                <w:sz w:val="12"/>
              </w:rPr>
            </w:pPr>
            <w:r>
              <w:rPr>
                <w:w w:val="126"/>
                <w:sz w:val="12"/>
              </w:rPr>
              <w:t>3</w:t>
            </w:r>
          </w:p>
        </w:tc>
        <w:tc>
          <w:tcPr>
            <w:tcW w:w="897" w:type="dxa"/>
          </w:tcPr>
          <w:p>
            <w:pPr>
              <w:pStyle w:val="TableParagraph"/>
              <w:spacing w:line="135" w:lineRule="exact" w:before="17"/>
              <w:ind w:left="120" w:right="83"/>
              <w:jc w:val="center"/>
              <w:rPr>
                <w:sz w:val="12"/>
              </w:rPr>
            </w:pPr>
            <w:r>
              <w:rPr>
                <w:w w:val="110"/>
                <w:sz w:val="12"/>
              </w:rPr>
              <w:t>Traditional</w:t>
            </w:r>
          </w:p>
        </w:tc>
        <w:tc>
          <w:tcPr>
            <w:tcW w:w="1098" w:type="dxa"/>
          </w:tcPr>
          <w:p>
            <w:pPr>
              <w:pStyle w:val="TableParagraph"/>
              <w:spacing w:line="135" w:lineRule="exact" w:before="17"/>
              <w:ind w:left="64"/>
              <w:rPr>
                <w:sz w:val="12"/>
              </w:rPr>
            </w:pPr>
            <w:r>
              <w:rPr>
                <w:w w:val="110"/>
                <w:sz w:val="12"/>
              </w:rPr>
              <w:t>Traditional</w:t>
            </w:r>
          </w:p>
        </w:tc>
        <w:tc>
          <w:tcPr>
            <w:tcW w:w="1048" w:type="dxa"/>
          </w:tcPr>
          <w:p>
            <w:pPr>
              <w:pStyle w:val="TableParagraph"/>
              <w:spacing w:line="135" w:lineRule="exact" w:before="17"/>
              <w:ind w:left="124"/>
              <w:rPr>
                <w:sz w:val="12"/>
              </w:rPr>
            </w:pPr>
            <w:r>
              <w:rPr>
                <w:w w:val="110"/>
                <w:sz w:val="12"/>
              </w:rPr>
              <w:t>Traditional</w:t>
            </w:r>
          </w:p>
        </w:tc>
        <w:tc>
          <w:tcPr>
            <w:tcW w:w="1171" w:type="dxa"/>
          </w:tcPr>
          <w:p>
            <w:pPr>
              <w:pStyle w:val="TableParagraph"/>
              <w:spacing w:line="135" w:lineRule="exact" w:before="17"/>
              <w:ind w:left="172"/>
              <w:rPr>
                <w:sz w:val="12"/>
              </w:rPr>
            </w:pPr>
            <w:r>
              <w:rPr>
                <w:w w:val="110"/>
                <w:sz w:val="12"/>
              </w:rPr>
              <w:t>Traditional</w:t>
            </w:r>
          </w:p>
        </w:tc>
        <w:tc>
          <w:tcPr>
            <w:tcW w:w="846" w:type="dxa"/>
          </w:tcPr>
          <w:p>
            <w:pPr>
              <w:pStyle w:val="TableParagraph"/>
              <w:spacing w:line="135" w:lineRule="exact" w:before="17"/>
              <w:ind w:left="222"/>
              <w:rPr>
                <w:sz w:val="12"/>
              </w:rPr>
            </w:pPr>
            <w:r>
              <w:rPr>
                <w:w w:val="126"/>
                <w:sz w:val="12"/>
              </w:rPr>
              <w:t>4</w:t>
            </w:r>
          </w:p>
        </w:tc>
        <w:tc>
          <w:tcPr>
            <w:tcW w:w="611" w:type="dxa"/>
          </w:tcPr>
          <w:p>
            <w:pPr>
              <w:pStyle w:val="TableParagraph"/>
              <w:spacing w:line="135" w:lineRule="exact" w:before="17"/>
              <w:ind w:right="329"/>
              <w:jc w:val="right"/>
              <w:rPr>
                <w:sz w:val="12"/>
              </w:rPr>
            </w:pPr>
            <w:r>
              <w:rPr>
                <w:w w:val="125"/>
                <w:sz w:val="12"/>
              </w:rPr>
              <w:t>170</w:t>
            </w:r>
          </w:p>
        </w:tc>
        <w:tc>
          <w:tcPr>
            <w:tcW w:w="889" w:type="dxa"/>
          </w:tcPr>
          <w:p>
            <w:pPr>
              <w:pStyle w:val="TableParagraph"/>
              <w:spacing w:line="135" w:lineRule="exact" w:before="17"/>
              <w:ind w:left="131"/>
              <w:rPr>
                <w:sz w:val="12"/>
              </w:rPr>
            </w:pPr>
            <w:r>
              <w:rPr>
                <w:w w:val="110"/>
                <w:sz w:val="12"/>
              </w:rPr>
              <w:t>0.0% to 3.9%</w:t>
            </w:r>
          </w:p>
        </w:tc>
        <w:tc>
          <w:tcPr>
            <w:tcW w:w="941" w:type="dxa"/>
          </w:tcPr>
          <w:p>
            <w:pPr>
              <w:pStyle w:val="TableParagraph"/>
              <w:spacing w:line="135" w:lineRule="exact" w:before="17"/>
              <w:ind w:right="22"/>
              <w:jc w:val="right"/>
              <w:rPr>
                <w:sz w:val="12"/>
              </w:rPr>
            </w:pPr>
            <w:r>
              <w:rPr>
                <w:w w:val="110"/>
                <w:sz w:val="12"/>
              </w:rPr>
              <w:t>2.6% to 12.1%</w:t>
            </w:r>
          </w:p>
        </w:tc>
        <w:tc>
          <w:tcPr>
            <w:tcW w:w="2011" w:type="dxa"/>
            <w:gridSpan w:val="2"/>
          </w:tcPr>
          <w:p>
            <w:pPr>
              <w:pStyle w:val="TableParagraph"/>
              <w:spacing w:line="135" w:lineRule="exact" w:before="17"/>
              <w:ind w:left="113"/>
              <w:rPr>
                <w:sz w:val="12"/>
              </w:rPr>
            </w:pPr>
            <w:r>
              <w:rPr>
                <w:w w:val="115"/>
                <w:sz w:val="12"/>
              </w:rPr>
              <w:t>12.1% to 39.5% 0.0%</w:t>
            </w:r>
          </w:p>
        </w:tc>
      </w:tr>
      <w:tr>
        <w:trPr>
          <w:trHeight w:val="342" w:hRule="atLeast"/>
        </w:trPr>
        <w:tc>
          <w:tcPr>
            <w:tcW w:w="884" w:type="dxa"/>
          </w:tcPr>
          <w:p>
            <w:pPr>
              <w:pStyle w:val="TableParagraph"/>
              <w:spacing w:before="2"/>
              <w:rPr>
                <w:sz w:val="15"/>
              </w:rPr>
            </w:pPr>
          </w:p>
          <w:p>
            <w:pPr>
              <w:pStyle w:val="TableParagraph"/>
              <w:spacing w:line="134" w:lineRule="exact"/>
              <w:ind w:left="247"/>
              <w:rPr>
                <w:sz w:val="12"/>
              </w:rPr>
            </w:pPr>
            <w:r>
              <w:rPr>
                <w:w w:val="126"/>
                <w:sz w:val="12"/>
              </w:rPr>
              <w:t>4</w:t>
            </w:r>
          </w:p>
        </w:tc>
        <w:tc>
          <w:tcPr>
            <w:tcW w:w="897" w:type="dxa"/>
          </w:tcPr>
          <w:p>
            <w:pPr>
              <w:pStyle w:val="TableParagraph"/>
              <w:spacing w:before="2"/>
              <w:rPr>
                <w:sz w:val="15"/>
              </w:rPr>
            </w:pPr>
          </w:p>
          <w:p>
            <w:pPr>
              <w:pStyle w:val="TableParagraph"/>
              <w:spacing w:line="134" w:lineRule="exact"/>
              <w:ind w:left="120" w:right="83"/>
              <w:jc w:val="center"/>
              <w:rPr>
                <w:sz w:val="12"/>
              </w:rPr>
            </w:pPr>
            <w:r>
              <w:rPr>
                <w:w w:val="110"/>
                <w:sz w:val="12"/>
              </w:rPr>
              <w:t>Traditional</w:t>
            </w:r>
          </w:p>
        </w:tc>
        <w:tc>
          <w:tcPr>
            <w:tcW w:w="1098" w:type="dxa"/>
          </w:tcPr>
          <w:p>
            <w:pPr>
              <w:pStyle w:val="TableParagraph"/>
              <w:spacing w:before="2"/>
              <w:rPr>
                <w:sz w:val="15"/>
              </w:rPr>
            </w:pPr>
          </w:p>
          <w:p>
            <w:pPr>
              <w:pStyle w:val="TableParagraph"/>
              <w:spacing w:line="134" w:lineRule="exact"/>
              <w:ind w:left="64"/>
              <w:rPr>
                <w:sz w:val="12"/>
              </w:rPr>
            </w:pPr>
            <w:r>
              <w:rPr>
                <w:w w:val="110"/>
                <w:sz w:val="12"/>
              </w:rPr>
              <w:t>Traditional</w:t>
            </w:r>
          </w:p>
        </w:tc>
        <w:tc>
          <w:tcPr>
            <w:tcW w:w="1048" w:type="dxa"/>
          </w:tcPr>
          <w:p>
            <w:pPr>
              <w:pStyle w:val="TableParagraph"/>
              <w:spacing w:before="2"/>
              <w:rPr>
                <w:sz w:val="15"/>
              </w:rPr>
            </w:pPr>
          </w:p>
          <w:p>
            <w:pPr>
              <w:pStyle w:val="TableParagraph"/>
              <w:spacing w:line="134" w:lineRule="exact"/>
              <w:ind w:left="124"/>
              <w:rPr>
                <w:sz w:val="12"/>
              </w:rPr>
            </w:pPr>
            <w:r>
              <w:rPr>
                <w:w w:val="110"/>
                <w:sz w:val="12"/>
              </w:rPr>
              <w:t>Traditional</w:t>
            </w:r>
          </w:p>
        </w:tc>
        <w:tc>
          <w:tcPr>
            <w:tcW w:w="1171" w:type="dxa"/>
          </w:tcPr>
          <w:p>
            <w:pPr>
              <w:pStyle w:val="TableParagraph"/>
              <w:spacing w:before="16"/>
              <w:ind w:left="173"/>
              <w:rPr>
                <w:sz w:val="12"/>
              </w:rPr>
            </w:pPr>
            <w:r>
              <w:rPr>
                <w:w w:val="110"/>
                <w:sz w:val="12"/>
              </w:rPr>
              <w:t>sutures </w:t>
            </w:r>
            <w:r>
              <w:rPr>
                <w:rFonts w:ascii="Lucida Sans"/>
                <w:w w:val="110"/>
                <w:sz w:val="12"/>
              </w:rPr>
              <w:t>&amp; </w:t>
            </w:r>
            <w:r>
              <w:rPr>
                <w:w w:val="110"/>
                <w:sz w:val="12"/>
              </w:rPr>
              <w:t>TSA</w:t>
            </w:r>
          </w:p>
          <w:p>
            <w:pPr>
              <w:pStyle w:val="TableParagraph"/>
              <w:spacing w:line="134" w:lineRule="exact" w:before="22"/>
              <w:ind w:left="172"/>
              <w:rPr>
                <w:sz w:val="12"/>
              </w:rPr>
            </w:pPr>
            <w:r>
              <w:rPr>
                <w:w w:val="110"/>
                <w:sz w:val="12"/>
              </w:rPr>
              <w:t>Traditional</w:t>
            </w:r>
          </w:p>
        </w:tc>
        <w:tc>
          <w:tcPr>
            <w:tcW w:w="846" w:type="dxa"/>
          </w:tcPr>
          <w:p>
            <w:pPr>
              <w:pStyle w:val="TableParagraph"/>
              <w:spacing w:before="2"/>
              <w:rPr>
                <w:sz w:val="15"/>
              </w:rPr>
            </w:pPr>
          </w:p>
          <w:p>
            <w:pPr>
              <w:pStyle w:val="TableParagraph"/>
              <w:spacing w:line="134" w:lineRule="exact"/>
              <w:ind w:left="222"/>
              <w:rPr>
                <w:sz w:val="12"/>
              </w:rPr>
            </w:pPr>
            <w:r>
              <w:rPr>
                <w:w w:val="126"/>
                <w:sz w:val="12"/>
              </w:rPr>
              <w:t>9</w:t>
            </w:r>
          </w:p>
        </w:tc>
        <w:tc>
          <w:tcPr>
            <w:tcW w:w="611" w:type="dxa"/>
          </w:tcPr>
          <w:p>
            <w:pPr>
              <w:pStyle w:val="TableParagraph"/>
              <w:spacing w:before="2"/>
              <w:rPr>
                <w:sz w:val="15"/>
              </w:rPr>
            </w:pPr>
          </w:p>
          <w:p>
            <w:pPr>
              <w:pStyle w:val="TableParagraph"/>
              <w:spacing w:line="134" w:lineRule="exact"/>
              <w:ind w:right="329"/>
              <w:jc w:val="right"/>
              <w:rPr>
                <w:sz w:val="12"/>
              </w:rPr>
            </w:pPr>
            <w:r>
              <w:rPr>
                <w:w w:val="125"/>
                <w:sz w:val="12"/>
              </w:rPr>
              <w:t>638</w:t>
            </w:r>
          </w:p>
        </w:tc>
        <w:tc>
          <w:tcPr>
            <w:tcW w:w="889" w:type="dxa"/>
          </w:tcPr>
          <w:p>
            <w:pPr>
              <w:pStyle w:val="TableParagraph"/>
              <w:spacing w:before="2"/>
              <w:rPr>
                <w:sz w:val="15"/>
              </w:rPr>
            </w:pPr>
          </w:p>
          <w:p>
            <w:pPr>
              <w:pStyle w:val="TableParagraph"/>
              <w:spacing w:line="134" w:lineRule="exact"/>
              <w:ind w:left="131"/>
              <w:rPr>
                <w:sz w:val="12"/>
              </w:rPr>
            </w:pPr>
            <w:r>
              <w:rPr>
                <w:w w:val="110"/>
                <w:sz w:val="12"/>
              </w:rPr>
              <w:t>0.0% to 2.0%</w:t>
            </w:r>
          </w:p>
        </w:tc>
        <w:tc>
          <w:tcPr>
            <w:tcW w:w="941" w:type="dxa"/>
          </w:tcPr>
          <w:p>
            <w:pPr>
              <w:pStyle w:val="TableParagraph"/>
              <w:spacing w:before="2"/>
              <w:rPr>
                <w:sz w:val="15"/>
              </w:rPr>
            </w:pPr>
          </w:p>
          <w:p>
            <w:pPr>
              <w:pStyle w:val="TableParagraph"/>
              <w:spacing w:line="134" w:lineRule="exact"/>
              <w:ind w:left="110"/>
              <w:rPr>
                <w:sz w:val="12"/>
              </w:rPr>
            </w:pPr>
            <w:r>
              <w:rPr>
                <w:w w:val="110"/>
                <w:sz w:val="12"/>
              </w:rPr>
              <w:t>0.0% to 6.7%</w:t>
            </w:r>
          </w:p>
        </w:tc>
        <w:tc>
          <w:tcPr>
            <w:tcW w:w="2011" w:type="dxa"/>
            <w:gridSpan w:val="2"/>
          </w:tcPr>
          <w:p>
            <w:pPr>
              <w:pStyle w:val="TableParagraph"/>
              <w:spacing w:before="2"/>
              <w:rPr>
                <w:sz w:val="15"/>
              </w:rPr>
            </w:pPr>
          </w:p>
          <w:p>
            <w:pPr>
              <w:pStyle w:val="TableParagraph"/>
              <w:spacing w:line="134" w:lineRule="exact"/>
              <w:ind w:left="189"/>
              <w:rPr>
                <w:sz w:val="12"/>
              </w:rPr>
            </w:pPr>
            <w:r>
              <w:rPr>
                <w:w w:val="110"/>
                <w:sz w:val="12"/>
              </w:rPr>
              <w:t>0.0% to 16.1% 0.0% to 0.4%</w:t>
            </w:r>
          </w:p>
        </w:tc>
      </w:tr>
      <w:tr>
        <w:trPr>
          <w:trHeight w:val="335" w:hRule="atLeast"/>
        </w:trPr>
        <w:tc>
          <w:tcPr>
            <w:tcW w:w="884" w:type="dxa"/>
          </w:tcPr>
          <w:p>
            <w:pPr>
              <w:pStyle w:val="TableParagraph"/>
              <w:spacing w:before="1"/>
              <w:rPr>
                <w:sz w:val="15"/>
              </w:rPr>
            </w:pPr>
          </w:p>
          <w:p>
            <w:pPr>
              <w:pStyle w:val="TableParagraph"/>
              <w:spacing w:line="127" w:lineRule="exact"/>
              <w:ind w:left="247"/>
              <w:rPr>
                <w:sz w:val="12"/>
              </w:rPr>
            </w:pPr>
            <w:r>
              <w:rPr>
                <w:w w:val="126"/>
                <w:sz w:val="12"/>
              </w:rPr>
              <w:t>5</w:t>
            </w:r>
          </w:p>
        </w:tc>
        <w:tc>
          <w:tcPr>
            <w:tcW w:w="897" w:type="dxa"/>
          </w:tcPr>
          <w:p>
            <w:pPr>
              <w:pStyle w:val="TableParagraph"/>
              <w:spacing w:before="1"/>
              <w:rPr>
                <w:sz w:val="15"/>
              </w:rPr>
            </w:pPr>
          </w:p>
          <w:p>
            <w:pPr>
              <w:pStyle w:val="TableParagraph"/>
              <w:spacing w:line="127" w:lineRule="exact"/>
              <w:ind w:left="120" w:right="83"/>
              <w:jc w:val="center"/>
              <w:rPr>
                <w:sz w:val="12"/>
              </w:rPr>
            </w:pPr>
            <w:r>
              <w:rPr>
                <w:w w:val="110"/>
                <w:sz w:val="12"/>
              </w:rPr>
              <w:t>Traditional</w:t>
            </w:r>
          </w:p>
        </w:tc>
        <w:tc>
          <w:tcPr>
            <w:tcW w:w="1098" w:type="dxa"/>
          </w:tcPr>
          <w:p>
            <w:pPr>
              <w:pStyle w:val="TableParagraph"/>
              <w:spacing w:before="1"/>
              <w:rPr>
                <w:sz w:val="15"/>
              </w:rPr>
            </w:pPr>
          </w:p>
          <w:p>
            <w:pPr>
              <w:pStyle w:val="TableParagraph"/>
              <w:spacing w:line="127" w:lineRule="exact"/>
              <w:ind w:left="64"/>
              <w:rPr>
                <w:sz w:val="12"/>
              </w:rPr>
            </w:pPr>
            <w:r>
              <w:rPr>
                <w:w w:val="110"/>
                <w:sz w:val="12"/>
              </w:rPr>
              <w:t>Traditional</w:t>
            </w:r>
          </w:p>
        </w:tc>
        <w:tc>
          <w:tcPr>
            <w:tcW w:w="1048" w:type="dxa"/>
          </w:tcPr>
          <w:p>
            <w:pPr>
              <w:pStyle w:val="TableParagraph"/>
              <w:rPr>
                <w:rFonts w:ascii="Times New Roman"/>
                <w:sz w:val="12"/>
              </w:rPr>
            </w:pPr>
          </w:p>
        </w:tc>
        <w:tc>
          <w:tcPr>
            <w:tcW w:w="1171" w:type="dxa"/>
          </w:tcPr>
          <w:p>
            <w:pPr>
              <w:pStyle w:val="TableParagraph"/>
              <w:spacing w:before="17"/>
              <w:ind w:left="173"/>
              <w:rPr>
                <w:sz w:val="12"/>
              </w:rPr>
            </w:pPr>
            <w:r>
              <w:rPr>
                <w:w w:val="115"/>
                <w:sz w:val="12"/>
              </w:rPr>
              <w:t>sutures</w:t>
            </w:r>
          </w:p>
          <w:p>
            <w:pPr>
              <w:pStyle w:val="TableParagraph"/>
              <w:spacing w:line="128" w:lineRule="exact" w:before="21"/>
              <w:ind w:left="172"/>
              <w:rPr>
                <w:sz w:val="12"/>
              </w:rPr>
            </w:pPr>
            <w:r>
              <w:rPr>
                <w:w w:val="110"/>
                <w:sz w:val="12"/>
              </w:rPr>
              <w:t>Staples </w:t>
            </w:r>
            <w:r>
              <w:rPr>
                <w:rFonts w:ascii="Lucida Sans"/>
                <w:w w:val="110"/>
                <w:sz w:val="12"/>
              </w:rPr>
              <w:t>&amp; </w:t>
            </w:r>
            <w:r>
              <w:rPr>
                <w:w w:val="110"/>
                <w:sz w:val="12"/>
              </w:rPr>
              <w:t>TSA</w:t>
            </w:r>
          </w:p>
        </w:tc>
        <w:tc>
          <w:tcPr>
            <w:tcW w:w="846" w:type="dxa"/>
          </w:tcPr>
          <w:p>
            <w:pPr>
              <w:pStyle w:val="TableParagraph"/>
              <w:spacing w:before="1"/>
              <w:rPr>
                <w:sz w:val="15"/>
              </w:rPr>
            </w:pPr>
          </w:p>
          <w:p>
            <w:pPr>
              <w:pStyle w:val="TableParagraph"/>
              <w:spacing w:line="127" w:lineRule="exact"/>
              <w:ind w:left="222"/>
              <w:rPr>
                <w:sz w:val="12"/>
              </w:rPr>
            </w:pPr>
            <w:r>
              <w:rPr>
                <w:w w:val="126"/>
                <w:sz w:val="12"/>
              </w:rPr>
              <w:t>1</w:t>
            </w:r>
          </w:p>
        </w:tc>
        <w:tc>
          <w:tcPr>
            <w:tcW w:w="611" w:type="dxa"/>
          </w:tcPr>
          <w:p>
            <w:pPr>
              <w:pStyle w:val="TableParagraph"/>
              <w:spacing w:before="1"/>
              <w:rPr>
                <w:sz w:val="15"/>
              </w:rPr>
            </w:pPr>
          </w:p>
          <w:p>
            <w:pPr>
              <w:pStyle w:val="TableParagraph"/>
              <w:spacing w:line="127" w:lineRule="exact"/>
              <w:ind w:right="329"/>
              <w:jc w:val="right"/>
              <w:rPr>
                <w:sz w:val="12"/>
              </w:rPr>
            </w:pPr>
            <w:r>
              <w:rPr>
                <w:w w:val="125"/>
                <w:sz w:val="12"/>
              </w:rPr>
              <w:t>29</w:t>
            </w:r>
          </w:p>
        </w:tc>
        <w:tc>
          <w:tcPr>
            <w:tcW w:w="889" w:type="dxa"/>
          </w:tcPr>
          <w:p>
            <w:pPr>
              <w:pStyle w:val="TableParagraph"/>
              <w:spacing w:before="1"/>
              <w:rPr>
                <w:sz w:val="15"/>
              </w:rPr>
            </w:pPr>
          </w:p>
          <w:p>
            <w:pPr>
              <w:pStyle w:val="TableParagraph"/>
              <w:spacing w:line="127" w:lineRule="exact"/>
              <w:ind w:left="131"/>
              <w:rPr>
                <w:sz w:val="12"/>
              </w:rPr>
            </w:pPr>
            <w:r>
              <w:rPr>
                <w:w w:val="105"/>
                <w:sz w:val="12"/>
              </w:rPr>
              <w:t>0.0%</w:t>
            </w:r>
          </w:p>
        </w:tc>
        <w:tc>
          <w:tcPr>
            <w:tcW w:w="941" w:type="dxa"/>
          </w:tcPr>
          <w:p>
            <w:pPr>
              <w:pStyle w:val="TableParagraph"/>
              <w:spacing w:before="1"/>
              <w:rPr>
                <w:sz w:val="15"/>
              </w:rPr>
            </w:pPr>
          </w:p>
          <w:p>
            <w:pPr>
              <w:pStyle w:val="TableParagraph"/>
              <w:spacing w:line="127" w:lineRule="exact"/>
              <w:ind w:left="34"/>
              <w:rPr>
                <w:sz w:val="12"/>
              </w:rPr>
            </w:pPr>
            <w:r>
              <w:rPr>
                <w:w w:val="110"/>
                <w:sz w:val="12"/>
              </w:rPr>
              <w:t>10.3%</w:t>
            </w:r>
          </w:p>
        </w:tc>
        <w:tc>
          <w:tcPr>
            <w:tcW w:w="2011" w:type="dxa"/>
            <w:gridSpan w:val="2"/>
          </w:tcPr>
          <w:p>
            <w:pPr>
              <w:pStyle w:val="TableParagraph"/>
              <w:spacing w:before="1"/>
              <w:rPr>
                <w:sz w:val="15"/>
              </w:rPr>
            </w:pPr>
          </w:p>
          <w:p>
            <w:pPr>
              <w:pStyle w:val="TableParagraph"/>
              <w:tabs>
                <w:tab w:pos="1051" w:val="left" w:leader="none"/>
              </w:tabs>
              <w:spacing w:line="127" w:lineRule="exact"/>
              <w:ind w:left="189"/>
              <w:rPr>
                <w:sz w:val="12"/>
              </w:rPr>
            </w:pPr>
            <w:r>
              <w:rPr>
                <w:w w:val="110"/>
                <w:sz w:val="12"/>
              </w:rPr>
              <w:t>0.0%</w:t>
              <w:tab/>
              <w:t>NR</w:t>
            </w:r>
          </w:p>
        </w:tc>
      </w:tr>
      <w:tr>
        <w:trPr>
          <w:trHeight w:val="520" w:hRule="atLeast"/>
        </w:trPr>
        <w:tc>
          <w:tcPr>
            <w:tcW w:w="884" w:type="dxa"/>
          </w:tcPr>
          <w:p>
            <w:pPr>
              <w:pStyle w:val="TableParagraph"/>
              <w:spacing w:before="9"/>
              <w:ind w:right="311"/>
              <w:jc w:val="center"/>
              <w:rPr>
                <w:sz w:val="12"/>
              </w:rPr>
            </w:pPr>
            <w:r>
              <w:rPr>
                <w:w w:val="126"/>
                <w:sz w:val="12"/>
              </w:rPr>
              <w:t>6</w:t>
            </w:r>
          </w:p>
          <w:p>
            <w:pPr>
              <w:pStyle w:val="TableParagraph"/>
              <w:spacing w:line="170" w:lineRule="atLeast" w:before="1"/>
              <w:ind w:left="119" w:right="503"/>
              <w:jc w:val="center"/>
              <w:rPr>
                <w:sz w:val="12"/>
              </w:rPr>
            </w:pPr>
            <w:r>
              <w:rPr>
                <w:w w:val="105"/>
                <w:sz w:val="12"/>
              </w:rPr>
              <w:t>Two </w:t>
            </w:r>
            <w:r>
              <w:rPr>
                <w:w w:val="115"/>
                <w:sz w:val="12"/>
              </w:rPr>
              <w:t>7</w:t>
            </w:r>
          </w:p>
        </w:tc>
        <w:tc>
          <w:tcPr>
            <w:tcW w:w="897" w:type="dxa"/>
          </w:tcPr>
          <w:p>
            <w:pPr>
              <w:pStyle w:val="TableParagraph"/>
              <w:spacing w:before="9"/>
              <w:ind w:left="137"/>
              <w:rPr>
                <w:sz w:val="12"/>
              </w:rPr>
            </w:pPr>
            <w:r>
              <w:rPr>
                <w:w w:val="110"/>
                <w:sz w:val="12"/>
              </w:rPr>
              <w:t>Traditional</w:t>
            </w:r>
          </w:p>
          <w:p>
            <w:pPr>
              <w:pStyle w:val="TableParagraph"/>
              <w:spacing w:before="7"/>
              <w:rPr>
                <w:sz w:val="15"/>
              </w:rPr>
            </w:pPr>
          </w:p>
          <w:p>
            <w:pPr>
              <w:pStyle w:val="TableParagraph"/>
              <w:spacing w:line="134" w:lineRule="exact"/>
              <w:ind w:left="137"/>
              <w:rPr>
                <w:sz w:val="12"/>
              </w:rPr>
            </w:pPr>
            <w:r>
              <w:rPr>
                <w:sz w:val="12"/>
              </w:rPr>
              <w:t>AM</w:t>
            </w:r>
          </w:p>
        </w:tc>
        <w:tc>
          <w:tcPr>
            <w:tcW w:w="1098" w:type="dxa"/>
          </w:tcPr>
          <w:p>
            <w:pPr>
              <w:pStyle w:val="TableParagraph"/>
              <w:spacing w:before="9"/>
              <w:ind w:left="64"/>
              <w:rPr>
                <w:sz w:val="12"/>
              </w:rPr>
            </w:pPr>
            <w:r>
              <w:rPr>
                <w:w w:val="110"/>
                <w:sz w:val="12"/>
              </w:rPr>
              <w:t>Traditional</w:t>
            </w:r>
          </w:p>
          <w:p>
            <w:pPr>
              <w:pStyle w:val="TableParagraph"/>
              <w:spacing w:before="7"/>
              <w:rPr>
                <w:sz w:val="15"/>
              </w:rPr>
            </w:pPr>
          </w:p>
          <w:p>
            <w:pPr>
              <w:pStyle w:val="TableParagraph"/>
              <w:spacing w:line="134" w:lineRule="exact"/>
              <w:ind w:left="64"/>
              <w:rPr>
                <w:sz w:val="12"/>
              </w:rPr>
            </w:pPr>
            <w:r>
              <w:rPr>
                <w:w w:val="110"/>
                <w:sz w:val="12"/>
              </w:rPr>
              <w:t>AM Traditional</w:t>
            </w:r>
          </w:p>
        </w:tc>
        <w:tc>
          <w:tcPr>
            <w:tcW w:w="1048" w:type="dxa"/>
          </w:tcPr>
          <w:p>
            <w:pPr>
              <w:pStyle w:val="TableParagraph"/>
              <w:spacing w:before="9"/>
              <w:ind w:left="124"/>
              <w:rPr>
                <w:sz w:val="12"/>
              </w:rPr>
            </w:pPr>
            <w:r>
              <w:rPr>
                <w:w w:val="110"/>
                <w:sz w:val="12"/>
              </w:rPr>
              <w:t>Traditional</w:t>
            </w:r>
          </w:p>
        </w:tc>
        <w:tc>
          <w:tcPr>
            <w:tcW w:w="1171" w:type="dxa"/>
          </w:tcPr>
          <w:p>
            <w:pPr>
              <w:pStyle w:val="TableParagraph"/>
              <w:spacing w:before="9"/>
              <w:ind w:left="172"/>
              <w:rPr>
                <w:sz w:val="12"/>
              </w:rPr>
            </w:pPr>
            <w:r>
              <w:rPr>
                <w:w w:val="110"/>
                <w:sz w:val="12"/>
              </w:rPr>
              <w:t>Staples </w:t>
            </w:r>
            <w:r>
              <w:rPr>
                <w:rFonts w:ascii="Lucida Sans"/>
                <w:w w:val="110"/>
                <w:sz w:val="12"/>
              </w:rPr>
              <w:t>&amp; </w:t>
            </w:r>
            <w:r>
              <w:rPr>
                <w:w w:val="110"/>
                <w:sz w:val="12"/>
              </w:rPr>
              <w:t>TSA</w:t>
            </w:r>
          </w:p>
          <w:p>
            <w:pPr>
              <w:pStyle w:val="TableParagraph"/>
              <w:spacing w:before="6"/>
              <w:rPr>
                <w:sz w:val="15"/>
              </w:rPr>
            </w:pPr>
          </w:p>
          <w:p>
            <w:pPr>
              <w:pStyle w:val="TableParagraph"/>
              <w:spacing w:line="134" w:lineRule="exact"/>
              <w:ind w:left="172"/>
              <w:rPr>
                <w:sz w:val="12"/>
              </w:rPr>
            </w:pPr>
            <w:r>
              <w:rPr>
                <w:w w:val="115"/>
                <w:sz w:val="12"/>
              </w:rPr>
              <w:t>Staples</w:t>
            </w:r>
          </w:p>
        </w:tc>
        <w:tc>
          <w:tcPr>
            <w:tcW w:w="846" w:type="dxa"/>
          </w:tcPr>
          <w:p>
            <w:pPr>
              <w:pStyle w:val="TableParagraph"/>
              <w:spacing w:before="9"/>
              <w:ind w:left="222"/>
              <w:rPr>
                <w:sz w:val="12"/>
              </w:rPr>
            </w:pPr>
            <w:r>
              <w:rPr>
                <w:w w:val="126"/>
                <w:sz w:val="12"/>
              </w:rPr>
              <w:t>1</w:t>
            </w:r>
          </w:p>
          <w:p>
            <w:pPr>
              <w:pStyle w:val="TableParagraph"/>
              <w:spacing w:before="7"/>
              <w:rPr>
                <w:sz w:val="15"/>
              </w:rPr>
            </w:pPr>
          </w:p>
          <w:p>
            <w:pPr>
              <w:pStyle w:val="TableParagraph"/>
              <w:spacing w:line="134" w:lineRule="exact"/>
              <w:ind w:left="221"/>
              <w:rPr>
                <w:sz w:val="12"/>
              </w:rPr>
            </w:pPr>
            <w:r>
              <w:rPr>
                <w:w w:val="126"/>
                <w:sz w:val="12"/>
              </w:rPr>
              <w:t>1</w:t>
            </w:r>
          </w:p>
        </w:tc>
        <w:tc>
          <w:tcPr>
            <w:tcW w:w="611" w:type="dxa"/>
          </w:tcPr>
          <w:p>
            <w:pPr>
              <w:pStyle w:val="TableParagraph"/>
              <w:spacing w:before="9"/>
              <w:ind w:left="51"/>
              <w:rPr>
                <w:sz w:val="12"/>
              </w:rPr>
            </w:pPr>
            <w:r>
              <w:rPr>
                <w:w w:val="125"/>
                <w:sz w:val="12"/>
              </w:rPr>
              <w:t>203</w:t>
            </w:r>
          </w:p>
          <w:p>
            <w:pPr>
              <w:pStyle w:val="TableParagraph"/>
              <w:spacing w:before="7"/>
              <w:rPr>
                <w:sz w:val="15"/>
              </w:rPr>
            </w:pPr>
          </w:p>
          <w:p>
            <w:pPr>
              <w:pStyle w:val="TableParagraph"/>
              <w:spacing w:line="134" w:lineRule="exact"/>
              <w:ind w:left="127"/>
              <w:rPr>
                <w:sz w:val="12"/>
              </w:rPr>
            </w:pPr>
            <w:r>
              <w:rPr>
                <w:w w:val="125"/>
                <w:sz w:val="12"/>
              </w:rPr>
              <w:t>51</w:t>
            </w:r>
          </w:p>
        </w:tc>
        <w:tc>
          <w:tcPr>
            <w:tcW w:w="889" w:type="dxa"/>
          </w:tcPr>
          <w:p>
            <w:pPr>
              <w:pStyle w:val="TableParagraph"/>
              <w:spacing w:before="9"/>
              <w:ind w:left="131"/>
              <w:rPr>
                <w:sz w:val="12"/>
              </w:rPr>
            </w:pPr>
            <w:r>
              <w:rPr>
                <w:w w:val="105"/>
                <w:sz w:val="12"/>
              </w:rPr>
              <w:t>0.5%</w:t>
            </w:r>
          </w:p>
          <w:p>
            <w:pPr>
              <w:pStyle w:val="TableParagraph"/>
              <w:spacing w:before="7"/>
              <w:rPr>
                <w:sz w:val="15"/>
              </w:rPr>
            </w:pPr>
          </w:p>
          <w:p>
            <w:pPr>
              <w:pStyle w:val="TableParagraph"/>
              <w:spacing w:line="134" w:lineRule="exact"/>
              <w:ind w:left="131"/>
              <w:rPr>
                <w:sz w:val="12"/>
              </w:rPr>
            </w:pPr>
            <w:r>
              <w:rPr>
                <w:w w:val="105"/>
                <w:sz w:val="12"/>
              </w:rPr>
              <w:t>0.0%</w:t>
            </w:r>
          </w:p>
        </w:tc>
        <w:tc>
          <w:tcPr>
            <w:tcW w:w="941" w:type="dxa"/>
          </w:tcPr>
          <w:p>
            <w:pPr>
              <w:pStyle w:val="TableParagraph"/>
              <w:spacing w:before="9"/>
              <w:ind w:left="110"/>
              <w:rPr>
                <w:sz w:val="12"/>
              </w:rPr>
            </w:pPr>
            <w:r>
              <w:rPr>
                <w:w w:val="105"/>
                <w:sz w:val="12"/>
              </w:rPr>
              <w:t>2.0%</w:t>
            </w:r>
          </w:p>
          <w:p>
            <w:pPr>
              <w:pStyle w:val="TableParagraph"/>
              <w:spacing w:before="7"/>
              <w:rPr>
                <w:sz w:val="15"/>
              </w:rPr>
            </w:pPr>
          </w:p>
          <w:p>
            <w:pPr>
              <w:pStyle w:val="TableParagraph"/>
              <w:spacing w:line="134" w:lineRule="exact"/>
              <w:ind w:left="110"/>
              <w:rPr>
                <w:sz w:val="12"/>
              </w:rPr>
            </w:pPr>
            <w:r>
              <w:rPr>
                <w:w w:val="110"/>
                <w:sz w:val="12"/>
              </w:rPr>
              <w:t>0.00%</w:t>
            </w:r>
          </w:p>
        </w:tc>
        <w:tc>
          <w:tcPr>
            <w:tcW w:w="1019" w:type="dxa"/>
          </w:tcPr>
          <w:p>
            <w:pPr>
              <w:pStyle w:val="TableParagraph"/>
              <w:spacing w:before="9"/>
              <w:ind w:left="32"/>
              <w:rPr>
                <w:sz w:val="12"/>
              </w:rPr>
            </w:pPr>
            <w:r>
              <w:rPr>
                <w:sz w:val="12"/>
              </w:rPr>
              <w:t>NR</w:t>
            </w:r>
          </w:p>
          <w:p>
            <w:pPr>
              <w:pStyle w:val="TableParagraph"/>
              <w:spacing w:before="7"/>
              <w:rPr>
                <w:sz w:val="15"/>
              </w:rPr>
            </w:pPr>
          </w:p>
          <w:p>
            <w:pPr>
              <w:pStyle w:val="TableParagraph"/>
              <w:spacing w:line="134" w:lineRule="exact"/>
              <w:ind w:left="32"/>
              <w:rPr>
                <w:sz w:val="12"/>
              </w:rPr>
            </w:pPr>
            <w:r>
              <w:rPr>
                <w:sz w:val="12"/>
              </w:rPr>
              <w:t>NR</w:t>
            </w:r>
          </w:p>
        </w:tc>
        <w:tc>
          <w:tcPr>
            <w:tcW w:w="992" w:type="dxa"/>
          </w:tcPr>
          <w:p>
            <w:pPr>
              <w:pStyle w:val="TableParagraph"/>
              <w:spacing w:before="9"/>
              <w:ind w:left="33"/>
              <w:rPr>
                <w:sz w:val="12"/>
              </w:rPr>
            </w:pPr>
            <w:r>
              <w:rPr>
                <w:sz w:val="12"/>
              </w:rPr>
              <w:t>NR</w:t>
            </w:r>
          </w:p>
          <w:p>
            <w:pPr>
              <w:pStyle w:val="TableParagraph"/>
              <w:spacing w:before="7"/>
              <w:rPr>
                <w:sz w:val="15"/>
              </w:rPr>
            </w:pPr>
          </w:p>
          <w:p>
            <w:pPr>
              <w:pStyle w:val="TableParagraph"/>
              <w:spacing w:line="134" w:lineRule="exact"/>
              <w:ind w:left="32"/>
              <w:rPr>
                <w:sz w:val="12"/>
              </w:rPr>
            </w:pPr>
            <w:r>
              <w:rPr>
                <w:sz w:val="12"/>
              </w:rPr>
              <w:t>NR</w:t>
            </w:r>
          </w:p>
        </w:tc>
      </w:tr>
      <w:tr>
        <w:trPr>
          <w:trHeight w:val="163" w:hRule="atLeast"/>
        </w:trPr>
        <w:tc>
          <w:tcPr>
            <w:tcW w:w="884" w:type="dxa"/>
          </w:tcPr>
          <w:p>
            <w:pPr>
              <w:pStyle w:val="TableParagraph"/>
              <w:rPr>
                <w:rFonts w:ascii="Times New Roman"/>
                <w:sz w:val="10"/>
              </w:rPr>
            </w:pPr>
          </w:p>
        </w:tc>
        <w:tc>
          <w:tcPr>
            <w:tcW w:w="897" w:type="dxa"/>
          </w:tcPr>
          <w:p>
            <w:pPr>
              <w:pStyle w:val="TableParagraph"/>
              <w:spacing w:line="127" w:lineRule="exact" w:before="17"/>
              <w:ind w:left="120" w:right="83"/>
              <w:jc w:val="center"/>
              <w:rPr>
                <w:sz w:val="12"/>
              </w:rPr>
            </w:pPr>
            <w:r>
              <w:rPr>
                <w:w w:val="110"/>
                <w:sz w:val="12"/>
              </w:rPr>
              <w:t>Traditional</w:t>
            </w:r>
          </w:p>
        </w:tc>
        <w:tc>
          <w:tcPr>
            <w:tcW w:w="1098" w:type="dxa"/>
          </w:tcPr>
          <w:p>
            <w:pPr>
              <w:pStyle w:val="TableParagraph"/>
              <w:rPr>
                <w:rFonts w:ascii="Times New Roman"/>
                <w:sz w:val="10"/>
              </w:rPr>
            </w:pPr>
          </w:p>
        </w:tc>
        <w:tc>
          <w:tcPr>
            <w:tcW w:w="1048" w:type="dxa"/>
          </w:tcPr>
          <w:p>
            <w:pPr>
              <w:pStyle w:val="TableParagraph"/>
              <w:rPr>
                <w:rFonts w:ascii="Times New Roman"/>
                <w:sz w:val="10"/>
              </w:rPr>
            </w:pPr>
          </w:p>
        </w:tc>
        <w:tc>
          <w:tcPr>
            <w:tcW w:w="1171" w:type="dxa"/>
          </w:tcPr>
          <w:p>
            <w:pPr>
              <w:pStyle w:val="TableParagraph"/>
              <w:rPr>
                <w:rFonts w:ascii="Times New Roman"/>
                <w:sz w:val="10"/>
              </w:rPr>
            </w:pPr>
          </w:p>
        </w:tc>
        <w:tc>
          <w:tcPr>
            <w:tcW w:w="846" w:type="dxa"/>
          </w:tcPr>
          <w:p>
            <w:pPr>
              <w:pStyle w:val="TableParagraph"/>
              <w:rPr>
                <w:rFonts w:ascii="Times New Roman"/>
                <w:sz w:val="10"/>
              </w:rPr>
            </w:pPr>
          </w:p>
        </w:tc>
        <w:tc>
          <w:tcPr>
            <w:tcW w:w="611" w:type="dxa"/>
          </w:tcPr>
          <w:p>
            <w:pPr>
              <w:pStyle w:val="TableParagraph"/>
              <w:rPr>
                <w:rFonts w:ascii="Times New Roman"/>
                <w:sz w:val="10"/>
              </w:rPr>
            </w:pPr>
          </w:p>
        </w:tc>
        <w:tc>
          <w:tcPr>
            <w:tcW w:w="889" w:type="dxa"/>
          </w:tcPr>
          <w:p>
            <w:pPr>
              <w:pStyle w:val="TableParagraph"/>
              <w:rPr>
                <w:rFonts w:ascii="Times New Roman"/>
                <w:sz w:val="10"/>
              </w:rPr>
            </w:pPr>
          </w:p>
        </w:tc>
        <w:tc>
          <w:tcPr>
            <w:tcW w:w="941" w:type="dxa"/>
          </w:tcPr>
          <w:p>
            <w:pPr>
              <w:pStyle w:val="TableParagraph"/>
              <w:rPr>
                <w:rFonts w:ascii="Times New Roman"/>
                <w:sz w:val="10"/>
              </w:rPr>
            </w:pPr>
          </w:p>
        </w:tc>
        <w:tc>
          <w:tcPr>
            <w:tcW w:w="1019" w:type="dxa"/>
          </w:tcPr>
          <w:p>
            <w:pPr>
              <w:pStyle w:val="TableParagraph"/>
              <w:rPr>
                <w:rFonts w:ascii="Times New Roman"/>
                <w:sz w:val="10"/>
              </w:rPr>
            </w:pPr>
          </w:p>
        </w:tc>
        <w:tc>
          <w:tcPr>
            <w:tcW w:w="992" w:type="dxa"/>
          </w:tcPr>
          <w:p>
            <w:pPr>
              <w:pStyle w:val="TableParagraph"/>
              <w:rPr>
                <w:rFonts w:ascii="Times New Roman"/>
                <w:sz w:val="10"/>
              </w:rPr>
            </w:pPr>
          </w:p>
        </w:tc>
      </w:tr>
    </w:tbl>
    <w:tbl>
      <w:tblPr>
        <w:tblW w:w="0" w:type="auto"/>
        <w:jc w:val="left"/>
        <w:tblInd w:w="2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7"/>
        <w:gridCol w:w="972"/>
      </w:tblGrid>
      <w:tr>
        <w:trPr>
          <w:trHeight w:val="163" w:hRule="atLeast"/>
        </w:trPr>
        <w:tc>
          <w:tcPr>
            <w:tcW w:w="657" w:type="dxa"/>
          </w:tcPr>
          <w:p>
            <w:pPr>
              <w:pStyle w:val="TableParagraph"/>
              <w:spacing w:line="134" w:lineRule="exact" w:before="9"/>
              <w:ind w:left="161"/>
              <w:rPr>
                <w:sz w:val="12"/>
              </w:rPr>
            </w:pPr>
            <w:r>
              <w:rPr>
                <w:w w:val="126"/>
                <w:sz w:val="12"/>
              </w:rPr>
              <w:t>8</w:t>
            </w:r>
          </w:p>
        </w:tc>
        <w:tc>
          <w:tcPr>
            <w:tcW w:w="972" w:type="dxa"/>
          </w:tcPr>
          <w:p>
            <w:pPr>
              <w:pStyle w:val="TableParagraph"/>
              <w:spacing w:line="134" w:lineRule="exact" w:before="9"/>
              <w:ind w:left="279"/>
              <w:rPr>
                <w:sz w:val="12"/>
              </w:rPr>
            </w:pPr>
            <w:r>
              <w:rPr>
                <w:sz w:val="12"/>
              </w:rPr>
              <w:t>AM</w:t>
            </w:r>
          </w:p>
        </w:tc>
      </w:tr>
      <w:tr>
        <w:trPr>
          <w:trHeight w:val="171" w:hRule="atLeast"/>
        </w:trPr>
        <w:tc>
          <w:tcPr>
            <w:tcW w:w="657" w:type="dxa"/>
          </w:tcPr>
          <w:p>
            <w:pPr>
              <w:pStyle w:val="TableParagraph"/>
              <w:rPr>
                <w:rFonts w:ascii="Times New Roman"/>
                <w:sz w:val="10"/>
              </w:rPr>
            </w:pPr>
          </w:p>
        </w:tc>
        <w:tc>
          <w:tcPr>
            <w:tcW w:w="972" w:type="dxa"/>
          </w:tcPr>
          <w:p>
            <w:pPr>
              <w:pStyle w:val="TableParagraph"/>
              <w:spacing w:line="134" w:lineRule="exact" w:before="17"/>
              <w:ind w:left="279"/>
              <w:rPr>
                <w:sz w:val="12"/>
              </w:rPr>
            </w:pPr>
            <w:r>
              <w:rPr>
                <w:w w:val="110"/>
                <w:sz w:val="12"/>
              </w:rPr>
              <w:t>Traditional</w:t>
            </w:r>
          </w:p>
        </w:tc>
      </w:tr>
      <w:tr>
        <w:trPr>
          <w:trHeight w:val="171" w:hRule="atLeast"/>
        </w:trPr>
        <w:tc>
          <w:tcPr>
            <w:tcW w:w="657" w:type="dxa"/>
          </w:tcPr>
          <w:p>
            <w:pPr>
              <w:pStyle w:val="TableParagraph"/>
              <w:spacing w:line="134" w:lineRule="exact" w:before="17"/>
              <w:ind w:left="161"/>
              <w:rPr>
                <w:sz w:val="12"/>
              </w:rPr>
            </w:pPr>
            <w:r>
              <w:rPr>
                <w:w w:val="126"/>
                <w:sz w:val="12"/>
              </w:rPr>
              <w:t>9</w:t>
            </w:r>
          </w:p>
        </w:tc>
        <w:tc>
          <w:tcPr>
            <w:tcW w:w="972" w:type="dxa"/>
          </w:tcPr>
          <w:p>
            <w:pPr>
              <w:pStyle w:val="TableParagraph"/>
              <w:spacing w:line="134" w:lineRule="exact" w:before="17"/>
              <w:ind w:left="279"/>
              <w:rPr>
                <w:sz w:val="12"/>
              </w:rPr>
            </w:pPr>
            <w:r>
              <w:rPr>
                <w:w w:val="110"/>
                <w:sz w:val="12"/>
              </w:rPr>
              <w:t>Traditional</w:t>
            </w:r>
          </w:p>
        </w:tc>
      </w:tr>
      <w:tr>
        <w:trPr>
          <w:trHeight w:val="171" w:hRule="atLeast"/>
        </w:trPr>
        <w:tc>
          <w:tcPr>
            <w:tcW w:w="657" w:type="dxa"/>
          </w:tcPr>
          <w:p>
            <w:pPr>
              <w:pStyle w:val="TableParagraph"/>
              <w:rPr>
                <w:rFonts w:ascii="Times New Roman"/>
                <w:sz w:val="10"/>
              </w:rPr>
            </w:pPr>
          </w:p>
        </w:tc>
        <w:tc>
          <w:tcPr>
            <w:tcW w:w="972" w:type="dxa"/>
          </w:tcPr>
          <w:p>
            <w:pPr>
              <w:pStyle w:val="TableParagraph"/>
              <w:spacing w:line="135" w:lineRule="exact" w:before="16"/>
              <w:ind w:left="279"/>
              <w:rPr>
                <w:sz w:val="12"/>
              </w:rPr>
            </w:pPr>
            <w:r>
              <w:rPr>
                <w:w w:val="110"/>
                <w:sz w:val="12"/>
              </w:rPr>
              <w:t>(</w:t>
            </w:r>
            <w:r>
              <w:rPr>
                <w:rFonts w:ascii="Lucida Sans" w:hAnsi="Lucida Sans"/>
                <w:w w:val="110"/>
                <w:sz w:val="12"/>
              </w:rPr>
              <w:t>±</w:t>
            </w:r>
            <w:r>
              <w:rPr>
                <w:w w:val="110"/>
                <w:sz w:val="12"/>
              </w:rPr>
              <w:t>AM)</w:t>
            </w:r>
          </w:p>
        </w:tc>
      </w:tr>
      <w:tr>
        <w:trPr>
          <w:trHeight w:val="171" w:hRule="atLeast"/>
        </w:trPr>
        <w:tc>
          <w:tcPr>
            <w:tcW w:w="657" w:type="dxa"/>
          </w:tcPr>
          <w:p>
            <w:pPr>
              <w:pStyle w:val="TableParagraph"/>
              <w:spacing w:line="134" w:lineRule="exact" w:before="17"/>
              <w:ind w:right="276"/>
              <w:jc w:val="right"/>
              <w:rPr>
                <w:sz w:val="12"/>
              </w:rPr>
            </w:pPr>
            <w:r>
              <w:rPr>
                <w:w w:val="110"/>
                <w:sz w:val="12"/>
              </w:rPr>
              <w:t>Three</w:t>
            </w:r>
          </w:p>
        </w:tc>
        <w:tc>
          <w:tcPr>
            <w:tcW w:w="972" w:type="dxa"/>
          </w:tcPr>
          <w:p>
            <w:pPr>
              <w:pStyle w:val="TableParagraph"/>
              <w:rPr>
                <w:rFonts w:ascii="Times New Roman"/>
                <w:sz w:val="10"/>
              </w:rPr>
            </w:pPr>
          </w:p>
        </w:tc>
      </w:tr>
      <w:tr>
        <w:trPr>
          <w:trHeight w:val="171" w:hRule="atLeast"/>
        </w:trPr>
        <w:tc>
          <w:tcPr>
            <w:tcW w:w="657" w:type="dxa"/>
          </w:tcPr>
          <w:p>
            <w:pPr>
              <w:pStyle w:val="TableParagraph"/>
              <w:spacing w:line="134" w:lineRule="exact" w:before="17"/>
              <w:ind w:right="341"/>
              <w:jc w:val="right"/>
              <w:rPr>
                <w:sz w:val="12"/>
              </w:rPr>
            </w:pPr>
            <w:r>
              <w:rPr>
                <w:w w:val="125"/>
                <w:sz w:val="12"/>
              </w:rPr>
              <w:t>10</w:t>
            </w:r>
          </w:p>
        </w:tc>
        <w:tc>
          <w:tcPr>
            <w:tcW w:w="972" w:type="dxa"/>
          </w:tcPr>
          <w:p>
            <w:pPr>
              <w:pStyle w:val="TableParagraph"/>
              <w:spacing w:line="134" w:lineRule="exact" w:before="17"/>
              <w:ind w:left="279"/>
              <w:rPr>
                <w:sz w:val="12"/>
              </w:rPr>
            </w:pPr>
            <w:r>
              <w:rPr>
                <w:w w:val="110"/>
                <w:sz w:val="12"/>
              </w:rPr>
              <w:t>Traditional</w:t>
            </w:r>
          </w:p>
        </w:tc>
      </w:tr>
      <w:tr>
        <w:trPr>
          <w:trHeight w:val="163" w:hRule="atLeast"/>
        </w:trPr>
        <w:tc>
          <w:tcPr>
            <w:tcW w:w="657" w:type="dxa"/>
          </w:tcPr>
          <w:p>
            <w:pPr>
              <w:pStyle w:val="TableParagraph"/>
              <w:spacing w:line="127" w:lineRule="exact" w:before="17"/>
              <w:ind w:right="341"/>
              <w:jc w:val="right"/>
              <w:rPr>
                <w:sz w:val="12"/>
              </w:rPr>
            </w:pPr>
            <w:r>
              <w:rPr>
                <w:w w:val="125"/>
                <w:sz w:val="12"/>
              </w:rPr>
              <w:t>11</w:t>
            </w:r>
          </w:p>
        </w:tc>
        <w:tc>
          <w:tcPr>
            <w:tcW w:w="972" w:type="dxa"/>
          </w:tcPr>
          <w:p>
            <w:pPr>
              <w:pStyle w:val="TableParagraph"/>
              <w:spacing w:line="127" w:lineRule="exact" w:before="17"/>
              <w:ind w:left="279"/>
              <w:rPr>
                <w:sz w:val="12"/>
              </w:rPr>
            </w:pPr>
            <w:r>
              <w:rPr>
                <w:w w:val="110"/>
                <w:sz w:val="12"/>
              </w:rPr>
              <w:t>Traditional</w:t>
            </w:r>
          </w:p>
        </w:tc>
      </w:tr>
    </w:tbl>
    <w:p>
      <w:pPr>
        <w:spacing w:before="41"/>
        <w:ind w:left="4194" w:right="6068" w:firstLine="0"/>
        <w:jc w:val="center"/>
        <w:rPr>
          <w:sz w:val="12"/>
        </w:rPr>
      </w:pPr>
      <w:r>
        <w:rPr/>
        <w:pict>
          <v:shape style="position:absolute;margin-left:46.794258pt;margin-top:-58.410358pt;width:509.85pt;height:187.75pt;mso-position-horizontal-relative:page;mso-position-vertical-relative:paragraph;z-index:25174016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5"/>
                    <w:gridCol w:w="936"/>
                    <w:gridCol w:w="1110"/>
                    <w:gridCol w:w="1313"/>
                    <w:gridCol w:w="1131"/>
                    <w:gridCol w:w="501"/>
                    <w:gridCol w:w="760"/>
                    <w:gridCol w:w="990"/>
                    <w:gridCol w:w="945"/>
                    <w:gridCol w:w="982"/>
                    <w:gridCol w:w="912"/>
                  </w:tblGrid>
                  <w:tr>
                    <w:trPr>
                      <w:trHeight w:val="249" w:hRule="atLeast"/>
                    </w:trPr>
                    <w:tc>
                      <w:tcPr>
                        <w:tcW w:w="5115" w:type="dxa"/>
                        <w:gridSpan w:val="5"/>
                      </w:tcPr>
                      <w:p>
                        <w:pPr>
                          <w:pStyle w:val="TableParagraph"/>
                          <w:spacing w:before="9"/>
                          <w:ind w:left="1096" w:right="1779"/>
                          <w:jc w:val="center"/>
                          <w:rPr>
                            <w:sz w:val="12"/>
                          </w:rPr>
                        </w:pPr>
                        <w:r>
                          <w:rPr>
                            <w:w w:val="110"/>
                            <w:sz w:val="12"/>
                          </w:rPr>
                          <w:t>AM Traditional</w:t>
                        </w:r>
                      </w:p>
                    </w:tc>
                    <w:tc>
                      <w:tcPr>
                        <w:tcW w:w="501" w:type="dxa"/>
                      </w:tcPr>
                      <w:p>
                        <w:pPr>
                          <w:pStyle w:val="TableParagraph"/>
                          <w:spacing w:before="9"/>
                          <w:ind w:left="119"/>
                          <w:rPr>
                            <w:sz w:val="12"/>
                          </w:rPr>
                        </w:pPr>
                        <w:r>
                          <w:rPr>
                            <w:w w:val="126"/>
                            <w:sz w:val="12"/>
                          </w:rPr>
                          <w:t>0</w:t>
                        </w:r>
                      </w:p>
                    </w:tc>
                    <w:tc>
                      <w:tcPr>
                        <w:tcW w:w="760" w:type="dxa"/>
                      </w:tcPr>
                      <w:p>
                        <w:pPr>
                          <w:pStyle w:val="TableParagraph"/>
                          <w:spacing w:before="9"/>
                          <w:ind w:right="235"/>
                          <w:jc w:val="right"/>
                          <w:rPr>
                            <w:sz w:val="12"/>
                          </w:rPr>
                        </w:pPr>
                        <w:r>
                          <w:rPr>
                            <w:w w:val="126"/>
                            <w:sz w:val="12"/>
                          </w:rPr>
                          <w:t>0</w:t>
                        </w:r>
                      </w:p>
                    </w:tc>
                    <w:tc>
                      <w:tcPr>
                        <w:tcW w:w="990" w:type="dxa"/>
                      </w:tcPr>
                      <w:p>
                        <w:pPr>
                          <w:pStyle w:val="TableParagraph"/>
                          <w:spacing w:before="9"/>
                          <w:ind w:left="224"/>
                          <w:rPr>
                            <w:sz w:val="12"/>
                          </w:rPr>
                        </w:pPr>
                        <w:r>
                          <w:rPr>
                            <w:sz w:val="12"/>
                          </w:rPr>
                          <w:t>NA</w:t>
                        </w:r>
                      </w:p>
                    </w:tc>
                    <w:tc>
                      <w:tcPr>
                        <w:tcW w:w="945" w:type="dxa"/>
                      </w:tcPr>
                      <w:p>
                        <w:pPr>
                          <w:pStyle w:val="TableParagraph"/>
                          <w:spacing w:before="9"/>
                          <w:ind w:left="21"/>
                          <w:rPr>
                            <w:sz w:val="12"/>
                          </w:rPr>
                        </w:pPr>
                        <w:r>
                          <w:rPr>
                            <w:sz w:val="12"/>
                          </w:rPr>
                          <w:t>NA</w:t>
                        </w:r>
                      </w:p>
                    </w:tc>
                    <w:tc>
                      <w:tcPr>
                        <w:tcW w:w="982" w:type="dxa"/>
                      </w:tcPr>
                      <w:p>
                        <w:pPr>
                          <w:pStyle w:val="TableParagraph"/>
                          <w:spacing w:before="9"/>
                          <w:ind w:left="21"/>
                          <w:rPr>
                            <w:sz w:val="12"/>
                          </w:rPr>
                        </w:pPr>
                        <w:r>
                          <w:rPr>
                            <w:sz w:val="12"/>
                          </w:rPr>
                          <w:t>NA</w:t>
                        </w:r>
                      </w:p>
                    </w:tc>
                    <w:tc>
                      <w:tcPr>
                        <w:tcW w:w="912" w:type="dxa"/>
                      </w:tcPr>
                      <w:p>
                        <w:pPr>
                          <w:pStyle w:val="TableParagraph"/>
                          <w:spacing w:before="9"/>
                          <w:ind w:left="58"/>
                          <w:rPr>
                            <w:sz w:val="12"/>
                          </w:rPr>
                        </w:pPr>
                        <w:r>
                          <w:rPr>
                            <w:sz w:val="12"/>
                          </w:rPr>
                          <w:t>NA</w:t>
                        </w:r>
                      </w:p>
                    </w:tc>
                  </w:tr>
                  <w:tr>
                    <w:trPr>
                      <w:trHeight w:val="428" w:hRule="atLeast"/>
                    </w:trPr>
                    <w:tc>
                      <w:tcPr>
                        <w:tcW w:w="5115" w:type="dxa"/>
                        <w:gridSpan w:val="5"/>
                      </w:tcPr>
                      <w:p>
                        <w:pPr>
                          <w:pStyle w:val="TableParagraph"/>
                          <w:spacing w:before="101"/>
                          <w:ind w:left="1760"/>
                          <w:rPr>
                            <w:sz w:val="12"/>
                          </w:rPr>
                        </w:pPr>
                        <w:r>
                          <w:rPr>
                            <w:w w:val="110"/>
                            <w:sz w:val="12"/>
                          </w:rPr>
                          <w:t>Traditional (</w:t>
                        </w:r>
                        <w:r>
                          <w:rPr>
                            <w:rFonts w:ascii="Lucida Sans" w:hAnsi="Lucida Sans"/>
                            <w:w w:val="110"/>
                            <w:sz w:val="12"/>
                          </w:rPr>
                          <w:t>±</w:t>
                        </w:r>
                        <w:r>
                          <w:rPr>
                            <w:w w:val="110"/>
                            <w:sz w:val="12"/>
                          </w:rPr>
                          <w:t>AM) Traditional</w:t>
                        </w:r>
                      </w:p>
                      <w:p>
                        <w:pPr>
                          <w:pStyle w:val="TableParagraph"/>
                          <w:spacing w:line="135" w:lineRule="exact" w:before="22"/>
                          <w:ind w:left="1739" w:right="622"/>
                          <w:jc w:val="center"/>
                          <w:rPr>
                            <w:sz w:val="12"/>
                          </w:rPr>
                        </w:pPr>
                        <w:r>
                          <w:rPr>
                            <w:w w:val="110"/>
                            <w:sz w:val="12"/>
                          </w:rPr>
                          <w:t>(</w:t>
                        </w:r>
                        <w:r>
                          <w:rPr>
                            <w:rFonts w:ascii="Lucida Sans" w:hAnsi="Lucida Sans"/>
                            <w:w w:val="110"/>
                            <w:sz w:val="12"/>
                          </w:rPr>
                          <w:t>±</w:t>
                        </w:r>
                        <w:r>
                          <w:rPr>
                            <w:w w:val="110"/>
                            <w:sz w:val="12"/>
                          </w:rPr>
                          <w:t>AM)</w:t>
                        </w:r>
                      </w:p>
                    </w:tc>
                    <w:tc>
                      <w:tcPr>
                        <w:tcW w:w="501" w:type="dxa"/>
                      </w:tcPr>
                      <w:p>
                        <w:pPr>
                          <w:pStyle w:val="TableParagraph"/>
                          <w:spacing w:before="102"/>
                          <w:ind w:left="119"/>
                          <w:rPr>
                            <w:sz w:val="12"/>
                          </w:rPr>
                        </w:pPr>
                        <w:r>
                          <w:rPr>
                            <w:w w:val="126"/>
                            <w:sz w:val="12"/>
                          </w:rPr>
                          <w:t>1</w:t>
                        </w:r>
                      </w:p>
                    </w:tc>
                    <w:tc>
                      <w:tcPr>
                        <w:tcW w:w="760" w:type="dxa"/>
                      </w:tcPr>
                      <w:p>
                        <w:pPr>
                          <w:pStyle w:val="TableParagraph"/>
                          <w:spacing w:before="102"/>
                          <w:ind w:right="236"/>
                          <w:jc w:val="right"/>
                          <w:rPr>
                            <w:sz w:val="12"/>
                          </w:rPr>
                        </w:pPr>
                        <w:r>
                          <w:rPr>
                            <w:w w:val="125"/>
                            <w:sz w:val="12"/>
                          </w:rPr>
                          <w:t>30</w:t>
                        </w:r>
                      </w:p>
                    </w:tc>
                    <w:tc>
                      <w:tcPr>
                        <w:tcW w:w="990" w:type="dxa"/>
                      </w:tcPr>
                      <w:p>
                        <w:pPr>
                          <w:pStyle w:val="TableParagraph"/>
                          <w:spacing w:before="102"/>
                          <w:ind w:left="224"/>
                          <w:rPr>
                            <w:sz w:val="12"/>
                          </w:rPr>
                        </w:pPr>
                        <w:r>
                          <w:rPr>
                            <w:w w:val="105"/>
                            <w:sz w:val="12"/>
                          </w:rPr>
                          <w:t>0.0%</w:t>
                        </w:r>
                      </w:p>
                    </w:tc>
                    <w:tc>
                      <w:tcPr>
                        <w:tcW w:w="945" w:type="dxa"/>
                      </w:tcPr>
                      <w:p>
                        <w:pPr>
                          <w:pStyle w:val="TableParagraph"/>
                          <w:spacing w:before="102"/>
                          <w:ind w:left="21"/>
                          <w:rPr>
                            <w:sz w:val="12"/>
                          </w:rPr>
                        </w:pPr>
                        <w:r>
                          <w:rPr>
                            <w:sz w:val="12"/>
                          </w:rPr>
                          <w:t>0%</w:t>
                        </w:r>
                      </w:p>
                    </w:tc>
                    <w:tc>
                      <w:tcPr>
                        <w:tcW w:w="982" w:type="dxa"/>
                      </w:tcPr>
                      <w:p>
                        <w:pPr>
                          <w:pStyle w:val="TableParagraph"/>
                          <w:spacing w:before="102"/>
                          <w:ind w:left="21"/>
                          <w:rPr>
                            <w:sz w:val="12"/>
                          </w:rPr>
                        </w:pPr>
                        <w:r>
                          <w:rPr>
                            <w:w w:val="105"/>
                            <w:sz w:val="12"/>
                          </w:rPr>
                          <w:t>10%</w:t>
                        </w:r>
                      </w:p>
                    </w:tc>
                    <w:tc>
                      <w:tcPr>
                        <w:tcW w:w="912" w:type="dxa"/>
                      </w:tcPr>
                      <w:p>
                        <w:pPr>
                          <w:pStyle w:val="TableParagraph"/>
                          <w:spacing w:before="102"/>
                          <w:ind w:left="58"/>
                          <w:rPr>
                            <w:sz w:val="12"/>
                          </w:rPr>
                        </w:pPr>
                        <w:r>
                          <w:rPr>
                            <w:sz w:val="12"/>
                          </w:rPr>
                          <w:t>0%</w:t>
                        </w:r>
                      </w:p>
                    </w:tc>
                  </w:tr>
                  <w:tr>
                    <w:trPr>
                      <w:trHeight w:val="342" w:hRule="atLeast"/>
                    </w:trPr>
                    <w:tc>
                      <w:tcPr>
                        <w:tcW w:w="5115" w:type="dxa"/>
                        <w:gridSpan w:val="5"/>
                      </w:tcPr>
                      <w:p>
                        <w:pPr>
                          <w:pStyle w:val="TableParagraph"/>
                          <w:spacing w:before="4"/>
                          <w:rPr>
                            <w:rFonts w:ascii="Times New Roman"/>
                            <w:sz w:val="16"/>
                          </w:rPr>
                        </w:pPr>
                      </w:p>
                      <w:p>
                        <w:pPr>
                          <w:pStyle w:val="TableParagraph"/>
                          <w:tabs>
                            <w:tab w:pos="2917" w:val="left" w:leader="none"/>
                            <w:tab w:pos="4014" w:val="left" w:leader="none"/>
                          </w:tabs>
                          <w:spacing w:line="134" w:lineRule="exact"/>
                          <w:ind w:left="1760"/>
                          <w:rPr>
                            <w:sz w:val="12"/>
                          </w:rPr>
                        </w:pPr>
                        <w:r>
                          <w:rPr>
                            <w:w w:val="110"/>
                            <w:sz w:val="12"/>
                          </w:rPr>
                          <w:t>Traditional</w:t>
                          <w:tab/>
                          <w:t>Barbed</w:t>
                          <w:tab/>
                          <w:t>TSA</w:t>
                        </w:r>
                      </w:p>
                    </w:tc>
                    <w:tc>
                      <w:tcPr>
                        <w:tcW w:w="501" w:type="dxa"/>
                      </w:tcPr>
                      <w:p>
                        <w:pPr>
                          <w:pStyle w:val="TableParagraph"/>
                          <w:spacing w:before="4"/>
                          <w:rPr>
                            <w:rFonts w:ascii="Times New Roman"/>
                            <w:sz w:val="16"/>
                          </w:rPr>
                        </w:pPr>
                      </w:p>
                      <w:p>
                        <w:pPr>
                          <w:pStyle w:val="TableParagraph"/>
                          <w:spacing w:line="134" w:lineRule="exact"/>
                          <w:ind w:left="119"/>
                          <w:rPr>
                            <w:sz w:val="12"/>
                          </w:rPr>
                        </w:pPr>
                        <w:r>
                          <w:rPr>
                            <w:w w:val="126"/>
                            <w:sz w:val="12"/>
                          </w:rPr>
                          <w:t>0</w:t>
                        </w:r>
                      </w:p>
                    </w:tc>
                    <w:tc>
                      <w:tcPr>
                        <w:tcW w:w="760" w:type="dxa"/>
                      </w:tcPr>
                      <w:p>
                        <w:pPr>
                          <w:pStyle w:val="TableParagraph"/>
                          <w:spacing w:before="4"/>
                          <w:rPr>
                            <w:rFonts w:ascii="Times New Roman"/>
                            <w:sz w:val="16"/>
                          </w:rPr>
                        </w:pPr>
                      </w:p>
                      <w:p>
                        <w:pPr>
                          <w:pStyle w:val="TableParagraph"/>
                          <w:spacing w:line="134" w:lineRule="exact"/>
                          <w:ind w:right="236"/>
                          <w:jc w:val="right"/>
                          <w:rPr>
                            <w:sz w:val="12"/>
                          </w:rPr>
                        </w:pPr>
                        <w:r>
                          <w:rPr>
                            <w:w w:val="126"/>
                            <w:sz w:val="12"/>
                          </w:rPr>
                          <w:t>0</w:t>
                        </w:r>
                      </w:p>
                    </w:tc>
                    <w:tc>
                      <w:tcPr>
                        <w:tcW w:w="990" w:type="dxa"/>
                      </w:tcPr>
                      <w:p>
                        <w:pPr>
                          <w:pStyle w:val="TableParagraph"/>
                          <w:spacing w:before="4"/>
                          <w:rPr>
                            <w:rFonts w:ascii="Times New Roman"/>
                            <w:sz w:val="16"/>
                          </w:rPr>
                        </w:pPr>
                      </w:p>
                      <w:p>
                        <w:pPr>
                          <w:pStyle w:val="TableParagraph"/>
                          <w:spacing w:line="134" w:lineRule="exact"/>
                          <w:ind w:left="224"/>
                          <w:rPr>
                            <w:sz w:val="12"/>
                          </w:rPr>
                        </w:pPr>
                        <w:r>
                          <w:rPr>
                            <w:sz w:val="12"/>
                          </w:rPr>
                          <w:t>NA</w:t>
                        </w:r>
                      </w:p>
                    </w:tc>
                    <w:tc>
                      <w:tcPr>
                        <w:tcW w:w="945" w:type="dxa"/>
                      </w:tcPr>
                      <w:p>
                        <w:pPr>
                          <w:pStyle w:val="TableParagraph"/>
                          <w:spacing w:before="4"/>
                          <w:rPr>
                            <w:rFonts w:ascii="Times New Roman"/>
                            <w:sz w:val="16"/>
                          </w:rPr>
                        </w:pPr>
                      </w:p>
                      <w:p>
                        <w:pPr>
                          <w:pStyle w:val="TableParagraph"/>
                          <w:spacing w:line="134" w:lineRule="exact"/>
                          <w:ind w:left="21"/>
                          <w:rPr>
                            <w:sz w:val="12"/>
                          </w:rPr>
                        </w:pPr>
                        <w:r>
                          <w:rPr>
                            <w:sz w:val="12"/>
                          </w:rPr>
                          <w:t>NA</w:t>
                        </w:r>
                      </w:p>
                    </w:tc>
                    <w:tc>
                      <w:tcPr>
                        <w:tcW w:w="982" w:type="dxa"/>
                      </w:tcPr>
                      <w:p>
                        <w:pPr>
                          <w:pStyle w:val="TableParagraph"/>
                          <w:spacing w:before="4"/>
                          <w:rPr>
                            <w:rFonts w:ascii="Times New Roman"/>
                            <w:sz w:val="16"/>
                          </w:rPr>
                        </w:pPr>
                      </w:p>
                      <w:p>
                        <w:pPr>
                          <w:pStyle w:val="TableParagraph"/>
                          <w:spacing w:line="134" w:lineRule="exact"/>
                          <w:ind w:left="21"/>
                          <w:rPr>
                            <w:sz w:val="12"/>
                          </w:rPr>
                        </w:pPr>
                        <w:r>
                          <w:rPr>
                            <w:sz w:val="12"/>
                          </w:rPr>
                          <w:t>NA</w:t>
                        </w:r>
                      </w:p>
                    </w:tc>
                    <w:tc>
                      <w:tcPr>
                        <w:tcW w:w="912" w:type="dxa"/>
                      </w:tcPr>
                      <w:p>
                        <w:pPr>
                          <w:pStyle w:val="TableParagraph"/>
                          <w:spacing w:before="4"/>
                          <w:rPr>
                            <w:rFonts w:ascii="Times New Roman"/>
                            <w:sz w:val="16"/>
                          </w:rPr>
                        </w:pPr>
                      </w:p>
                      <w:p>
                        <w:pPr>
                          <w:pStyle w:val="TableParagraph"/>
                          <w:spacing w:line="134" w:lineRule="exact"/>
                          <w:ind w:left="58"/>
                          <w:rPr>
                            <w:sz w:val="12"/>
                          </w:rPr>
                        </w:pPr>
                        <w:r>
                          <w:rPr>
                            <w:sz w:val="12"/>
                          </w:rPr>
                          <w:t>NA</w:t>
                        </w:r>
                      </w:p>
                    </w:tc>
                  </w:tr>
                  <w:tr>
                    <w:trPr>
                      <w:trHeight w:val="254" w:hRule="atLeast"/>
                    </w:trPr>
                    <w:tc>
                      <w:tcPr>
                        <w:tcW w:w="5115" w:type="dxa"/>
                        <w:gridSpan w:val="5"/>
                      </w:tcPr>
                      <w:p>
                        <w:pPr>
                          <w:pStyle w:val="TableParagraph"/>
                          <w:tabs>
                            <w:tab w:pos="2917" w:val="left" w:leader="none"/>
                            <w:tab w:pos="4014" w:val="left" w:leader="none"/>
                          </w:tabs>
                          <w:spacing w:before="11"/>
                          <w:ind w:left="1760"/>
                          <w:rPr>
                            <w:sz w:val="12"/>
                          </w:rPr>
                        </w:pPr>
                        <w:r>
                          <w:rPr>
                            <w:w w:val="110"/>
                            <w:sz w:val="12"/>
                          </w:rPr>
                          <w:t>Traditional</w:t>
                          <w:tab/>
                          <w:t>Barbed</w:t>
                          <w:tab/>
                          <w:t>TSA </w:t>
                        </w:r>
                        <w:r>
                          <w:rPr>
                            <w:rFonts w:ascii="Century Gothic" w:hAnsi="Century Gothic"/>
                            <w:w w:val="110"/>
                            <w:sz w:val="12"/>
                          </w:rPr>
                          <w:t>þ</w:t>
                        </w:r>
                        <w:r>
                          <w:rPr>
                            <w:rFonts w:ascii="Century Gothic" w:hAnsi="Century Gothic"/>
                            <w:spacing w:val="12"/>
                            <w:w w:val="110"/>
                            <w:sz w:val="12"/>
                          </w:rPr>
                          <w:t> </w:t>
                        </w:r>
                        <w:r>
                          <w:rPr>
                            <w:w w:val="110"/>
                            <w:sz w:val="12"/>
                          </w:rPr>
                          <w:t>polyester</w:t>
                        </w:r>
                      </w:p>
                    </w:tc>
                    <w:tc>
                      <w:tcPr>
                        <w:tcW w:w="501" w:type="dxa"/>
                      </w:tcPr>
                      <w:p>
                        <w:pPr>
                          <w:pStyle w:val="TableParagraph"/>
                          <w:spacing w:before="17"/>
                          <w:ind w:left="119"/>
                          <w:rPr>
                            <w:sz w:val="12"/>
                          </w:rPr>
                        </w:pPr>
                        <w:r>
                          <w:rPr>
                            <w:w w:val="126"/>
                            <w:sz w:val="12"/>
                          </w:rPr>
                          <w:t>1</w:t>
                        </w:r>
                      </w:p>
                    </w:tc>
                    <w:tc>
                      <w:tcPr>
                        <w:tcW w:w="760" w:type="dxa"/>
                      </w:tcPr>
                      <w:p>
                        <w:pPr>
                          <w:pStyle w:val="TableParagraph"/>
                          <w:spacing w:before="17"/>
                          <w:ind w:right="236"/>
                          <w:jc w:val="right"/>
                          <w:rPr>
                            <w:sz w:val="12"/>
                          </w:rPr>
                        </w:pPr>
                        <w:r>
                          <w:rPr>
                            <w:w w:val="125"/>
                            <w:sz w:val="12"/>
                          </w:rPr>
                          <w:t>30</w:t>
                        </w:r>
                      </w:p>
                    </w:tc>
                    <w:tc>
                      <w:tcPr>
                        <w:tcW w:w="990" w:type="dxa"/>
                      </w:tcPr>
                      <w:p>
                        <w:pPr>
                          <w:pStyle w:val="TableParagraph"/>
                          <w:spacing w:before="17"/>
                          <w:ind w:left="224"/>
                          <w:rPr>
                            <w:sz w:val="12"/>
                          </w:rPr>
                        </w:pPr>
                        <w:r>
                          <w:rPr>
                            <w:w w:val="105"/>
                            <w:sz w:val="12"/>
                          </w:rPr>
                          <w:t>0.0%</w:t>
                        </w:r>
                      </w:p>
                    </w:tc>
                    <w:tc>
                      <w:tcPr>
                        <w:tcW w:w="945" w:type="dxa"/>
                      </w:tcPr>
                      <w:p>
                        <w:pPr>
                          <w:pStyle w:val="TableParagraph"/>
                          <w:spacing w:before="17"/>
                          <w:ind w:left="21"/>
                          <w:rPr>
                            <w:sz w:val="12"/>
                          </w:rPr>
                        </w:pPr>
                        <w:r>
                          <w:rPr>
                            <w:sz w:val="12"/>
                          </w:rPr>
                          <w:t>3%</w:t>
                        </w:r>
                      </w:p>
                    </w:tc>
                    <w:tc>
                      <w:tcPr>
                        <w:tcW w:w="982" w:type="dxa"/>
                      </w:tcPr>
                      <w:p>
                        <w:pPr>
                          <w:pStyle w:val="TableParagraph"/>
                          <w:spacing w:before="17"/>
                          <w:ind w:left="21"/>
                          <w:rPr>
                            <w:sz w:val="12"/>
                          </w:rPr>
                        </w:pPr>
                        <w:r>
                          <w:rPr>
                            <w:sz w:val="12"/>
                          </w:rPr>
                          <w:t>NR</w:t>
                        </w:r>
                      </w:p>
                    </w:tc>
                    <w:tc>
                      <w:tcPr>
                        <w:tcW w:w="912" w:type="dxa"/>
                      </w:tcPr>
                      <w:p>
                        <w:pPr>
                          <w:pStyle w:val="TableParagraph"/>
                          <w:spacing w:before="17"/>
                          <w:ind w:left="58"/>
                          <w:rPr>
                            <w:sz w:val="12"/>
                          </w:rPr>
                        </w:pPr>
                        <w:r>
                          <w:rPr>
                            <w:sz w:val="12"/>
                          </w:rPr>
                          <w:t>3%</w:t>
                        </w:r>
                      </w:p>
                    </w:tc>
                  </w:tr>
                  <w:tr>
                    <w:trPr>
                      <w:trHeight w:val="431" w:hRule="atLeast"/>
                    </w:trPr>
                    <w:tc>
                      <w:tcPr>
                        <w:tcW w:w="625" w:type="dxa"/>
                      </w:tcPr>
                      <w:p>
                        <w:pPr>
                          <w:pStyle w:val="TableParagraph"/>
                          <w:spacing w:line="170" w:lineRule="atLeast" w:before="85"/>
                          <w:ind w:left="161" w:right="295" w:hanging="129"/>
                          <w:rPr>
                            <w:sz w:val="12"/>
                          </w:rPr>
                        </w:pPr>
                        <w:r>
                          <w:rPr>
                            <w:w w:val="110"/>
                            <w:sz w:val="12"/>
                          </w:rPr>
                          <w:t>Four </w:t>
                        </w:r>
                        <w:r>
                          <w:rPr>
                            <w:w w:val="115"/>
                            <w:sz w:val="12"/>
                          </w:rPr>
                          <w:t>12</w:t>
                        </w:r>
                      </w:p>
                    </w:tc>
                    <w:tc>
                      <w:tcPr>
                        <w:tcW w:w="936" w:type="dxa"/>
                      </w:tcPr>
                      <w:p>
                        <w:pPr>
                          <w:pStyle w:val="TableParagraph"/>
                          <w:rPr>
                            <w:rFonts w:ascii="Times New Roman"/>
                            <w:sz w:val="16"/>
                          </w:rPr>
                        </w:pPr>
                      </w:p>
                      <w:p>
                        <w:pPr>
                          <w:pStyle w:val="TableParagraph"/>
                          <w:spacing w:line="134" w:lineRule="exact" w:before="93"/>
                          <w:ind w:right="199"/>
                          <w:jc w:val="right"/>
                          <w:rPr>
                            <w:sz w:val="12"/>
                          </w:rPr>
                        </w:pPr>
                        <w:r>
                          <w:rPr>
                            <w:w w:val="110"/>
                            <w:sz w:val="12"/>
                          </w:rPr>
                          <w:t>Barbed</w:t>
                        </w:r>
                      </w:p>
                    </w:tc>
                    <w:tc>
                      <w:tcPr>
                        <w:tcW w:w="1110" w:type="dxa"/>
                      </w:tcPr>
                      <w:p>
                        <w:pPr>
                          <w:pStyle w:val="TableParagraph"/>
                          <w:rPr>
                            <w:rFonts w:ascii="Times New Roman"/>
                            <w:sz w:val="16"/>
                          </w:rPr>
                        </w:pPr>
                      </w:p>
                      <w:p>
                        <w:pPr>
                          <w:pStyle w:val="TableParagraph"/>
                          <w:spacing w:line="134" w:lineRule="exact" w:before="93"/>
                          <w:ind w:left="199"/>
                          <w:rPr>
                            <w:sz w:val="12"/>
                          </w:rPr>
                        </w:pPr>
                        <w:r>
                          <w:rPr>
                            <w:w w:val="110"/>
                            <w:sz w:val="12"/>
                          </w:rPr>
                          <w:t>Traditional</w:t>
                        </w:r>
                      </w:p>
                    </w:tc>
                    <w:tc>
                      <w:tcPr>
                        <w:tcW w:w="1313" w:type="dxa"/>
                      </w:tcPr>
                      <w:p>
                        <w:pPr>
                          <w:pStyle w:val="TableParagraph"/>
                          <w:rPr>
                            <w:rFonts w:ascii="Times New Roman"/>
                            <w:sz w:val="12"/>
                          </w:rPr>
                        </w:pPr>
                      </w:p>
                    </w:tc>
                    <w:tc>
                      <w:tcPr>
                        <w:tcW w:w="1131" w:type="dxa"/>
                      </w:tcPr>
                      <w:p>
                        <w:pPr>
                          <w:pStyle w:val="TableParagraph"/>
                          <w:rPr>
                            <w:rFonts w:ascii="Times New Roman"/>
                            <w:sz w:val="16"/>
                          </w:rPr>
                        </w:pPr>
                      </w:p>
                      <w:p>
                        <w:pPr>
                          <w:pStyle w:val="TableParagraph"/>
                          <w:spacing w:line="135" w:lineRule="exact" w:before="92"/>
                          <w:ind w:left="30"/>
                          <w:rPr>
                            <w:sz w:val="12"/>
                          </w:rPr>
                        </w:pPr>
                        <w:r>
                          <w:rPr>
                            <w:w w:val="110"/>
                            <w:sz w:val="12"/>
                          </w:rPr>
                          <w:t>Staples </w:t>
                        </w:r>
                        <w:r>
                          <w:rPr>
                            <w:rFonts w:ascii="Lucida Sans"/>
                            <w:w w:val="110"/>
                            <w:sz w:val="12"/>
                          </w:rPr>
                          <w:t>&amp; </w:t>
                        </w:r>
                        <w:r>
                          <w:rPr>
                            <w:w w:val="110"/>
                            <w:sz w:val="12"/>
                          </w:rPr>
                          <w:t>TSA</w:t>
                        </w:r>
                      </w:p>
                    </w:tc>
                    <w:tc>
                      <w:tcPr>
                        <w:tcW w:w="501" w:type="dxa"/>
                      </w:tcPr>
                      <w:p>
                        <w:pPr>
                          <w:pStyle w:val="TableParagraph"/>
                          <w:rPr>
                            <w:rFonts w:ascii="Times New Roman"/>
                            <w:sz w:val="16"/>
                          </w:rPr>
                        </w:pPr>
                      </w:p>
                      <w:p>
                        <w:pPr>
                          <w:pStyle w:val="TableParagraph"/>
                          <w:spacing w:line="134" w:lineRule="exact" w:before="93"/>
                          <w:ind w:left="119"/>
                          <w:rPr>
                            <w:sz w:val="12"/>
                          </w:rPr>
                        </w:pPr>
                        <w:r>
                          <w:rPr>
                            <w:w w:val="126"/>
                            <w:sz w:val="12"/>
                          </w:rPr>
                          <w:t>1</w:t>
                        </w:r>
                      </w:p>
                    </w:tc>
                    <w:tc>
                      <w:tcPr>
                        <w:tcW w:w="760" w:type="dxa"/>
                      </w:tcPr>
                      <w:p>
                        <w:pPr>
                          <w:pStyle w:val="TableParagraph"/>
                          <w:rPr>
                            <w:rFonts w:ascii="Times New Roman"/>
                            <w:sz w:val="16"/>
                          </w:rPr>
                        </w:pPr>
                      </w:p>
                      <w:p>
                        <w:pPr>
                          <w:pStyle w:val="TableParagraph"/>
                          <w:spacing w:line="134" w:lineRule="exact" w:before="93"/>
                          <w:ind w:right="236"/>
                          <w:jc w:val="right"/>
                          <w:rPr>
                            <w:sz w:val="12"/>
                          </w:rPr>
                        </w:pPr>
                        <w:r>
                          <w:rPr>
                            <w:w w:val="125"/>
                            <w:sz w:val="12"/>
                          </w:rPr>
                          <w:t>31</w:t>
                        </w:r>
                      </w:p>
                    </w:tc>
                    <w:tc>
                      <w:tcPr>
                        <w:tcW w:w="990" w:type="dxa"/>
                      </w:tcPr>
                      <w:p>
                        <w:pPr>
                          <w:pStyle w:val="TableParagraph"/>
                          <w:rPr>
                            <w:rFonts w:ascii="Times New Roman"/>
                            <w:sz w:val="16"/>
                          </w:rPr>
                        </w:pPr>
                      </w:p>
                      <w:p>
                        <w:pPr>
                          <w:pStyle w:val="TableParagraph"/>
                          <w:spacing w:line="134" w:lineRule="exact" w:before="93"/>
                          <w:ind w:left="224"/>
                          <w:rPr>
                            <w:sz w:val="12"/>
                          </w:rPr>
                        </w:pPr>
                        <w:r>
                          <w:rPr>
                            <w:w w:val="105"/>
                            <w:sz w:val="12"/>
                          </w:rPr>
                          <w:t>0.0%</w:t>
                        </w:r>
                      </w:p>
                    </w:tc>
                    <w:tc>
                      <w:tcPr>
                        <w:tcW w:w="945" w:type="dxa"/>
                      </w:tcPr>
                      <w:p>
                        <w:pPr>
                          <w:pStyle w:val="TableParagraph"/>
                          <w:rPr>
                            <w:rFonts w:ascii="Times New Roman"/>
                            <w:sz w:val="16"/>
                          </w:rPr>
                        </w:pPr>
                      </w:p>
                      <w:p>
                        <w:pPr>
                          <w:pStyle w:val="TableParagraph"/>
                          <w:spacing w:line="134" w:lineRule="exact" w:before="93"/>
                          <w:ind w:left="21"/>
                          <w:rPr>
                            <w:sz w:val="12"/>
                          </w:rPr>
                        </w:pPr>
                        <w:r>
                          <w:rPr>
                            <w:sz w:val="12"/>
                          </w:rPr>
                          <w:t>3%</w:t>
                        </w:r>
                      </w:p>
                    </w:tc>
                    <w:tc>
                      <w:tcPr>
                        <w:tcW w:w="982" w:type="dxa"/>
                      </w:tcPr>
                      <w:p>
                        <w:pPr>
                          <w:pStyle w:val="TableParagraph"/>
                          <w:rPr>
                            <w:rFonts w:ascii="Times New Roman"/>
                            <w:sz w:val="16"/>
                          </w:rPr>
                        </w:pPr>
                      </w:p>
                      <w:p>
                        <w:pPr>
                          <w:pStyle w:val="TableParagraph"/>
                          <w:spacing w:line="134" w:lineRule="exact" w:before="93"/>
                          <w:ind w:left="177"/>
                          <w:rPr>
                            <w:sz w:val="12"/>
                          </w:rPr>
                        </w:pPr>
                        <w:r>
                          <w:rPr>
                            <w:w w:val="105"/>
                            <w:sz w:val="12"/>
                          </w:rPr>
                          <w:t>0.0%</w:t>
                        </w:r>
                      </w:p>
                    </w:tc>
                    <w:tc>
                      <w:tcPr>
                        <w:tcW w:w="912" w:type="dxa"/>
                      </w:tcPr>
                      <w:p>
                        <w:pPr>
                          <w:pStyle w:val="TableParagraph"/>
                          <w:rPr>
                            <w:rFonts w:ascii="Times New Roman"/>
                            <w:sz w:val="16"/>
                          </w:rPr>
                        </w:pPr>
                      </w:p>
                      <w:p>
                        <w:pPr>
                          <w:pStyle w:val="TableParagraph"/>
                          <w:spacing w:line="134" w:lineRule="exact" w:before="93"/>
                          <w:ind w:left="58"/>
                          <w:rPr>
                            <w:sz w:val="12"/>
                          </w:rPr>
                        </w:pPr>
                        <w:r>
                          <w:rPr>
                            <w:sz w:val="12"/>
                          </w:rPr>
                          <w:t>NR</w:t>
                        </w:r>
                      </w:p>
                    </w:tc>
                  </w:tr>
                  <w:tr>
                    <w:trPr>
                      <w:trHeight w:val="171" w:hRule="atLeast"/>
                    </w:trPr>
                    <w:tc>
                      <w:tcPr>
                        <w:tcW w:w="625" w:type="dxa"/>
                      </w:tcPr>
                      <w:p>
                        <w:pPr>
                          <w:pStyle w:val="TableParagraph"/>
                          <w:spacing w:line="134" w:lineRule="exact" w:before="17"/>
                          <w:ind w:left="161"/>
                          <w:rPr>
                            <w:sz w:val="12"/>
                          </w:rPr>
                        </w:pPr>
                        <w:r>
                          <w:rPr>
                            <w:w w:val="125"/>
                            <w:sz w:val="12"/>
                          </w:rPr>
                          <w:t>13</w:t>
                        </w:r>
                      </w:p>
                    </w:tc>
                    <w:tc>
                      <w:tcPr>
                        <w:tcW w:w="936" w:type="dxa"/>
                      </w:tcPr>
                      <w:p>
                        <w:pPr>
                          <w:pStyle w:val="TableParagraph"/>
                          <w:spacing w:line="134" w:lineRule="exact" w:before="17"/>
                          <w:ind w:right="199"/>
                          <w:jc w:val="right"/>
                          <w:rPr>
                            <w:sz w:val="12"/>
                          </w:rPr>
                        </w:pPr>
                        <w:r>
                          <w:rPr>
                            <w:w w:val="110"/>
                            <w:sz w:val="12"/>
                          </w:rPr>
                          <w:t>Barbed</w:t>
                        </w:r>
                      </w:p>
                    </w:tc>
                    <w:tc>
                      <w:tcPr>
                        <w:tcW w:w="1110" w:type="dxa"/>
                      </w:tcPr>
                      <w:p>
                        <w:pPr>
                          <w:pStyle w:val="TableParagraph"/>
                          <w:spacing w:line="134" w:lineRule="exact" w:before="17"/>
                          <w:ind w:left="199"/>
                          <w:rPr>
                            <w:sz w:val="12"/>
                          </w:rPr>
                        </w:pPr>
                        <w:r>
                          <w:rPr>
                            <w:w w:val="110"/>
                            <w:sz w:val="12"/>
                          </w:rPr>
                          <w:t>Traditional</w:t>
                        </w:r>
                      </w:p>
                    </w:tc>
                    <w:tc>
                      <w:tcPr>
                        <w:tcW w:w="1313" w:type="dxa"/>
                      </w:tcPr>
                      <w:p>
                        <w:pPr>
                          <w:pStyle w:val="TableParagraph"/>
                          <w:rPr>
                            <w:rFonts w:ascii="Times New Roman"/>
                            <w:sz w:val="10"/>
                          </w:rPr>
                        </w:pPr>
                      </w:p>
                    </w:tc>
                    <w:tc>
                      <w:tcPr>
                        <w:tcW w:w="1131" w:type="dxa"/>
                      </w:tcPr>
                      <w:p>
                        <w:pPr>
                          <w:pStyle w:val="TableParagraph"/>
                          <w:spacing w:line="134" w:lineRule="exact" w:before="17"/>
                          <w:ind w:left="30"/>
                          <w:rPr>
                            <w:sz w:val="12"/>
                          </w:rPr>
                        </w:pPr>
                        <w:r>
                          <w:rPr>
                            <w:w w:val="115"/>
                            <w:sz w:val="12"/>
                          </w:rPr>
                          <w:t>Staples</w:t>
                        </w:r>
                      </w:p>
                    </w:tc>
                    <w:tc>
                      <w:tcPr>
                        <w:tcW w:w="501" w:type="dxa"/>
                      </w:tcPr>
                      <w:p>
                        <w:pPr>
                          <w:pStyle w:val="TableParagraph"/>
                          <w:spacing w:line="134" w:lineRule="exact" w:before="17"/>
                          <w:ind w:left="119"/>
                          <w:rPr>
                            <w:sz w:val="12"/>
                          </w:rPr>
                        </w:pPr>
                        <w:r>
                          <w:rPr>
                            <w:w w:val="126"/>
                            <w:sz w:val="12"/>
                          </w:rPr>
                          <w:t>3</w:t>
                        </w:r>
                      </w:p>
                    </w:tc>
                    <w:tc>
                      <w:tcPr>
                        <w:tcW w:w="760" w:type="dxa"/>
                      </w:tcPr>
                      <w:p>
                        <w:pPr>
                          <w:pStyle w:val="TableParagraph"/>
                          <w:spacing w:line="134" w:lineRule="exact" w:before="17"/>
                          <w:ind w:right="236"/>
                          <w:jc w:val="right"/>
                          <w:rPr>
                            <w:sz w:val="12"/>
                          </w:rPr>
                        </w:pPr>
                        <w:r>
                          <w:rPr>
                            <w:w w:val="125"/>
                            <w:sz w:val="12"/>
                          </w:rPr>
                          <w:t>298</w:t>
                        </w:r>
                      </w:p>
                    </w:tc>
                    <w:tc>
                      <w:tcPr>
                        <w:tcW w:w="990" w:type="dxa"/>
                      </w:tcPr>
                      <w:p>
                        <w:pPr>
                          <w:pStyle w:val="TableParagraph"/>
                          <w:spacing w:line="134" w:lineRule="exact" w:before="17"/>
                          <w:ind w:left="224"/>
                          <w:rPr>
                            <w:sz w:val="12"/>
                          </w:rPr>
                        </w:pPr>
                        <w:r>
                          <w:rPr>
                            <w:w w:val="110"/>
                            <w:sz w:val="12"/>
                          </w:rPr>
                          <w:t>0.0% to 0.5%</w:t>
                        </w:r>
                      </w:p>
                    </w:tc>
                    <w:tc>
                      <w:tcPr>
                        <w:tcW w:w="945" w:type="dxa"/>
                      </w:tcPr>
                      <w:p>
                        <w:pPr>
                          <w:pStyle w:val="TableParagraph"/>
                          <w:spacing w:line="134" w:lineRule="exact" w:before="17"/>
                          <w:ind w:left="103"/>
                          <w:rPr>
                            <w:sz w:val="12"/>
                          </w:rPr>
                        </w:pPr>
                        <w:r>
                          <w:rPr>
                            <w:w w:val="110"/>
                            <w:sz w:val="12"/>
                          </w:rPr>
                          <w:t>0.0% to 5.0%</w:t>
                        </w:r>
                      </w:p>
                    </w:tc>
                    <w:tc>
                      <w:tcPr>
                        <w:tcW w:w="982" w:type="dxa"/>
                      </w:tcPr>
                      <w:p>
                        <w:pPr>
                          <w:pStyle w:val="TableParagraph"/>
                          <w:spacing w:line="134" w:lineRule="exact" w:before="17"/>
                          <w:ind w:left="21"/>
                          <w:rPr>
                            <w:sz w:val="12"/>
                          </w:rPr>
                        </w:pPr>
                        <w:r>
                          <w:rPr>
                            <w:sz w:val="12"/>
                          </w:rPr>
                          <w:t>NR</w:t>
                        </w:r>
                      </w:p>
                    </w:tc>
                    <w:tc>
                      <w:tcPr>
                        <w:tcW w:w="912" w:type="dxa"/>
                      </w:tcPr>
                      <w:p>
                        <w:pPr>
                          <w:pStyle w:val="TableParagraph"/>
                          <w:spacing w:line="134" w:lineRule="exact" w:before="17"/>
                          <w:ind w:left="64"/>
                          <w:rPr>
                            <w:sz w:val="12"/>
                          </w:rPr>
                        </w:pPr>
                        <w:r>
                          <w:rPr>
                            <w:w w:val="110"/>
                            <w:sz w:val="12"/>
                          </w:rPr>
                          <w:t>11.0%</w:t>
                        </w:r>
                      </w:p>
                    </w:tc>
                  </w:tr>
                  <w:tr>
                    <w:trPr>
                      <w:trHeight w:val="171" w:hRule="atLeast"/>
                    </w:trPr>
                    <w:tc>
                      <w:tcPr>
                        <w:tcW w:w="625" w:type="dxa"/>
                      </w:tcPr>
                      <w:p>
                        <w:pPr>
                          <w:pStyle w:val="TableParagraph"/>
                          <w:spacing w:line="134" w:lineRule="exact" w:before="17"/>
                          <w:ind w:left="161"/>
                          <w:rPr>
                            <w:sz w:val="12"/>
                          </w:rPr>
                        </w:pPr>
                        <w:r>
                          <w:rPr>
                            <w:w w:val="125"/>
                            <w:sz w:val="12"/>
                          </w:rPr>
                          <w:t>14</w:t>
                        </w:r>
                      </w:p>
                    </w:tc>
                    <w:tc>
                      <w:tcPr>
                        <w:tcW w:w="936" w:type="dxa"/>
                      </w:tcPr>
                      <w:p>
                        <w:pPr>
                          <w:pStyle w:val="TableParagraph"/>
                          <w:spacing w:line="134" w:lineRule="exact" w:before="17"/>
                          <w:ind w:right="199"/>
                          <w:jc w:val="right"/>
                          <w:rPr>
                            <w:sz w:val="12"/>
                          </w:rPr>
                        </w:pPr>
                        <w:r>
                          <w:rPr>
                            <w:w w:val="110"/>
                            <w:sz w:val="12"/>
                          </w:rPr>
                          <w:t>Barbed</w:t>
                        </w:r>
                      </w:p>
                    </w:tc>
                    <w:tc>
                      <w:tcPr>
                        <w:tcW w:w="1110" w:type="dxa"/>
                      </w:tcPr>
                      <w:p>
                        <w:pPr>
                          <w:pStyle w:val="TableParagraph"/>
                          <w:spacing w:line="134" w:lineRule="exact" w:before="17"/>
                          <w:ind w:left="199"/>
                          <w:rPr>
                            <w:sz w:val="12"/>
                          </w:rPr>
                        </w:pPr>
                        <w:r>
                          <w:rPr>
                            <w:w w:val="110"/>
                            <w:sz w:val="12"/>
                          </w:rPr>
                          <w:t>Traditional</w:t>
                        </w:r>
                      </w:p>
                    </w:tc>
                    <w:tc>
                      <w:tcPr>
                        <w:tcW w:w="1313" w:type="dxa"/>
                      </w:tcPr>
                      <w:p>
                        <w:pPr>
                          <w:pStyle w:val="TableParagraph"/>
                          <w:spacing w:line="134" w:lineRule="exact" w:before="17"/>
                          <w:ind w:left="246"/>
                          <w:rPr>
                            <w:sz w:val="12"/>
                          </w:rPr>
                        </w:pPr>
                        <w:r>
                          <w:rPr>
                            <w:w w:val="110"/>
                            <w:sz w:val="12"/>
                          </w:rPr>
                          <w:t>Traditional</w:t>
                        </w:r>
                      </w:p>
                    </w:tc>
                    <w:tc>
                      <w:tcPr>
                        <w:tcW w:w="1131" w:type="dxa"/>
                      </w:tcPr>
                      <w:p>
                        <w:pPr>
                          <w:pStyle w:val="TableParagraph"/>
                          <w:spacing w:line="134" w:lineRule="exact" w:before="17"/>
                          <w:ind w:left="30"/>
                          <w:rPr>
                            <w:sz w:val="12"/>
                          </w:rPr>
                        </w:pPr>
                        <w:r>
                          <w:rPr>
                            <w:w w:val="110"/>
                            <w:sz w:val="12"/>
                          </w:rPr>
                          <w:t>Traditional</w:t>
                        </w:r>
                      </w:p>
                    </w:tc>
                    <w:tc>
                      <w:tcPr>
                        <w:tcW w:w="501" w:type="dxa"/>
                      </w:tcPr>
                      <w:p>
                        <w:pPr>
                          <w:pStyle w:val="TableParagraph"/>
                          <w:spacing w:line="134" w:lineRule="exact" w:before="17"/>
                          <w:ind w:left="119"/>
                          <w:rPr>
                            <w:sz w:val="12"/>
                          </w:rPr>
                        </w:pPr>
                        <w:r>
                          <w:rPr>
                            <w:w w:val="126"/>
                            <w:sz w:val="12"/>
                          </w:rPr>
                          <w:t>2</w:t>
                        </w:r>
                      </w:p>
                    </w:tc>
                    <w:tc>
                      <w:tcPr>
                        <w:tcW w:w="760" w:type="dxa"/>
                      </w:tcPr>
                      <w:p>
                        <w:pPr>
                          <w:pStyle w:val="TableParagraph"/>
                          <w:spacing w:line="134" w:lineRule="exact" w:before="17"/>
                          <w:ind w:right="236"/>
                          <w:jc w:val="right"/>
                          <w:rPr>
                            <w:sz w:val="12"/>
                          </w:rPr>
                        </w:pPr>
                        <w:r>
                          <w:rPr>
                            <w:w w:val="125"/>
                            <w:sz w:val="12"/>
                          </w:rPr>
                          <w:t>37</w:t>
                        </w:r>
                      </w:p>
                    </w:tc>
                    <w:tc>
                      <w:tcPr>
                        <w:tcW w:w="990" w:type="dxa"/>
                      </w:tcPr>
                      <w:p>
                        <w:pPr>
                          <w:pStyle w:val="TableParagraph"/>
                          <w:spacing w:line="134" w:lineRule="exact" w:before="17"/>
                          <w:ind w:left="224"/>
                          <w:rPr>
                            <w:sz w:val="12"/>
                          </w:rPr>
                        </w:pPr>
                        <w:r>
                          <w:rPr>
                            <w:w w:val="110"/>
                            <w:sz w:val="12"/>
                          </w:rPr>
                          <w:t>0.0% to 0.0%</w:t>
                        </w:r>
                      </w:p>
                    </w:tc>
                    <w:tc>
                      <w:tcPr>
                        <w:tcW w:w="945" w:type="dxa"/>
                      </w:tcPr>
                      <w:p>
                        <w:pPr>
                          <w:pStyle w:val="TableParagraph"/>
                          <w:spacing w:line="134" w:lineRule="exact" w:before="17"/>
                          <w:ind w:left="27"/>
                          <w:rPr>
                            <w:sz w:val="12"/>
                          </w:rPr>
                        </w:pPr>
                        <w:r>
                          <w:rPr>
                            <w:w w:val="115"/>
                            <w:sz w:val="12"/>
                          </w:rPr>
                          <w:t>21.0% to 33.0%</w:t>
                        </w:r>
                      </w:p>
                    </w:tc>
                    <w:tc>
                      <w:tcPr>
                        <w:tcW w:w="982" w:type="dxa"/>
                      </w:tcPr>
                      <w:p>
                        <w:pPr>
                          <w:pStyle w:val="TableParagraph"/>
                          <w:spacing w:line="134" w:lineRule="exact" w:before="17"/>
                          <w:ind w:left="21"/>
                          <w:rPr>
                            <w:sz w:val="12"/>
                          </w:rPr>
                        </w:pPr>
                        <w:r>
                          <w:rPr>
                            <w:sz w:val="12"/>
                          </w:rPr>
                          <w:t>NR</w:t>
                        </w:r>
                      </w:p>
                    </w:tc>
                    <w:tc>
                      <w:tcPr>
                        <w:tcW w:w="912" w:type="dxa"/>
                      </w:tcPr>
                      <w:p>
                        <w:pPr>
                          <w:pStyle w:val="TableParagraph"/>
                          <w:spacing w:line="134" w:lineRule="exact" w:before="17"/>
                          <w:ind w:right="40"/>
                          <w:jc w:val="right"/>
                          <w:rPr>
                            <w:sz w:val="12"/>
                          </w:rPr>
                        </w:pPr>
                        <w:r>
                          <w:rPr>
                            <w:w w:val="110"/>
                            <w:sz w:val="12"/>
                          </w:rPr>
                          <w:t>5.0% to 6.0%</w:t>
                        </w:r>
                      </w:p>
                    </w:tc>
                  </w:tr>
                  <w:tr>
                    <w:trPr>
                      <w:trHeight w:val="342" w:hRule="atLeast"/>
                    </w:trPr>
                    <w:tc>
                      <w:tcPr>
                        <w:tcW w:w="625" w:type="dxa"/>
                      </w:tcPr>
                      <w:p>
                        <w:pPr>
                          <w:pStyle w:val="TableParagraph"/>
                          <w:spacing w:before="4"/>
                          <w:rPr>
                            <w:rFonts w:ascii="Times New Roman"/>
                            <w:sz w:val="16"/>
                          </w:rPr>
                        </w:pPr>
                      </w:p>
                      <w:p>
                        <w:pPr>
                          <w:pStyle w:val="TableParagraph"/>
                          <w:spacing w:line="134" w:lineRule="exact"/>
                          <w:ind w:left="161"/>
                          <w:rPr>
                            <w:sz w:val="12"/>
                          </w:rPr>
                        </w:pPr>
                        <w:r>
                          <w:rPr>
                            <w:w w:val="125"/>
                            <w:sz w:val="12"/>
                          </w:rPr>
                          <w:t>15</w:t>
                        </w:r>
                      </w:p>
                    </w:tc>
                    <w:tc>
                      <w:tcPr>
                        <w:tcW w:w="936" w:type="dxa"/>
                      </w:tcPr>
                      <w:p>
                        <w:pPr>
                          <w:pStyle w:val="TableParagraph"/>
                          <w:spacing w:before="4"/>
                          <w:rPr>
                            <w:rFonts w:ascii="Times New Roman"/>
                            <w:sz w:val="16"/>
                          </w:rPr>
                        </w:pPr>
                      </w:p>
                      <w:p>
                        <w:pPr>
                          <w:pStyle w:val="TableParagraph"/>
                          <w:spacing w:line="134" w:lineRule="exact"/>
                          <w:ind w:right="199"/>
                          <w:jc w:val="right"/>
                          <w:rPr>
                            <w:sz w:val="12"/>
                          </w:rPr>
                        </w:pPr>
                        <w:r>
                          <w:rPr>
                            <w:w w:val="110"/>
                            <w:sz w:val="12"/>
                          </w:rPr>
                          <w:t>Barbed</w:t>
                        </w:r>
                      </w:p>
                    </w:tc>
                    <w:tc>
                      <w:tcPr>
                        <w:tcW w:w="1110" w:type="dxa"/>
                      </w:tcPr>
                      <w:p>
                        <w:pPr>
                          <w:pStyle w:val="TableParagraph"/>
                          <w:spacing w:before="4"/>
                          <w:rPr>
                            <w:rFonts w:ascii="Times New Roman"/>
                            <w:sz w:val="16"/>
                          </w:rPr>
                        </w:pPr>
                      </w:p>
                      <w:p>
                        <w:pPr>
                          <w:pStyle w:val="TableParagraph"/>
                          <w:spacing w:line="134" w:lineRule="exact"/>
                          <w:ind w:left="199"/>
                          <w:rPr>
                            <w:sz w:val="12"/>
                          </w:rPr>
                        </w:pPr>
                        <w:r>
                          <w:rPr>
                            <w:w w:val="110"/>
                            <w:sz w:val="12"/>
                          </w:rPr>
                          <w:t>Traditional</w:t>
                        </w:r>
                      </w:p>
                    </w:tc>
                    <w:tc>
                      <w:tcPr>
                        <w:tcW w:w="1313" w:type="dxa"/>
                      </w:tcPr>
                      <w:p>
                        <w:pPr>
                          <w:pStyle w:val="TableParagraph"/>
                          <w:spacing w:before="4"/>
                          <w:rPr>
                            <w:rFonts w:ascii="Times New Roman"/>
                            <w:sz w:val="16"/>
                          </w:rPr>
                        </w:pPr>
                      </w:p>
                      <w:p>
                        <w:pPr>
                          <w:pStyle w:val="TableParagraph"/>
                          <w:spacing w:line="134" w:lineRule="exact"/>
                          <w:ind w:left="246"/>
                          <w:rPr>
                            <w:sz w:val="12"/>
                          </w:rPr>
                        </w:pPr>
                        <w:r>
                          <w:rPr>
                            <w:w w:val="110"/>
                            <w:sz w:val="12"/>
                          </w:rPr>
                          <w:t>Traditional</w:t>
                        </w:r>
                      </w:p>
                    </w:tc>
                    <w:tc>
                      <w:tcPr>
                        <w:tcW w:w="1131" w:type="dxa"/>
                      </w:tcPr>
                      <w:p>
                        <w:pPr>
                          <w:pStyle w:val="TableParagraph"/>
                          <w:spacing w:before="16"/>
                          <w:ind w:left="30"/>
                          <w:rPr>
                            <w:sz w:val="12"/>
                          </w:rPr>
                        </w:pPr>
                        <w:r>
                          <w:rPr>
                            <w:w w:val="110"/>
                            <w:sz w:val="12"/>
                          </w:rPr>
                          <w:t>sutures </w:t>
                        </w:r>
                        <w:r>
                          <w:rPr>
                            <w:rFonts w:ascii="Lucida Sans"/>
                            <w:w w:val="110"/>
                            <w:sz w:val="12"/>
                          </w:rPr>
                          <w:t>&amp; </w:t>
                        </w:r>
                        <w:r>
                          <w:rPr>
                            <w:w w:val="110"/>
                            <w:sz w:val="12"/>
                          </w:rPr>
                          <w:t>TSA</w:t>
                        </w:r>
                      </w:p>
                      <w:p>
                        <w:pPr>
                          <w:pStyle w:val="TableParagraph"/>
                          <w:spacing w:line="134" w:lineRule="exact" w:before="22"/>
                          <w:ind w:left="30"/>
                          <w:rPr>
                            <w:sz w:val="12"/>
                          </w:rPr>
                        </w:pPr>
                        <w:r>
                          <w:rPr>
                            <w:w w:val="110"/>
                            <w:sz w:val="12"/>
                          </w:rPr>
                          <w:t>Traditional</w:t>
                        </w:r>
                      </w:p>
                    </w:tc>
                    <w:tc>
                      <w:tcPr>
                        <w:tcW w:w="501" w:type="dxa"/>
                      </w:tcPr>
                      <w:p>
                        <w:pPr>
                          <w:pStyle w:val="TableParagraph"/>
                          <w:spacing w:before="4"/>
                          <w:rPr>
                            <w:rFonts w:ascii="Times New Roman"/>
                            <w:sz w:val="16"/>
                          </w:rPr>
                        </w:pPr>
                      </w:p>
                      <w:p>
                        <w:pPr>
                          <w:pStyle w:val="TableParagraph"/>
                          <w:spacing w:line="134" w:lineRule="exact"/>
                          <w:ind w:left="119"/>
                          <w:rPr>
                            <w:sz w:val="12"/>
                          </w:rPr>
                        </w:pPr>
                        <w:r>
                          <w:rPr>
                            <w:w w:val="126"/>
                            <w:sz w:val="12"/>
                          </w:rPr>
                          <w:t>3</w:t>
                        </w:r>
                      </w:p>
                    </w:tc>
                    <w:tc>
                      <w:tcPr>
                        <w:tcW w:w="760" w:type="dxa"/>
                      </w:tcPr>
                      <w:p>
                        <w:pPr>
                          <w:pStyle w:val="TableParagraph"/>
                          <w:spacing w:before="4"/>
                          <w:rPr>
                            <w:rFonts w:ascii="Times New Roman"/>
                            <w:sz w:val="16"/>
                          </w:rPr>
                        </w:pPr>
                      </w:p>
                      <w:p>
                        <w:pPr>
                          <w:pStyle w:val="TableParagraph"/>
                          <w:spacing w:line="134" w:lineRule="exact"/>
                          <w:ind w:right="236"/>
                          <w:jc w:val="right"/>
                          <w:rPr>
                            <w:sz w:val="12"/>
                          </w:rPr>
                        </w:pPr>
                        <w:r>
                          <w:rPr>
                            <w:w w:val="125"/>
                            <w:sz w:val="12"/>
                          </w:rPr>
                          <w:t>99</w:t>
                        </w:r>
                      </w:p>
                    </w:tc>
                    <w:tc>
                      <w:tcPr>
                        <w:tcW w:w="990" w:type="dxa"/>
                      </w:tcPr>
                      <w:p>
                        <w:pPr>
                          <w:pStyle w:val="TableParagraph"/>
                          <w:spacing w:before="4"/>
                          <w:rPr>
                            <w:rFonts w:ascii="Times New Roman"/>
                            <w:sz w:val="16"/>
                          </w:rPr>
                        </w:pPr>
                      </w:p>
                      <w:p>
                        <w:pPr>
                          <w:pStyle w:val="TableParagraph"/>
                          <w:spacing w:line="134" w:lineRule="exact"/>
                          <w:ind w:left="224"/>
                          <w:rPr>
                            <w:sz w:val="12"/>
                          </w:rPr>
                        </w:pPr>
                        <w:r>
                          <w:rPr>
                            <w:w w:val="110"/>
                            <w:sz w:val="12"/>
                          </w:rPr>
                          <w:t>0.0% to 0.0%</w:t>
                        </w:r>
                      </w:p>
                    </w:tc>
                    <w:tc>
                      <w:tcPr>
                        <w:tcW w:w="945" w:type="dxa"/>
                      </w:tcPr>
                      <w:p>
                        <w:pPr>
                          <w:pStyle w:val="TableParagraph"/>
                          <w:spacing w:before="4"/>
                          <w:rPr>
                            <w:rFonts w:ascii="Times New Roman"/>
                            <w:sz w:val="16"/>
                          </w:rPr>
                        </w:pPr>
                      </w:p>
                      <w:p>
                        <w:pPr>
                          <w:pStyle w:val="TableParagraph"/>
                          <w:spacing w:line="134" w:lineRule="exact"/>
                          <w:ind w:left="103"/>
                          <w:rPr>
                            <w:sz w:val="12"/>
                          </w:rPr>
                        </w:pPr>
                        <w:r>
                          <w:rPr>
                            <w:w w:val="110"/>
                            <w:sz w:val="12"/>
                          </w:rPr>
                          <w:t>0.0% to 26.0%</w:t>
                        </w:r>
                      </w:p>
                    </w:tc>
                    <w:tc>
                      <w:tcPr>
                        <w:tcW w:w="982" w:type="dxa"/>
                      </w:tcPr>
                      <w:p>
                        <w:pPr>
                          <w:pStyle w:val="TableParagraph"/>
                          <w:spacing w:before="4"/>
                          <w:rPr>
                            <w:rFonts w:ascii="Times New Roman"/>
                            <w:sz w:val="16"/>
                          </w:rPr>
                        </w:pPr>
                      </w:p>
                      <w:p>
                        <w:pPr>
                          <w:pStyle w:val="TableParagraph"/>
                          <w:spacing w:line="134" w:lineRule="exact"/>
                          <w:ind w:left="177"/>
                          <w:rPr>
                            <w:sz w:val="12"/>
                          </w:rPr>
                        </w:pPr>
                        <w:r>
                          <w:rPr>
                            <w:w w:val="105"/>
                            <w:sz w:val="12"/>
                          </w:rPr>
                          <w:t>0.0%</w:t>
                        </w:r>
                      </w:p>
                    </w:tc>
                    <w:tc>
                      <w:tcPr>
                        <w:tcW w:w="912" w:type="dxa"/>
                      </w:tcPr>
                      <w:p>
                        <w:pPr>
                          <w:pStyle w:val="TableParagraph"/>
                          <w:spacing w:before="4"/>
                          <w:rPr>
                            <w:rFonts w:ascii="Times New Roman"/>
                            <w:sz w:val="16"/>
                          </w:rPr>
                        </w:pPr>
                      </w:p>
                      <w:p>
                        <w:pPr>
                          <w:pStyle w:val="TableParagraph"/>
                          <w:spacing w:line="134" w:lineRule="exact"/>
                          <w:ind w:right="40"/>
                          <w:jc w:val="right"/>
                          <w:rPr>
                            <w:sz w:val="12"/>
                          </w:rPr>
                        </w:pPr>
                        <w:r>
                          <w:rPr>
                            <w:w w:val="110"/>
                            <w:sz w:val="12"/>
                          </w:rPr>
                          <w:t>0.0% to 5.0%</w:t>
                        </w:r>
                      </w:p>
                    </w:tc>
                  </w:tr>
                  <w:tr>
                    <w:trPr>
                      <w:trHeight w:val="171" w:hRule="atLeast"/>
                    </w:trPr>
                    <w:tc>
                      <w:tcPr>
                        <w:tcW w:w="625" w:type="dxa"/>
                      </w:tcPr>
                      <w:p>
                        <w:pPr>
                          <w:pStyle w:val="TableParagraph"/>
                          <w:rPr>
                            <w:rFonts w:ascii="Times New Roman"/>
                            <w:sz w:val="10"/>
                          </w:rPr>
                        </w:pPr>
                      </w:p>
                    </w:tc>
                    <w:tc>
                      <w:tcPr>
                        <w:tcW w:w="936" w:type="dxa"/>
                      </w:tcPr>
                      <w:p>
                        <w:pPr>
                          <w:pStyle w:val="TableParagraph"/>
                          <w:rPr>
                            <w:rFonts w:ascii="Times New Roman"/>
                            <w:sz w:val="10"/>
                          </w:rPr>
                        </w:pPr>
                      </w:p>
                    </w:tc>
                    <w:tc>
                      <w:tcPr>
                        <w:tcW w:w="1110" w:type="dxa"/>
                      </w:tcPr>
                      <w:p>
                        <w:pPr>
                          <w:pStyle w:val="TableParagraph"/>
                          <w:rPr>
                            <w:rFonts w:ascii="Times New Roman"/>
                            <w:sz w:val="10"/>
                          </w:rPr>
                        </w:pPr>
                      </w:p>
                    </w:tc>
                    <w:tc>
                      <w:tcPr>
                        <w:tcW w:w="1313" w:type="dxa"/>
                      </w:tcPr>
                      <w:p>
                        <w:pPr>
                          <w:pStyle w:val="TableParagraph"/>
                          <w:rPr>
                            <w:rFonts w:ascii="Times New Roman"/>
                            <w:sz w:val="10"/>
                          </w:rPr>
                        </w:pPr>
                      </w:p>
                    </w:tc>
                    <w:tc>
                      <w:tcPr>
                        <w:tcW w:w="1131" w:type="dxa"/>
                      </w:tcPr>
                      <w:p>
                        <w:pPr>
                          <w:pStyle w:val="TableParagraph"/>
                          <w:spacing w:line="135" w:lineRule="exact" w:before="17"/>
                          <w:ind w:left="30"/>
                          <w:rPr>
                            <w:sz w:val="12"/>
                          </w:rPr>
                        </w:pPr>
                        <w:r>
                          <w:rPr>
                            <w:w w:val="115"/>
                            <w:sz w:val="12"/>
                          </w:rPr>
                          <w:t>sutures</w:t>
                        </w:r>
                      </w:p>
                    </w:tc>
                    <w:tc>
                      <w:tcPr>
                        <w:tcW w:w="501" w:type="dxa"/>
                      </w:tcPr>
                      <w:p>
                        <w:pPr>
                          <w:pStyle w:val="TableParagraph"/>
                          <w:rPr>
                            <w:rFonts w:ascii="Times New Roman"/>
                            <w:sz w:val="10"/>
                          </w:rPr>
                        </w:pPr>
                      </w:p>
                    </w:tc>
                    <w:tc>
                      <w:tcPr>
                        <w:tcW w:w="760" w:type="dxa"/>
                      </w:tcPr>
                      <w:p>
                        <w:pPr>
                          <w:pStyle w:val="TableParagraph"/>
                          <w:rPr>
                            <w:rFonts w:ascii="Times New Roman"/>
                            <w:sz w:val="10"/>
                          </w:rPr>
                        </w:pPr>
                      </w:p>
                    </w:tc>
                    <w:tc>
                      <w:tcPr>
                        <w:tcW w:w="990" w:type="dxa"/>
                      </w:tcPr>
                      <w:p>
                        <w:pPr>
                          <w:pStyle w:val="TableParagraph"/>
                          <w:rPr>
                            <w:rFonts w:ascii="Times New Roman"/>
                            <w:sz w:val="10"/>
                          </w:rPr>
                        </w:pPr>
                      </w:p>
                    </w:tc>
                    <w:tc>
                      <w:tcPr>
                        <w:tcW w:w="945" w:type="dxa"/>
                      </w:tcPr>
                      <w:p>
                        <w:pPr>
                          <w:pStyle w:val="TableParagraph"/>
                          <w:rPr>
                            <w:rFonts w:ascii="Times New Roman"/>
                            <w:sz w:val="10"/>
                          </w:rPr>
                        </w:pPr>
                      </w:p>
                    </w:tc>
                    <w:tc>
                      <w:tcPr>
                        <w:tcW w:w="982" w:type="dxa"/>
                      </w:tcPr>
                      <w:p>
                        <w:pPr>
                          <w:pStyle w:val="TableParagraph"/>
                          <w:rPr>
                            <w:rFonts w:ascii="Times New Roman"/>
                            <w:sz w:val="10"/>
                          </w:rPr>
                        </w:pPr>
                      </w:p>
                    </w:tc>
                    <w:tc>
                      <w:tcPr>
                        <w:tcW w:w="912" w:type="dxa"/>
                      </w:tcPr>
                      <w:p>
                        <w:pPr>
                          <w:pStyle w:val="TableParagraph"/>
                          <w:rPr>
                            <w:rFonts w:ascii="Times New Roman"/>
                            <w:sz w:val="10"/>
                          </w:rPr>
                        </w:pPr>
                      </w:p>
                    </w:tc>
                  </w:tr>
                  <w:tr>
                    <w:trPr>
                      <w:trHeight w:val="342" w:hRule="atLeast"/>
                    </w:trPr>
                    <w:tc>
                      <w:tcPr>
                        <w:tcW w:w="625" w:type="dxa"/>
                      </w:tcPr>
                      <w:p>
                        <w:pPr>
                          <w:pStyle w:val="TableParagraph"/>
                          <w:spacing w:before="17"/>
                          <w:ind w:right="343"/>
                          <w:jc w:val="right"/>
                          <w:rPr>
                            <w:sz w:val="12"/>
                          </w:rPr>
                        </w:pPr>
                        <w:r>
                          <w:rPr>
                            <w:w w:val="105"/>
                            <w:sz w:val="12"/>
                          </w:rPr>
                          <w:t>Five</w:t>
                        </w:r>
                      </w:p>
                      <w:p>
                        <w:pPr>
                          <w:pStyle w:val="TableParagraph"/>
                          <w:spacing w:line="134" w:lineRule="exact" w:before="22"/>
                          <w:ind w:right="309"/>
                          <w:jc w:val="right"/>
                          <w:rPr>
                            <w:sz w:val="12"/>
                          </w:rPr>
                        </w:pPr>
                        <w:r>
                          <w:rPr>
                            <w:w w:val="125"/>
                            <w:sz w:val="12"/>
                          </w:rPr>
                          <w:t>16</w:t>
                        </w:r>
                      </w:p>
                    </w:tc>
                    <w:tc>
                      <w:tcPr>
                        <w:tcW w:w="936" w:type="dxa"/>
                      </w:tcPr>
                      <w:p>
                        <w:pPr>
                          <w:pStyle w:val="TableParagraph"/>
                          <w:spacing w:before="4"/>
                          <w:rPr>
                            <w:rFonts w:ascii="Times New Roman"/>
                            <w:sz w:val="16"/>
                          </w:rPr>
                        </w:pPr>
                      </w:p>
                      <w:p>
                        <w:pPr>
                          <w:pStyle w:val="TableParagraph"/>
                          <w:spacing w:line="134" w:lineRule="exact"/>
                          <w:ind w:right="199"/>
                          <w:jc w:val="right"/>
                          <w:rPr>
                            <w:sz w:val="12"/>
                          </w:rPr>
                        </w:pPr>
                        <w:r>
                          <w:rPr>
                            <w:w w:val="110"/>
                            <w:sz w:val="12"/>
                          </w:rPr>
                          <w:t>Barbed</w:t>
                        </w:r>
                      </w:p>
                    </w:tc>
                    <w:tc>
                      <w:tcPr>
                        <w:tcW w:w="1110" w:type="dxa"/>
                      </w:tcPr>
                      <w:p>
                        <w:pPr>
                          <w:pStyle w:val="TableParagraph"/>
                          <w:spacing w:before="4"/>
                          <w:rPr>
                            <w:rFonts w:ascii="Times New Roman"/>
                            <w:sz w:val="16"/>
                          </w:rPr>
                        </w:pPr>
                      </w:p>
                      <w:p>
                        <w:pPr>
                          <w:pStyle w:val="TableParagraph"/>
                          <w:spacing w:line="134" w:lineRule="exact"/>
                          <w:ind w:left="199"/>
                          <w:rPr>
                            <w:sz w:val="12"/>
                          </w:rPr>
                        </w:pPr>
                        <w:r>
                          <w:rPr>
                            <w:w w:val="110"/>
                            <w:sz w:val="12"/>
                          </w:rPr>
                          <w:t>Barbed</w:t>
                        </w:r>
                      </w:p>
                    </w:tc>
                    <w:tc>
                      <w:tcPr>
                        <w:tcW w:w="1313" w:type="dxa"/>
                      </w:tcPr>
                      <w:p>
                        <w:pPr>
                          <w:pStyle w:val="TableParagraph"/>
                          <w:rPr>
                            <w:rFonts w:ascii="Times New Roman"/>
                            <w:sz w:val="12"/>
                          </w:rPr>
                        </w:pPr>
                      </w:p>
                    </w:tc>
                    <w:tc>
                      <w:tcPr>
                        <w:tcW w:w="1131" w:type="dxa"/>
                      </w:tcPr>
                      <w:p>
                        <w:pPr>
                          <w:pStyle w:val="TableParagraph"/>
                          <w:spacing w:before="4"/>
                          <w:rPr>
                            <w:rFonts w:ascii="Times New Roman"/>
                            <w:sz w:val="16"/>
                          </w:rPr>
                        </w:pPr>
                      </w:p>
                      <w:p>
                        <w:pPr>
                          <w:pStyle w:val="TableParagraph"/>
                          <w:spacing w:line="134" w:lineRule="exact"/>
                          <w:ind w:left="30"/>
                          <w:rPr>
                            <w:sz w:val="12"/>
                          </w:rPr>
                        </w:pPr>
                        <w:r>
                          <w:rPr>
                            <w:w w:val="115"/>
                            <w:sz w:val="12"/>
                          </w:rPr>
                          <w:t>Staples</w:t>
                        </w:r>
                      </w:p>
                    </w:tc>
                    <w:tc>
                      <w:tcPr>
                        <w:tcW w:w="501" w:type="dxa"/>
                      </w:tcPr>
                      <w:p>
                        <w:pPr>
                          <w:pStyle w:val="TableParagraph"/>
                          <w:spacing w:before="4"/>
                          <w:rPr>
                            <w:rFonts w:ascii="Times New Roman"/>
                            <w:sz w:val="16"/>
                          </w:rPr>
                        </w:pPr>
                      </w:p>
                      <w:p>
                        <w:pPr>
                          <w:pStyle w:val="TableParagraph"/>
                          <w:spacing w:line="134" w:lineRule="exact"/>
                          <w:ind w:left="119"/>
                          <w:rPr>
                            <w:sz w:val="12"/>
                          </w:rPr>
                        </w:pPr>
                        <w:r>
                          <w:rPr>
                            <w:w w:val="126"/>
                            <w:sz w:val="12"/>
                          </w:rPr>
                          <w:t>2</w:t>
                        </w:r>
                      </w:p>
                    </w:tc>
                    <w:tc>
                      <w:tcPr>
                        <w:tcW w:w="760" w:type="dxa"/>
                      </w:tcPr>
                      <w:p>
                        <w:pPr>
                          <w:pStyle w:val="TableParagraph"/>
                          <w:spacing w:before="4"/>
                          <w:rPr>
                            <w:rFonts w:ascii="Times New Roman"/>
                            <w:sz w:val="16"/>
                          </w:rPr>
                        </w:pPr>
                      </w:p>
                      <w:p>
                        <w:pPr>
                          <w:pStyle w:val="TableParagraph"/>
                          <w:spacing w:line="134" w:lineRule="exact"/>
                          <w:ind w:right="236"/>
                          <w:jc w:val="right"/>
                          <w:rPr>
                            <w:sz w:val="12"/>
                          </w:rPr>
                        </w:pPr>
                        <w:r>
                          <w:rPr>
                            <w:w w:val="125"/>
                            <w:sz w:val="12"/>
                          </w:rPr>
                          <w:t>96</w:t>
                        </w:r>
                      </w:p>
                    </w:tc>
                    <w:tc>
                      <w:tcPr>
                        <w:tcW w:w="990" w:type="dxa"/>
                      </w:tcPr>
                      <w:p>
                        <w:pPr>
                          <w:pStyle w:val="TableParagraph"/>
                          <w:spacing w:before="4"/>
                          <w:rPr>
                            <w:rFonts w:ascii="Times New Roman"/>
                            <w:sz w:val="16"/>
                          </w:rPr>
                        </w:pPr>
                      </w:p>
                      <w:p>
                        <w:pPr>
                          <w:pStyle w:val="TableParagraph"/>
                          <w:spacing w:line="134" w:lineRule="exact"/>
                          <w:ind w:left="224"/>
                          <w:rPr>
                            <w:sz w:val="12"/>
                          </w:rPr>
                        </w:pPr>
                        <w:r>
                          <w:rPr>
                            <w:w w:val="110"/>
                            <w:sz w:val="12"/>
                          </w:rPr>
                          <w:t>0.0% to 0.0%</w:t>
                        </w:r>
                      </w:p>
                    </w:tc>
                    <w:tc>
                      <w:tcPr>
                        <w:tcW w:w="945" w:type="dxa"/>
                      </w:tcPr>
                      <w:p>
                        <w:pPr>
                          <w:pStyle w:val="TableParagraph"/>
                          <w:spacing w:before="4"/>
                          <w:rPr>
                            <w:rFonts w:ascii="Times New Roman"/>
                            <w:sz w:val="16"/>
                          </w:rPr>
                        </w:pPr>
                      </w:p>
                      <w:p>
                        <w:pPr>
                          <w:pStyle w:val="TableParagraph"/>
                          <w:spacing w:line="134" w:lineRule="exact"/>
                          <w:ind w:left="103"/>
                          <w:rPr>
                            <w:sz w:val="12"/>
                          </w:rPr>
                        </w:pPr>
                        <w:r>
                          <w:rPr>
                            <w:w w:val="110"/>
                            <w:sz w:val="12"/>
                          </w:rPr>
                          <w:t>0.0% to 7.5%</w:t>
                        </w:r>
                      </w:p>
                    </w:tc>
                    <w:tc>
                      <w:tcPr>
                        <w:tcW w:w="982" w:type="dxa"/>
                      </w:tcPr>
                      <w:p>
                        <w:pPr>
                          <w:pStyle w:val="TableParagraph"/>
                          <w:spacing w:before="4"/>
                          <w:rPr>
                            <w:rFonts w:ascii="Times New Roman"/>
                            <w:sz w:val="16"/>
                          </w:rPr>
                        </w:pPr>
                      </w:p>
                      <w:p>
                        <w:pPr>
                          <w:pStyle w:val="TableParagraph"/>
                          <w:spacing w:line="134" w:lineRule="exact"/>
                          <w:ind w:left="177"/>
                          <w:rPr>
                            <w:sz w:val="12"/>
                          </w:rPr>
                        </w:pPr>
                        <w:r>
                          <w:rPr>
                            <w:w w:val="110"/>
                            <w:sz w:val="12"/>
                          </w:rPr>
                          <w:t>0.0% to 0.0%</w:t>
                        </w:r>
                      </w:p>
                    </w:tc>
                    <w:tc>
                      <w:tcPr>
                        <w:tcW w:w="912" w:type="dxa"/>
                      </w:tcPr>
                      <w:p>
                        <w:pPr>
                          <w:pStyle w:val="TableParagraph"/>
                          <w:spacing w:before="4"/>
                          <w:rPr>
                            <w:rFonts w:ascii="Times New Roman"/>
                            <w:sz w:val="16"/>
                          </w:rPr>
                        </w:pPr>
                      </w:p>
                      <w:p>
                        <w:pPr>
                          <w:pStyle w:val="TableParagraph"/>
                          <w:spacing w:line="134" w:lineRule="exact"/>
                          <w:ind w:right="40"/>
                          <w:jc w:val="right"/>
                          <w:rPr>
                            <w:sz w:val="12"/>
                          </w:rPr>
                        </w:pPr>
                        <w:r>
                          <w:rPr>
                            <w:w w:val="110"/>
                            <w:sz w:val="12"/>
                          </w:rPr>
                          <w:t>1.8% to 5.0%</w:t>
                        </w:r>
                      </w:p>
                    </w:tc>
                  </w:tr>
                  <w:tr>
                    <w:trPr>
                      <w:trHeight w:val="171" w:hRule="atLeast"/>
                    </w:trPr>
                    <w:tc>
                      <w:tcPr>
                        <w:tcW w:w="625" w:type="dxa"/>
                      </w:tcPr>
                      <w:p>
                        <w:pPr>
                          <w:pStyle w:val="TableParagraph"/>
                          <w:spacing w:line="134" w:lineRule="exact" w:before="17"/>
                          <w:ind w:left="161"/>
                          <w:rPr>
                            <w:sz w:val="12"/>
                          </w:rPr>
                        </w:pPr>
                        <w:r>
                          <w:rPr>
                            <w:w w:val="125"/>
                            <w:sz w:val="12"/>
                          </w:rPr>
                          <w:t>17</w:t>
                        </w:r>
                      </w:p>
                    </w:tc>
                    <w:tc>
                      <w:tcPr>
                        <w:tcW w:w="936" w:type="dxa"/>
                      </w:tcPr>
                      <w:p>
                        <w:pPr>
                          <w:pStyle w:val="TableParagraph"/>
                          <w:spacing w:line="134" w:lineRule="exact" w:before="17"/>
                          <w:ind w:right="199"/>
                          <w:jc w:val="right"/>
                          <w:rPr>
                            <w:sz w:val="12"/>
                          </w:rPr>
                        </w:pPr>
                        <w:r>
                          <w:rPr>
                            <w:w w:val="110"/>
                            <w:sz w:val="12"/>
                          </w:rPr>
                          <w:t>Barbed</w:t>
                        </w:r>
                      </w:p>
                    </w:tc>
                    <w:tc>
                      <w:tcPr>
                        <w:tcW w:w="1110" w:type="dxa"/>
                      </w:tcPr>
                      <w:p>
                        <w:pPr>
                          <w:pStyle w:val="TableParagraph"/>
                          <w:spacing w:line="134" w:lineRule="exact" w:before="17"/>
                          <w:ind w:left="199"/>
                          <w:rPr>
                            <w:sz w:val="12"/>
                          </w:rPr>
                        </w:pPr>
                        <w:r>
                          <w:rPr>
                            <w:w w:val="110"/>
                            <w:sz w:val="12"/>
                          </w:rPr>
                          <w:t>Barbed</w:t>
                        </w:r>
                      </w:p>
                    </w:tc>
                    <w:tc>
                      <w:tcPr>
                        <w:tcW w:w="1313" w:type="dxa"/>
                      </w:tcPr>
                      <w:p>
                        <w:pPr>
                          <w:pStyle w:val="TableParagraph"/>
                          <w:spacing w:line="134" w:lineRule="exact" w:before="17"/>
                          <w:ind w:left="246"/>
                          <w:rPr>
                            <w:sz w:val="12"/>
                          </w:rPr>
                        </w:pPr>
                        <w:r>
                          <w:rPr>
                            <w:w w:val="110"/>
                            <w:sz w:val="12"/>
                          </w:rPr>
                          <w:t>Traditional</w:t>
                        </w:r>
                      </w:p>
                    </w:tc>
                    <w:tc>
                      <w:tcPr>
                        <w:tcW w:w="1131" w:type="dxa"/>
                      </w:tcPr>
                      <w:p>
                        <w:pPr>
                          <w:pStyle w:val="TableParagraph"/>
                          <w:spacing w:line="134" w:lineRule="exact" w:before="17"/>
                          <w:ind w:left="30"/>
                          <w:rPr>
                            <w:sz w:val="12"/>
                          </w:rPr>
                        </w:pPr>
                        <w:r>
                          <w:rPr>
                            <w:w w:val="115"/>
                            <w:sz w:val="12"/>
                          </w:rPr>
                          <w:t>Staples</w:t>
                        </w:r>
                      </w:p>
                    </w:tc>
                    <w:tc>
                      <w:tcPr>
                        <w:tcW w:w="501" w:type="dxa"/>
                      </w:tcPr>
                      <w:p>
                        <w:pPr>
                          <w:pStyle w:val="TableParagraph"/>
                          <w:spacing w:line="134" w:lineRule="exact" w:before="17"/>
                          <w:ind w:left="119"/>
                          <w:rPr>
                            <w:sz w:val="12"/>
                          </w:rPr>
                        </w:pPr>
                        <w:r>
                          <w:rPr>
                            <w:w w:val="126"/>
                            <w:sz w:val="12"/>
                          </w:rPr>
                          <w:t>0</w:t>
                        </w:r>
                      </w:p>
                    </w:tc>
                    <w:tc>
                      <w:tcPr>
                        <w:tcW w:w="760" w:type="dxa"/>
                      </w:tcPr>
                      <w:p>
                        <w:pPr>
                          <w:pStyle w:val="TableParagraph"/>
                          <w:spacing w:line="134" w:lineRule="exact" w:before="17"/>
                          <w:ind w:right="236"/>
                          <w:jc w:val="right"/>
                          <w:rPr>
                            <w:sz w:val="12"/>
                          </w:rPr>
                        </w:pPr>
                        <w:r>
                          <w:rPr>
                            <w:w w:val="126"/>
                            <w:sz w:val="12"/>
                          </w:rPr>
                          <w:t>0</w:t>
                        </w:r>
                      </w:p>
                    </w:tc>
                    <w:tc>
                      <w:tcPr>
                        <w:tcW w:w="990" w:type="dxa"/>
                      </w:tcPr>
                      <w:p>
                        <w:pPr>
                          <w:pStyle w:val="TableParagraph"/>
                          <w:spacing w:line="134" w:lineRule="exact" w:before="17"/>
                          <w:ind w:left="224"/>
                          <w:rPr>
                            <w:sz w:val="12"/>
                          </w:rPr>
                        </w:pPr>
                        <w:r>
                          <w:rPr>
                            <w:sz w:val="12"/>
                          </w:rPr>
                          <w:t>NA</w:t>
                        </w:r>
                      </w:p>
                    </w:tc>
                    <w:tc>
                      <w:tcPr>
                        <w:tcW w:w="945" w:type="dxa"/>
                      </w:tcPr>
                      <w:p>
                        <w:pPr>
                          <w:pStyle w:val="TableParagraph"/>
                          <w:spacing w:line="134" w:lineRule="exact" w:before="17"/>
                          <w:ind w:left="21"/>
                          <w:rPr>
                            <w:sz w:val="12"/>
                          </w:rPr>
                        </w:pPr>
                        <w:r>
                          <w:rPr>
                            <w:sz w:val="12"/>
                          </w:rPr>
                          <w:t>NA</w:t>
                        </w:r>
                      </w:p>
                    </w:tc>
                    <w:tc>
                      <w:tcPr>
                        <w:tcW w:w="982" w:type="dxa"/>
                      </w:tcPr>
                      <w:p>
                        <w:pPr>
                          <w:pStyle w:val="TableParagraph"/>
                          <w:spacing w:line="134" w:lineRule="exact" w:before="17"/>
                          <w:ind w:left="21"/>
                          <w:rPr>
                            <w:sz w:val="12"/>
                          </w:rPr>
                        </w:pPr>
                        <w:r>
                          <w:rPr>
                            <w:sz w:val="12"/>
                          </w:rPr>
                          <w:t>NA</w:t>
                        </w:r>
                      </w:p>
                    </w:tc>
                    <w:tc>
                      <w:tcPr>
                        <w:tcW w:w="912" w:type="dxa"/>
                      </w:tcPr>
                      <w:p>
                        <w:pPr>
                          <w:pStyle w:val="TableParagraph"/>
                          <w:spacing w:line="134" w:lineRule="exact" w:before="17"/>
                          <w:ind w:left="58"/>
                          <w:rPr>
                            <w:sz w:val="12"/>
                          </w:rPr>
                        </w:pPr>
                        <w:r>
                          <w:rPr>
                            <w:sz w:val="12"/>
                          </w:rPr>
                          <w:t>NA</w:t>
                        </w:r>
                      </w:p>
                    </w:tc>
                  </w:tr>
                  <w:tr>
                    <w:trPr>
                      <w:trHeight w:val="171" w:hRule="atLeast"/>
                    </w:trPr>
                    <w:tc>
                      <w:tcPr>
                        <w:tcW w:w="625" w:type="dxa"/>
                      </w:tcPr>
                      <w:p>
                        <w:pPr>
                          <w:pStyle w:val="TableParagraph"/>
                          <w:spacing w:line="134" w:lineRule="exact" w:before="17"/>
                          <w:ind w:left="161"/>
                          <w:rPr>
                            <w:sz w:val="12"/>
                          </w:rPr>
                        </w:pPr>
                        <w:r>
                          <w:rPr>
                            <w:w w:val="125"/>
                            <w:sz w:val="12"/>
                          </w:rPr>
                          <w:t>18</w:t>
                        </w:r>
                      </w:p>
                    </w:tc>
                    <w:tc>
                      <w:tcPr>
                        <w:tcW w:w="936" w:type="dxa"/>
                      </w:tcPr>
                      <w:p>
                        <w:pPr>
                          <w:pStyle w:val="TableParagraph"/>
                          <w:spacing w:line="134" w:lineRule="exact" w:before="17"/>
                          <w:ind w:right="199"/>
                          <w:jc w:val="right"/>
                          <w:rPr>
                            <w:sz w:val="12"/>
                          </w:rPr>
                        </w:pPr>
                        <w:r>
                          <w:rPr>
                            <w:w w:val="110"/>
                            <w:sz w:val="12"/>
                          </w:rPr>
                          <w:t>Barbed</w:t>
                        </w:r>
                      </w:p>
                    </w:tc>
                    <w:tc>
                      <w:tcPr>
                        <w:tcW w:w="1110" w:type="dxa"/>
                      </w:tcPr>
                      <w:p>
                        <w:pPr>
                          <w:pStyle w:val="TableParagraph"/>
                          <w:spacing w:line="134" w:lineRule="exact" w:before="17"/>
                          <w:ind w:left="199"/>
                          <w:rPr>
                            <w:sz w:val="12"/>
                          </w:rPr>
                        </w:pPr>
                        <w:r>
                          <w:rPr>
                            <w:w w:val="110"/>
                            <w:sz w:val="12"/>
                          </w:rPr>
                          <w:t>Barbed</w:t>
                        </w:r>
                      </w:p>
                    </w:tc>
                    <w:tc>
                      <w:tcPr>
                        <w:tcW w:w="1313" w:type="dxa"/>
                      </w:tcPr>
                      <w:p>
                        <w:pPr>
                          <w:pStyle w:val="TableParagraph"/>
                          <w:spacing w:line="134" w:lineRule="exact" w:before="17"/>
                          <w:ind w:left="246"/>
                          <w:rPr>
                            <w:sz w:val="12"/>
                          </w:rPr>
                        </w:pPr>
                        <w:r>
                          <w:rPr>
                            <w:w w:val="110"/>
                            <w:sz w:val="12"/>
                          </w:rPr>
                          <w:t>Barbed</w:t>
                        </w:r>
                      </w:p>
                    </w:tc>
                    <w:tc>
                      <w:tcPr>
                        <w:tcW w:w="1131" w:type="dxa"/>
                      </w:tcPr>
                      <w:p>
                        <w:pPr>
                          <w:pStyle w:val="TableParagraph"/>
                          <w:spacing w:line="134" w:lineRule="exact" w:before="17"/>
                          <w:ind w:left="30"/>
                          <w:rPr>
                            <w:sz w:val="12"/>
                          </w:rPr>
                        </w:pPr>
                        <w:r>
                          <w:rPr>
                            <w:sz w:val="12"/>
                          </w:rPr>
                          <w:t>TSA</w:t>
                        </w:r>
                      </w:p>
                    </w:tc>
                    <w:tc>
                      <w:tcPr>
                        <w:tcW w:w="501" w:type="dxa"/>
                      </w:tcPr>
                      <w:p>
                        <w:pPr>
                          <w:pStyle w:val="TableParagraph"/>
                          <w:spacing w:line="134" w:lineRule="exact" w:before="17"/>
                          <w:ind w:left="119"/>
                          <w:rPr>
                            <w:sz w:val="12"/>
                          </w:rPr>
                        </w:pPr>
                        <w:r>
                          <w:rPr>
                            <w:w w:val="126"/>
                            <w:sz w:val="12"/>
                          </w:rPr>
                          <w:t>0</w:t>
                        </w:r>
                      </w:p>
                    </w:tc>
                    <w:tc>
                      <w:tcPr>
                        <w:tcW w:w="760" w:type="dxa"/>
                      </w:tcPr>
                      <w:p>
                        <w:pPr>
                          <w:pStyle w:val="TableParagraph"/>
                          <w:spacing w:line="134" w:lineRule="exact" w:before="17"/>
                          <w:ind w:right="236"/>
                          <w:jc w:val="right"/>
                          <w:rPr>
                            <w:sz w:val="12"/>
                          </w:rPr>
                        </w:pPr>
                        <w:r>
                          <w:rPr>
                            <w:w w:val="126"/>
                            <w:sz w:val="12"/>
                          </w:rPr>
                          <w:t>0</w:t>
                        </w:r>
                      </w:p>
                    </w:tc>
                    <w:tc>
                      <w:tcPr>
                        <w:tcW w:w="990" w:type="dxa"/>
                      </w:tcPr>
                      <w:p>
                        <w:pPr>
                          <w:pStyle w:val="TableParagraph"/>
                          <w:spacing w:line="134" w:lineRule="exact" w:before="17"/>
                          <w:ind w:left="224"/>
                          <w:rPr>
                            <w:sz w:val="12"/>
                          </w:rPr>
                        </w:pPr>
                        <w:r>
                          <w:rPr>
                            <w:sz w:val="12"/>
                          </w:rPr>
                          <w:t>NA</w:t>
                        </w:r>
                      </w:p>
                    </w:tc>
                    <w:tc>
                      <w:tcPr>
                        <w:tcW w:w="945" w:type="dxa"/>
                      </w:tcPr>
                      <w:p>
                        <w:pPr>
                          <w:pStyle w:val="TableParagraph"/>
                          <w:spacing w:line="134" w:lineRule="exact" w:before="17"/>
                          <w:ind w:left="21"/>
                          <w:rPr>
                            <w:sz w:val="12"/>
                          </w:rPr>
                        </w:pPr>
                        <w:r>
                          <w:rPr>
                            <w:sz w:val="12"/>
                          </w:rPr>
                          <w:t>NA</w:t>
                        </w:r>
                      </w:p>
                    </w:tc>
                    <w:tc>
                      <w:tcPr>
                        <w:tcW w:w="982" w:type="dxa"/>
                      </w:tcPr>
                      <w:p>
                        <w:pPr>
                          <w:pStyle w:val="TableParagraph"/>
                          <w:spacing w:line="134" w:lineRule="exact" w:before="17"/>
                          <w:ind w:left="21"/>
                          <w:rPr>
                            <w:sz w:val="12"/>
                          </w:rPr>
                        </w:pPr>
                        <w:r>
                          <w:rPr>
                            <w:sz w:val="12"/>
                          </w:rPr>
                          <w:t>NA</w:t>
                        </w:r>
                      </w:p>
                    </w:tc>
                    <w:tc>
                      <w:tcPr>
                        <w:tcW w:w="912" w:type="dxa"/>
                      </w:tcPr>
                      <w:p>
                        <w:pPr>
                          <w:pStyle w:val="TableParagraph"/>
                          <w:spacing w:line="134" w:lineRule="exact" w:before="17"/>
                          <w:ind w:left="58"/>
                          <w:rPr>
                            <w:sz w:val="12"/>
                          </w:rPr>
                        </w:pPr>
                        <w:r>
                          <w:rPr>
                            <w:sz w:val="12"/>
                          </w:rPr>
                          <w:t>NA</w:t>
                        </w:r>
                      </w:p>
                    </w:tc>
                  </w:tr>
                  <w:tr>
                    <w:trPr>
                      <w:trHeight w:val="171" w:hRule="atLeast"/>
                    </w:trPr>
                    <w:tc>
                      <w:tcPr>
                        <w:tcW w:w="625" w:type="dxa"/>
                      </w:tcPr>
                      <w:p>
                        <w:pPr>
                          <w:pStyle w:val="TableParagraph"/>
                          <w:spacing w:line="134" w:lineRule="exact" w:before="17"/>
                          <w:ind w:left="161"/>
                          <w:rPr>
                            <w:sz w:val="12"/>
                          </w:rPr>
                        </w:pPr>
                        <w:r>
                          <w:rPr>
                            <w:w w:val="125"/>
                            <w:sz w:val="12"/>
                          </w:rPr>
                          <w:t>19</w:t>
                        </w:r>
                      </w:p>
                    </w:tc>
                    <w:tc>
                      <w:tcPr>
                        <w:tcW w:w="936" w:type="dxa"/>
                      </w:tcPr>
                      <w:p>
                        <w:pPr>
                          <w:pStyle w:val="TableParagraph"/>
                          <w:spacing w:line="134" w:lineRule="exact" w:before="17"/>
                          <w:ind w:right="199"/>
                          <w:jc w:val="right"/>
                          <w:rPr>
                            <w:sz w:val="12"/>
                          </w:rPr>
                        </w:pPr>
                        <w:r>
                          <w:rPr>
                            <w:w w:val="110"/>
                            <w:sz w:val="12"/>
                          </w:rPr>
                          <w:t>Barbed</w:t>
                        </w:r>
                      </w:p>
                    </w:tc>
                    <w:tc>
                      <w:tcPr>
                        <w:tcW w:w="1110" w:type="dxa"/>
                      </w:tcPr>
                      <w:p>
                        <w:pPr>
                          <w:pStyle w:val="TableParagraph"/>
                          <w:spacing w:line="134" w:lineRule="exact" w:before="17"/>
                          <w:ind w:left="199"/>
                          <w:rPr>
                            <w:sz w:val="12"/>
                          </w:rPr>
                        </w:pPr>
                        <w:r>
                          <w:rPr>
                            <w:w w:val="110"/>
                            <w:sz w:val="12"/>
                          </w:rPr>
                          <w:t>Barbed</w:t>
                        </w:r>
                      </w:p>
                    </w:tc>
                    <w:tc>
                      <w:tcPr>
                        <w:tcW w:w="1313" w:type="dxa"/>
                      </w:tcPr>
                      <w:p>
                        <w:pPr>
                          <w:pStyle w:val="TableParagraph"/>
                          <w:spacing w:line="134" w:lineRule="exact" w:before="17"/>
                          <w:ind w:left="246"/>
                          <w:rPr>
                            <w:sz w:val="12"/>
                          </w:rPr>
                        </w:pPr>
                        <w:r>
                          <w:rPr>
                            <w:w w:val="110"/>
                            <w:sz w:val="12"/>
                          </w:rPr>
                          <w:t>Traditional</w:t>
                        </w:r>
                      </w:p>
                    </w:tc>
                    <w:tc>
                      <w:tcPr>
                        <w:tcW w:w="1131" w:type="dxa"/>
                      </w:tcPr>
                      <w:p>
                        <w:pPr>
                          <w:pStyle w:val="TableParagraph"/>
                          <w:spacing w:line="135" w:lineRule="exact" w:before="16"/>
                          <w:ind w:left="30"/>
                          <w:rPr>
                            <w:sz w:val="12"/>
                          </w:rPr>
                        </w:pPr>
                        <w:r>
                          <w:rPr>
                            <w:w w:val="110"/>
                            <w:sz w:val="12"/>
                          </w:rPr>
                          <w:t>Staples </w:t>
                        </w:r>
                        <w:r>
                          <w:rPr>
                            <w:rFonts w:ascii="Lucida Sans"/>
                            <w:w w:val="110"/>
                            <w:sz w:val="12"/>
                          </w:rPr>
                          <w:t>&amp; </w:t>
                        </w:r>
                        <w:r>
                          <w:rPr>
                            <w:w w:val="110"/>
                            <w:sz w:val="12"/>
                          </w:rPr>
                          <w:t>TSA</w:t>
                        </w:r>
                      </w:p>
                    </w:tc>
                    <w:tc>
                      <w:tcPr>
                        <w:tcW w:w="501" w:type="dxa"/>
                      </w:tcPr>
                      <w:p>
                        <w:pPr>
                          <w:pStyle w:val="TableParagraph"/>
                          <w:spacing w:line="134" w:lineRule="exact" w:before="17"/>
                          <w:ind w:left="119"/>
                          <w:rPr>
                            <w:sz w:val="12"/>
                          </w:rPr>
                        </w:pPr>
                        <w:r>
                          <w:rPr>
                            <w:w w:val="126"/>
                            <w:sz w:val="12"/>
                          </w:rPr>
                          <w:t>1</w:t>
                        </w:r>
                      </w:p>
                    </w:tc>
                    <w:tc>
                      <w:tcPr>
                        <w:tcW w:w="760" w:type="dxa"/>
                      </w:tcPr>
                      <w:p>
                        <w:pPr>
                          <w:pStyle w:val="TableParagraph"/>
                          <w:spacing w:line="134" w:lineRule="exact" w:before="17"/>
                          <w:ind w:right="236"/>
                          <w:jc w:val="right"/>
                          <w:rPr>
                            <w:sz w:val="12"/>
                          </w:rPr>
                        </w:pPr>
                        <w:r>
                          <w:rPr>
                            <w:w w:val="125"/>
                            <w:sz w:val="12"/>
                          </w:rPr>
                          <w:t>191</w:t>
                        </w:r>
                      </w:p>
                    </w:tc>
                    <w:tc>
                      <w:tcPr>
                        <w:tcW w:w="990" w:type="dxa"/>
                      </w:tcPr>
                      <w:p>
                        <w:pPr>
                          <w:pStyle w:val="TableParagraph"/>
                          <w:spacing w:line="134" w:lineRule="exact" w:before="17"/>
                          <w:ind w:left="224"/>
                          <w:rPr>
                            <w:sz w:val="12"/>
                          </w:rPr>
                        </w:pPr>
                        <w:r>
                          <w:rPr>
                            <w:w w:val="105"/>
                            <w:sz w:val="12"/>
                          </w:rPr>
                          <w:t>0.5%</w:t>
                        </w:r>
                      </w:p>
                    </w:tc>
                    <w:tc>
                      <w:tcPr>
                        <w:tcW w:w="945" w:type="dxa"/>
                      </w:tcPr>
                      <w:p>
                        <w:pPr>
                          <w:pStyle w:val="TableParagraph"/>
                          <w:spacing w:line="134" w:lineRule="exact" w:before="17"/>
                          <w:ind w:left="103"/>
                          <w:rPr>
                            <w:sz w:val="12"/>
                          </w:rPr>
                        </w:pPr>
                        <w:r>
                          <w:rPr>
                            <w:w w:val="105"/>
                            <w:sz w:val="12"/>
                          </w:rPr>
                          <w:t>3.1%</w:t>
                        </w:r>
                      </w:p>
                    </w:tc>
                    <w:tc>
                      <w:tcPr>
                        <w:tcW w:w="982" w:type="dxa"/>
                      </w:tcPr>
                      <w:p>
                        <w:pPr>
                          <w:pStyle w:val="TableParagraph"/>
                          <w:spacing w:line="134" w:lineRule="exact" w:before="17"/>
                          <w:ind w:left="21"/>
                          <w:rPr>
                            <w:sz w:val="12"/>
                          </w:rPr>
                        </w:pPr>
                        <w:r>
                          <w:rPr>
                            <w:sz w:val="12"/>
                          </w:rPr>
                          <w:t>NR</w:t>
                        </w:r>
                      </w:p>
                    </w:tc>
                    <w:tc>
                      <w:tcPr>
                        <w:tcW w:w="912" w:type="dxa"/>
                      </w:tcPr>
                      <w:p>
                        <w:pPr>
                          <w:pStyle w:val="TableParagraph"/>
                          <w:spacing w:line="134" w:lineRule="exact" w:before="17"/>
                          <w:ind w:left="58"/>
                          <w:rPr>
                            <w:sz w:val="12"/>
                          </w:rPr>
                        </w:pPr>
                        <w:r>
                          <w:rPr>
                            <w:sz w:val="12"/>
                          </w:rPr>
                          <w:t>NR</w:t>
                        </w:r>
                      </w:p>
                    </w:tc>
                  </w:tr>
                  <w:tr>
                    <w:trPr>
                      <w:trHeight w:val="171" w:hRule="atLeast"/>
                    </w:trPr>
                    <w:tc>
                      <w:tcPr>
                        <w:tcW w:w="625" w:type="dxa"/>
                      </w:tcPr>
                      <w:p>
                        <w:pPr>
                          <w:pStyle w:val="TableParagraph"/>
                          <w:spacing w:line="134" w:lineRule="exact" w:before="17"/>
                          <w:ind w:left="161"/>
                          <w:rPr>
                            <w:sz w:val="12"/>
                          </w:rPr>
                        </w:pPr>
                        <w:r>
                          <w:rPr>
                            <w:w w:val="125"/>
                            <w:sz w:val="12"/>
                          </w:rPr>
                          <w:t>20</w:t>
                        </w:r>
                      </w:p>
                    </w:tc>
                    <w:tc>
                      <w:tcPr>
                        <w:tcW w:w="936" w:type="dxa"/>
                      </w:tcPr>
                      <w:p>
                        <w:pPr>
                          <w:pStyle w:val="TableParagraph"/>
                          <w:spacing w:line="134" w:lineRule="exact" w:before="17"/>
                          <w:ind w:right="199"/>
                          <w:jc w:val="right"/>
                          <w:rPr>
                            <w:sz w:val="12"/>
                          </w:rPr>
                        </w:pPr>
                        <w:r>
                          <w:rPr>
                            <w:w w:val="110"/>
                            <w:sz w:val="12"/>
                          </w:rPr>
                          <w:t>Barbed</w:t>
                        </w:r>
                      </w:p>
                    </w:tc>
                    <w:tc>
                      <w:tcPr>
                        <w:tcW w:w="1110" w:type="dxa"/>
                      </w:tcPr>
                      <w:p>
                        <w:pPr>
                          <w:pStyle w:val="TableParagraph"/>
                          <w:spacing w:line="134" w:lineRule="exact" w:before="17"/>
                          <w:ind w:left="199"/>
                          <w:rPr>
                            <w:sz w:val="12"/>
                          </w:rPr>
                        </w:pPr>
                        <w:r>
                          <w:rPr>
                            <w:w w:val="110"/>
                            <w:sz w:val="12"/>
                          </w:rPr>
                          <w:t>Barbed</w:t>
                        </w:r>
                      </w:p>
                    </w:tc>
                    <w:tc>
                      <w:tcPr>
                        <w:tcW w:w="1313" w:type="dxa"/>
                      </w:tcPr>
                      <w:p>
                        <w:pPr>
                          <w:pStyle w:val="TableParagraph"/>
                          <w:spacing w:line="134" w:lineRule="exact" w:before="17"/>
                          <w:ind w:left="246"/>
                          <w:rPr>
                            <w:sz w:val="12"/>
                          </w:rPr>
                        </w:pPr>
                        <w:r>
                          <w:rPr>
                            <w:w w:val="110"/>
                            <w:sz w:val="12"/>
                          </w:rPr>
                          <w:t>Barbed</w:t>
                        </w:r>
                      </w:p>
                    </w:tc>
                    <w:tc>
                      <w:tcPr>
                        <w:tcW w:w="1131" w:type="dxa"/>
                      </w:tcPr>
                      <w:p>
                        <w:pPr>
                          <w:pStyle w:val="TableParagraph"/>
                          <w:rPr>
                            <w:rFonts w:ascii="Times New Roman"/>
                            <w:sz w:val="10"/>
                          </w:rPr>
                        </w:pPr>
                      </w:p>
                    </w:tc>
                    <w:tc>
                      <w:tcPr>
                        <w:tcW w:w="501" w:type="dxa"/>
                      </w:tcPr>
                      <w:p>
                        <w:pPr>
                          <w:pStyle w:val="TableParagraph"/>
                          <w:spacing w:line="134" w:lineRule="exact" w:before="17"/>
                          <w:ind w:left="119"/>
                          <w:rPr>
                            <w:sz w:val="12"/>
                          </w:rPr>
                        </w:pPr>
                        <w:r>
                          <w:rPr>
                            <w:w w:val="126"/>
                            <w:sz w:val="12"/>
                          </w:rPr>
                          <w:t>1</w:t>
                        </w:r>
                      </w:p>
                    </w:tc>
                    <w:tc>
                      <w:tcPr>
                        <w:tcW w:w="760" w:type="dxa"/>
                      </w:tcPr>
                      <w:p>
                        <w:pPr>
                          <w:pStyle w:val="TableParagraph"/>
                          <w:spacing w:line="134" w:lineRule="exact" w:before="17"/>
                          <w:ind w:right="236"/>
                          <w:jc w:val="right"/>
                          <w:rPr>
                            <w:sz w:val="12"/>
                          </w:rPr>
                        </w:pPr>
                        <w:r>
                          <w:rPr>
                            <w:w w:val="125"/>
                            <w:sz w:val="12"/>
                          </w:rPr>
                          <w:t>30</w:t>
                        </w:r>
                      </w:p>
                    </w:tc>
                    <w:tc>
                      <w:tcPr>
                        <w:tcW w:w="990" w:type="dxa"/>
                      </w:tcPr>
                      <w:p>
                        <w:pPr>
                          <w:pStyle w:val="TableParagraph"/>
                          <w:spacing w:line="134" w:lineRule="exact" w:before="17"/>
                          <w:ind w:left="224"/>
                          <w:rPr>
                            <w:sz w:val="12"/>
                          </w:rPr>
                        </w:pPr>
                        <w:r>
                          <w:rPr>
                            <w:w w:val="105"/>
                            <w:sz w:val="12"/>
                          </w:rPr>
                          <w:t>0.0%</w:t>
                        </w:r>
                      </w:p>
                    </w:tc>
                    <w:tc>
                      <w:tcPr>
                        <w:tcW w:w="945" w:type="dxa"/>
                      </w:tcPr>
                      <w:p>
                        <w:pPr>
                          <w:pStyle w:val="TableParagraph"/>
                          <w:spacing w:line="134" w:lineRule="exact" w:before="17"/>
                          <w:ind w:left="103"/>
                          <w:rPr>
                            <w:sz w:val="12"/>
                          </w:rPr>
                        </w:pPr>
                        <w:r>
                          <w:rPr>
                            <w:w w:val="105"/>
                            <w:sz w:val="12"/>
                          </w:rPr>
                          <w:t>0.0%</w:t>
                        </w:r>
                      </w:p>
                    </w:tc>
                    <w:tc>
                      <w:tcPr>
                        <w:tcW w:w="982" w:type="dxa"/>
                      </w:tcPr>
                      <w:p>
                        <w:pPr>
                          <w:pStyle w:val="TableParagraph"/>
                          <w:spacing w:line="134" w:lineRule="exact" w:before="17"/>
                          <w:ind w:left="177"/>
                          <w:rPr>
                            <w:sz w:val="12"/>
                          </w:rPr>
                        </w:pPr>
                        <w:r>
                          <w:rPr>
                            <w:w w:val="105"/>
                            <w:sz w:val="12"/>
                          </w:rPr>
                          <w:t>6.7%</w:t>
                        </w:r>
                      </w:p>
                    </w:tc>
                    <w:tc>
                      <w:tcPr>
                        <w:tcW w:w="912" w:type="dxa"/>
                      </w:tcPr>
                      <w:p>
                        <w:pPr>
                          <w:pStyle w:val="TableParagraph"/>
                          <w:spacing w:line="134" w:lineRule="exact" w:before="17"/>
                          <w:ind w:left="58"/>
                          <w:rPr>
                            <w:sz w:val="12"/>
                          </w:rPr>
                        </w:pPr>
                        <w:r>
                          <w:rPr>
                            <w:sz w:val="12"/>
                          </w:rPr>
                          <w:t>0%</w:t>
                        </w:r>
                      </w:p>
                    </w:tc>
                  </w:tr>
                  <w:tr>
                    <w:trPr>
                      <w:trHeight w:val="163" w:hRule="atLeast"/>
                    </w:trPr>
                    <w:tc>
                      <w:tcPr>
                        <w:tcW w:w="625" w:type="dxa"/>
                      </w:tcPr>
                      <w:p>
                        <w:pPr>
                          <w:pStyle w:val="TableParagraph"/>
                          <w:spacing w:line="127" w:lineRule="exact" w:before="17"/>
                          <w:ind w:left="161"/>
                          <w:rPr>
                            <w:sz w:val="12"/>
                          </w:rPr>
                        </w:pPr>
                        <w:r>
                          <w:rPr>
                            <w:w w:val="125"/>
                            <w:sz w:val="12"/>
                          </w:rPr>
                          <w:t>21</w:t>
                        </w:r>
                      </w:p>
                    </w:tc>
                    <w:tc>
                      <w:tcPr>
                        <w:tcW w:w="936" w:type="dxa"/>
                      </w:tcPr>
                      <w:p>
                        <w:pPr>
                          <w:pStyle w:val="TableParagraph"/>
                          <w:spacing w:line="127" w:lineRule="exact" w:before="17"/>
                          <w:ind w:right="199"/>
                          <w:jc w:val="right"/>
                          <w:rPr>
                            <w:sz w:val="12"/>
                          </w:rPr>
                        </w:pPr>
                        <w:r>
                          <w:rPr>
                            <w:w w:val="110"/>
                            <w:sz w:val="12"/>
                          </w:rPr>
                          <w:t>Barbed</w:t>
                        </w:r>
                      </w:p>
                    </w:tc>
                    <w:tc>
                      <w:tcPr>
                        <w:tcW w:w="1110" w:type="dxa"/>
                      </w:tcPr>
                      <w:p>
                        <w:pPr>
                          <w:pStyle w:val="TableParagraph"/>
                          <w:spacing w:line="127" w:lineRule="exact" w:before="17"/>
                          <w:ind w:left="199"/>
                          <w:rPr>
                            <w:sz w:val="12"/>
                          </w:rPr>
                        </w:pPr>
                        <w:r>
                          <w:rPr>
                            <w:w w:val="110"/>
                            <w:sz w:val="12"/>
                          </w:rPr>
                          <w:t>Barbed</w:t>
                        </w:r>
                      </w:p>
                    </w:tc>
                    <w:tc>
                      <w:tcPr>
                        <w:tcW w:w="1313" w:type="dxa"/>
                      </w:tcPr>
                      <w:p>
                        <w:pPr>
                          <w:pStyle w:val="TableParagraph"/>
                          <w:spacing w:line="127" w:lineRule="exact" w:before="17"/>
                          <w:ind w:left="246"/>
                          <w:rPr>
                            <w:sz w:val="12"/>
                          </w:rPr>
                        </w:pPr>
                        <w:r>
                          <w:rPr>
                            <w:w w:val="110"/>
                            <w:sz w:val="12"/>
                          </w:rPr>
                          <w:t>Barbed</w:t>
                        </w:r>
                      </w:p>
                    </w:tc>
                    <w:tc>
                      <w:tcPr>
                        <w:tcW w:w="1131" w:type="dxa"/>
                      </w:tcPr>
                      <w:p>
                        <w:pPr>
                          <w:pStyle w:val="TableParagraph"/>
                          <w:spacing w:line="127" w:lineRule="exact" w:before="17"/>
                          <w:ind w:left="30"/>
                          <w:rPr>
                            <w:sz w:val="12"/>
                          </w:rPr>
                        </w:pPr>
                        <w:r>
                          <w:rPr>
                            <w:w w:val="115"/>
                            <w:sz w:val="12"/>
                          </w:rPr>
                          <w:t>Barbed Sutures</w:t>
                        </w:r>
                      </w:p>
                    </w:tc>
                    <w:tc>
                      <w:tcPr>
                        <w:tcW w:w="501" w:type="dxa"/>
                      </w:tcPr>
                      <w:p>
                        <w:pPr>
                          <w:pStyle w:val="TableParagraph"/>
                          <w:spacing w:line="127" w:lineRule="exact" w:before="17"/>
                          <w:ind w:left="119"/>
                          <w:rPr>
                            <w:sz w:val="12"/>
                          </w:rPr>
                        </w:pPr>
                        <w:r>
                          <w:rPr>
                            <w:w w:val="126"/>
                            <w:sz w:val="12"/>
                          </w:rPr>
                          <w:t>1</w:t>
                        </w:r>
                      </w:p>
                    </w:tc>
                    <w:tc>
                      <w:tcPr>
                        <w:tcW w:w="760" w:type="dxa"/>
                      </w:tcPr>
                      <w:p>
                        <w:pPr>
                          <w:pStyle w:val="TableParagraph"/>
                          <w:spacing w:line="127" w:lineRule="exact" w:before="17"/>
                          <w:ind w:right="236"/>
                          <w:jc w:val="right"/>
                          <w:rPr>
                            <w:sz w:val="12"/>
                          </w:rPr>
                        </w:pPr>
                        <w:r>
                          <w:rPr>
                            <w:w w:val="125"/>
                            <w:sz w:val="12"/>
                          </w:rPr>
                          <w:t>193</w:t>
                        </w:r>
                      </w:p>
                    </w:tc>
                    <w:tc>
                      <w:tcPr>
                        <w:tcW w:w="990" w:type="dxa"/>
                      </w:tcPr>
                      <w:p>
                        <w:pPr>
                          <w:pStyle w:val="TableParagraph"/>
                          <w:spacing w:line="127" w:lineRule="exact" w:before="17"/>
                          <w:ind w:left="224"/>
                          <w:rPr>
                            <w:sz w:val="12"/>
                          </w:rPr>
                        </w:pPr>
                        <w:r>
                          <w:rPr>
                            <w:w w:val="105"/>
                            <w:sz w:val="12"/>
                          </w:rPr>
                          <w:t>2.1%</w:t>
                        </w:r>
                      </w:p>
                    </w:tc>
                    <w:tc>
                      <w:tcPr>
                        <w:tcW w:w="945" w:type="dxa"/>
                      </w:tcPr>
                      <w:p>
                        <w:pPr>
                          <w:pStyle w:val="TableParagraph"/>
                          <w:spacing w:line="127" w:lineRule="exact" w:before="17"/>
                          <w:ind w:left="103"/>
                          <w:rPr>
                            <w:sz w:val="12"/>
                          </w:rPr>
                        </w:pPr>
                        <w:r>
                          <w:rPr>
                            <w:w w:val="105"/>
                            <w:sz w:val="12"/>
                          </w:rPr>
                          <w:t>9.8%</w:t>
                        </w:r>
                      </w:p>
                    </w:tc>
                    <w:tc>
                      <w:tcPr>
                        <w:tcW w:w="982" w:type="dxa"/>
                      </w:tcPr>
                      <w:p>
                        <w:pPr>
                          <w:pStyle w:val="TableParagraph"/>
                          <w:spacing w:line="127" w:lineRule="exact" w:before="17"/>
                          <w:ind w:left="21"/>
                          <w:rPr>
                            <w:sz w:val="12"/>
                          </w:rPr>
                        </w:pPr>
                        <w:r>
                          <w:rPr>
                            <w:sz w:val="12"/>
                          </w:rPr>
                          <w:t>NR</w:t>
                        </w:r>
                      </w:p>
                    </w:tc>
                    <w:tc>
                      <w:tcPr>
                        <w:tcW w:w="912" w:type="dxa"/>
                      </w:tcPr>
                      <w:p>
                        <w:pPr>
                          <w:pStyle w:val="TableParagraph"/>
                          <w:spacing w:line="127" w:lineRule="exact" w:before="17"/>
                          <w:ind w:left="58"/>
                          <w:rPr>
                            <w:sz w:val="12"/>
                          </w:rPr>
                        </w:pPr>
                        <w:r>
                          <w:rPr>
                            <w:sz w:val="12"/>
                          </w:rPr>
                          <w:t>NR</w:t>
                        </w:r>
                      </w:p>
                    </w:tc>
                  </w:tr>
                </w:tbl>
                <w:p>
                  <w:pPr>
                    <w:pStyle w:val="BodyText"/>
                  </w:pPr>
                </w:p>
              </w:txbxContent>
            </v:textbox>
            <w10:wrap type="none"/>
          </v:shape>
        </w:pict>
      </w:r>
      <w:r>
        <w:rPr>
          <w:w w:val="115"/>
          <w:sz w:val="12"/>
        </w:rPr>
        <w:t>mesh</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5"/>
        </w:rPr>
      </w:pPr>
    </w:p>
    <w:p>
      <w:pPr>
        <w:spacing w:after="0"/>
        <w:rPr>
          <w:sz w:val="25"/>
        </w:rPr>
        <w:sectPr>
          <w:headerReference w:type="default" r:id="rId111"/>
          <w:footerReference w:type="default" r:id="rId112"/>
          <w:pgSz w:w="11910" w:h="15880"/>
          <w:pgMar w:header="0" w:footer="0" w:top="200" w:bottom="0" w:left="740" w:right="540"/>
        </w:sectPr>
      </w:pPr>
    </w:p>
    <w:p>
      <w:pPr>
        <w:spacing w:before="110"/>
        <w:ind w:left="229" w:right="0" w:firstLine="0"/>
        <w:jc w:val="left"/>
        <w:rPr>
          <w:sz w:val="12"/>
        </w:rPr>
      </w:pPr>
      <w:r>
        <w:rPr>
          <w:w w:val="115"/>
          <w:sz w:val="12"/>
        </w:rPr>
        <w:t>Six</w:t>
      </w:r>
    </w:p>
    <w:p>
      <w:pPr>
        <w:tabs>
          <w:tab w:pos="1131" w:val="left" w:leader="none"/>
          <w:tab w:pos="1956" w:val="left" w:leader="none"/>
          <w:tab w:pos="3113" w:val="left" w:leader="none"/>
          <w:tab w:pos="4210" w:val="left" w:leader="none"/>
        </w:tabs>
        <w:spacing w:before="17"/>
        <w:ind w:left="357" w:right="0" w:firstLine="0"/>
        <w:jc w:val="left"/>
        <w:rPr>
          <w:sz w:val="12"/>
        </w:rPr>
      </w:pPr>
      <w:r>
        <w:rPr>
          <w:w w:val="115"/>
          <w:sz w:val="12"/>
        </w:rPr>
        <w:t>22</w:t>
        <w:tab/>
        <w:t>Barbed</w:t>
        <w:tab/>
        <w:t>Barbed</w:t>
        <w:tab/>
        <w:t>Barbed</w:t>
        <w:tab/>
        <w:t>TSA </w:t>
      </w:r>
      <w:r>
        <w:rPr>
          <w:rFonts w:ascii="Century Gothic" w:hAnsi="Century Gothic"/>
          <w:w w:val="115"/>
          <w:sz w:val="12"/>
        </w:rPr>
        <w:t>þ</w:t>
      </w:r>
      <w:r>
        <w:rPr>
          <w:rFonts w:ascii="Century Gothic" w:hAnsi="Century Gothic"/>
          <w:spacing w:val="-13"/>
          <w:w w:val="115"/>
          <w:sz w:val="12"/>
        </w:rPr>
        <w:t> </w:t>
      </w:r>
      <w:r>
        <w:rPr>
          <w:spacing w:val="-3"/>
          <w:w w:val="115"/>
          <w:sz w:val="12"/>
        </w:rPr>
        <w:t>polyester</w:t>
      </w:r>
    </w:p>
    <w:p>
      <w:pPr>
        <w:spacing w:before="23"/>
        <w:ind w:left="0" w:right="641" w:firstLine="0"/>
        <w:jc w:val="right"/>
        <w:rPr>
          <w:sz w:val="12"/>
        </w:rPr>
      </w:pPr>
      <w:r>
        <w:rPr>
          <w:w w:val="115"/>
          <w:sz w:val="12"/>
        </w:rPr>
        <w:t>mesh</w:t>
      </w:r>
    </w:p>
    <w:p>
      <w:pPr>
        <w:pStyle w:val="BodyText"/>
        <w:spacing w:before="8"/>
        <w:rPr>
          <w:sz w:val="22"/>
        </w:rPr>
      </w:pPr>
      <w:r>
        <w:rPr/>
        <w:br w:type="column"/>
      </w:r>
      <w:r>
        <w:rPr>
          <w:sz w:val="22"/>
        </w:rPr>
      </w:r>
    </w:p>
    <w:p>
      <w:pPr>
        <w:tabs>
          <w:tab w:pos="1035" w:val="left" w:leader="none"/>
          <w:tab w:pos="1574" w:val="left" w:leader="none"/>
          <w:tab w:pos="2361" w:val="left" w:leader="none"/>
          <w:tab w:pos="3305" w:val="left" w:leader="none"/>
          <w:tab w:pos="4325" w:val="left" w:leader="none"/>
        </w:tabs>
        <w:spacing w:before="1"/>
        <w:ind w:left="208" w:right="0" w:firstLine="0"/>
        <w:jc w:val="left"/>
        <w:rPr>
          <w:sz w:val="12"/>
        </w:rPr>
      </w:pPr>
      <w:r>
        <w:rPr>
          <w:w w:val="105"/>
          <w:sz w:val="12"/>
        </w:rPr>
        <w:t>0</w:t>
        <w:tab/>
        <w:t>0</w:t>
        <w:tab/>
        <w:t>NA</w:t>
        <w:tab/>
        <w:t>NA</w:t>
        <w:tab/>
        <w:t>NA</w:t>
        <w:tab/>
        <w:t>NA</w:t>
      </w:r>
    </w:p>
    <w:p>
      <w:pPr>
        <w:spacing w:after="0"/>
        <w:jc w:val="left"/>
        <w:rPr>
          <w:sz w:val="12"/>
        </w:rPr>
        <w:sectPr>
          <w:type w:val="continuous"/>
          <w:pgSz w:w="11910" w:h="15880"/>
          <w:pgMar w:top="840" w:bottom="360" w:left="740" w:right="540"/>
          <w:cols w:num="2" w:equalWidth="0">
            <w:col w:w="5183" w:space="40"/>
            <w:col w:w="5407"/>
          </w:cols>
        </w:sectPr>
      </w:pPr>
    </w:p>
    <w:p>
      <w:pPr>
        <w:pStyle w:val="BodyText"/>
        <w:spacing w:before="7"/>
        <w:rPr>
          <w:sz w:val="3"/>
        </w:rPr>
      </w:pPr>
    </w:p>
    <w:p>
      <w:pPr>
        <w:pStyle w:val="BodyText"/>
        <w:spacing w:line="20" w:lineRule="exact"/>
        <w:ind w:left="104"/>
        <w:rPr>
          <w:sz w:val="2"/>
        </w:rPr>
      </w:pPr>
      <w:r>
        <w:rPr>
          <w:sz w:val="2"/>
        </w:rPr>
        <w:pict>
          <v:group style="width:520.0500pt;height:.550pt;mso-position-horizontal-relative:char;mso-position-vertical-relative:line" coordorigin="0,0" coordsize="10401,11">
            <v:line style="position:absolute" from="0,5" to="10401,5" stroked="true" strokeweight=".51pt" strokecolor="#000000">
              <v:stroke dashstyle="solid"/>
            </v:line>
          </v:group>
        </w:pict>
      </w:r>
      <w:r>
        <w:rPr>
          <w:sz w:val="2"/>
        </w:rPr>
      </w:r>
    </w:p>
    <w:p>
      <w:pPr>
        <w:spacing w:line="276" w:lineRule="auto" w:before="48"/>
        <w:ind w:left="110" w:right="0" w:firstLine="0"/>
        <w:jc w:val="left"/>
        <w:rPr>
          <w:sz w:val="12"/>
        </w:rPr>
      </w:pPr>
      <w:r>
        <w:rPr>
          <w:w w:val="115"/>
          <w:sz w:val="12"/>
        </w:rPr>
        <w:t>Note: Studies in each technique with </w:t>
      </w:r>
      <w:r>
        <w:rPr>
          <w:rFonts w:ascii="Lucida Sans" w:hAnsi="Lucida Sans"/>
          <w:w w:val="115"/>
          <w:sz w:val="12"/>
        </w:rPr>
        <w:t>“</w:t>
      </w:r>
      <w:r>
        <w:rPr>
          <w:w w:val="115"/>
          <w:sz w:val="12"/>
        </w:rPr>
        <w:t>NR</w:t>
      </w:r>
      <w:r>
        <w:rPr>
          <w:rFonts w:ascii="Lucida Sans" w:hAnsi="Lucida Sans"/>
          <w:w w:val="115"/>
          <w:sz w:val="12"/>
        </w:rPr>
        <w:t>” </w:t>
      </w:r>
      <w:r>
        <w:rPr>
          <w:w w:val="115"/>
          <w:sz w:val="12"/>
        </w:rPr>
        <w:t>outcomes were not captured in the presented ranges, please see </w:t>
      </w:r>
      <w:hyperlink w:history="true" w:anchor="_bookmark83">
        <w:r>
          <w:rPr>
            <w:color w:val="007FAC"/>
            <w:w w:val="115"/>
            <w:sz w:val="12"/>
          </w:rPr>
          <w:t>Supplement Tables 3-5</w:t>
        </w:r>
      </w:hyperlink>
      <w:r>
        <w:rPr>
          <w:color w:val="007FAC"/>
          <w:w w:val="115"/>
          <w:sz w:val="12"/>
        </w:rPr>
        <w:t> </w:t>
      </w:r>
      <w:r>
        <w:rPr>
          <w:w w:val="115"/>
          <w:sz w:val="12"/>
        </w:rPr>
        <w:t>in the Appendix for article speci</w:t>
      </w:r>
      <w:r>
        <w:rPr>
          <w:rFonts w:ascii="Times New Roman" w:hAnsi="Times New Roman"/>
          <w:w w:val="115"/>
          <w:sz w:val="12"/>
        </w:rPr>
        <w:t>ﬁ</w:t>
      </w:r>
      <w:r>
        <w:rPr>
          <w:w w:val="115"/>
          <w:sz w:val="12"/>
        </w:rPr>
        <w:t>c outcomes.</w:t>
      </w:r>
    </w:p>
    <w:p>
      <w:pPr>
        <w:spacing w:line="144" w:lineRule="exact" w:before="0"/>
        <w:ind w:left="110" w:right="0" w:firstLine="0"/>
        <w:jc w:val="left"/>
        <w:rPr>
          <w:sz w:val="12"/>
        </w:rPr>
      </w:pPr>
      <w:bookmarkStart w:name="_bookmark113" w:id="154"/>
      <w:bookmarkEnd w:id="154"/>
      <w:r>
        <w:rPr/>
      </w:r>
      <w:r>
        <w:rPr>
          <w:w w:val="110"/>
          <w:sz w:val="12"/>
        </w:rPr>
        <w:t>AM, antimicrobial sutures; NA, not available; NR, not reported.</w:t>
      </w:r>
    </w:p>
    <w:p>
      <w:pPr>
        <w:spacing w:line="176" w:lineRule="exact" w:before="0"/>
        <w:ind w:left="227" w:right="0" w:firstLine="0"/>
        <w:jc w:val="left"/>
        <w:rPr>
          <w:sz w:val="12"/>
        </w:rPr>
      </w:pPr>
      <w:r>
        <w:rPr>
          <w:w w:val="115"/>
          <w:position w:val="6"/>
          <w:sz w:val="9"/>
        </w:rPr>
        <w:t>a </w:t>
      </w:r>
      <w:r>
        <w:rPr>
          <w:w w:val="115"/>
          <w:sz w:val="12"/>
        </w:rPr>
        <w:t>Columns with only one value indicate that only one study reported on this outcome.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6"/>
        </w:rPr>
      </w:pPr>
    </w:p>
    <w:p>
      <w:pPr>
        <w:spacing w:line="208" w:lineRule="auto" w:before="111"/>
        <w:ind w:left="1657" w:right="1843"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sectPr>
      <w:type w:val="continuous"/>
      <w:pgSz w:w="11910" w:h="15880"/>
      <w:pgMar w:top="840" w:bottom="360" w:left="740" w:right="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Lucida Sans">
    <w:altName w:val="Lucida Sans"/>
    <w:charset w:val="0"/>
    <w:family w:val="swiss"/>
    <w:pitch w:val="variable"/>
  </w:font>
  <w:font w:name="Book Antiqua">
    <w:altName w:val="Book Antiqua"/>
    <w:charset w:val="0"/>
    <w:family w:val="roman"/>
    <w:pitch w:val="variable"/>
  </w:font>
  <w:font w:name="Castellar">
    <w:altName w:val="Castellar"/>
    <w:charset w:val="0"/>
    <w:family w:val="roman"/>
    <w:pitch w:val="variable"/>
  </w:font>
  <w:font w:name="Century">
    <w:altName w:val="Century"/>
    <w:charset w:val="0"/>
    <w:family w:val="roman"/>
    <w:pitch w:val="variable"/>
  </w:font>
  <w:font w:name="Century Gothic">
    <w:altName w:val="Century Gothic"/>
    <w:charset w:val="0"/>
    <w:family w:val="swiss"/>
    <w:pitch w:val="variable"/>
  </w:font>
  <w:font w:name="Tahoma">
    <w:altName w:val="Tahom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18.893997pt;margin-top:774.463196pt;width:357.5pt;height:16.8pt;mso-position-horizontal-relative:page;mso-position-vertical-relative:page;z-index:-265039872" type="#_x0000_t202" filled="false" stroked="false">
          <v:textbox inset="0,0,0,0">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18.893997pt;margin-top:774.463196pt;width:357.5pt;height:16.8pt;mso-position-horizontal-relative:page;mso-position-vertical-relative:page;z-index:-265037824" type="#_x0000_t202" filled="false" stroked="false">
          <v:textbox inset="0,0,0,0">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18.893997pt;margin-top:774.463196pt;width:357.5pt;height:16.8pt;mso-position-horizontal-relative:page;mso-position-vertical-relative:page;z-index:-265035776" type="#_x0000_t202" filled="false" stroked="false">
          <v:textbox inset="0,0,0,0">
            <w:txbxContent>
              <w:p>
                <w:pPr>
                  <w:spacing w:line="208" w:lineRule="auto" w:before="31"/>
                  <w:ind w:left="20" w:right="0" w:firstLine="26"/>
                  <w:jc w:val="left"/>
                  <w:rPr>
                    <w:rFonts w:ascii="Times New Roman" w:hAnsi="Times New Roman"/>
                    <w:sz w:val="14"/>
                  </w:rPr>
                </w:pPr>
                <w:r>
                  <w:rPr>
                    <w:rFonts w:ascii="Times New Roman" w:hAnsi="Times New Roman"/>
                    <w:sz w:val="14"/>
                  </w:rPr>
                  <w:t>Downloaded for Rebecca Ingledue (rebecca_ingledue@trihealth.com) at TRIHEALTH from ClinicalKey.com by Elsevier on August 10, 2021. For personal use only. No other uses without permission. Copyright ©2021. Elsevier Inc. All rights reserved.</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42.52pt;margin-top:10.490989pt;width:520pt;height:15.6pt;mso-position-horizontal-relative:page;mso-position-vertical-relative:page;z-index:-265040896" coordorigin="850,210" coordsize="10400,312">
          <v:rect style="position:absolute;left:850;top:209;width:10400;height:312" filled="true" fillcolor="#c1c3c5" stroked="false">
            <v:fill type="solid"/>
          </v:rect>
          <v:shape style="position:absolute;left:4502;top:254;width:2589;height:211" coordorigin="4502,255" coordsize="2589,211" path="m6967,399l6927,399,6930,420,6942,441,6968,459,7012,465,7032,464,7058,455,7081,436,7083,431,7009,431,6987,428,6974,419,6968,409,6967,399xm7007,255l6967,261,6944,277,6932,297,6930,316,6935,343,6949,360,6970,369,6993,375,7015,380,7029,384,7041,389,7048,395,7051,405,7047,418,7037,426,7024,430,7009,431,7083,431,7091,400,7087,378,7075,362,7058,352,7039,346,6990,334,6982,332,6969,329,6969,313,6972,302,6980,295,6991,291,7004,289,7075,289,7069,278,7045,261,7007,255xm7075,289l7004,289,7025,293,7037,301,7043,311,7045,320,7085,320,7081,299,7075,289xm6781,399l6741,399,6744,420,6756,441,6782,459,6826,465,6846,464,6872,455,6895,436,6897,431,6823,431,6801,428,6789,419,6783,409,6781,399xm6821,255l6781,261,6758,277,6747,297,6744,316,6749,343,6763,360,6784,369,6807,375,6829,380,6843,384,6855,389,6862,395,6865,405,6861,418,6852,426,6838,430,6823,431,6897,431,6905,400,6901,378,6889,362,6873,352,6853,346,6804,334,6796,332,6783,329,6783,313,6786,302,6794,295,6806,291,6818,289,6890,289,6883,278,6859,261,6821,255xm6890,289l6818,289,6839,293,6852,301,6857,311,6859,320,6899,320,6895,299,6890,289xm6713,260l6565,260,6565,460,6717,460,6717,425,6606,425,6606,373,6704,373,6704,338,6606,338,6606,296,6713,296,6713,260xm6466,260l6365,260,6365,460,6406,460,6406,382,6518,382,6517,379,6509,370,6498,364,6512,357,6520,348,6406,348,6406,295,6524,295,6518,282,6499,267,6466,260xm6518,382l6449,382,6467,384,6477,391,6481,402,6482,420,6482,434,6483,444,6484,453,6486,460,6533,460,6533,455,6527,452,6525,445,6524,434,6524,415,6522,393,6518,382xm6524,295l6483,295,6487,310,6487,321,6485,334,6479,342,6469,347,6455,348,6520,348,6521,346,6527,333,6529,317,6527,301,6524,295xm6271,260l6179,260,6179,460,6221,460,6221,388,6269,388,6302,381,6321,363,6325,354,6221,354,6221,295,6327,295,6316,277,6297,265,6271,260xm6327,295l6254,295,6271,296,6282,301,6289,310,6291,322,6291,331,6287,341,6278,350,6260,354,6325,354,6330,342,6333,324,6329,298,6327,295xm5928,260l5884,260,5884,460,5923,460,5923,318,5961,318,5928,260xm5961,318l5924,318,6005,460,6047,460,6047,400,6008,400,5961,318xm6047,260l6008,260,6008,400,6047,400,6047,260xm5849,260l5807,260,5807,460,5849,460,5849,260xm5678,260l5531,260,5531,460,5683,460,5683,425,5572,425,5572,373,5670,373,5670,338,5572,338,5572,296,5678,296,5678,260xm5405,260l5363,260,5363,460,5504,460,5504,424,5405,424,5405,260xm5246,255l5209,261,5180,281,5161,314,5154,361,5160,406,5179,439,5208,459,5245,465,5279,460,5304,445,5316,429,5246,429,5223,424,5208,409,5199,387,5196,361,5201,326,5213,305,5230,294,5246,291,5319,291,5310,279,5284,262,5246,255xm5332,392l5290,392,5284,408,5275,420,5262,427,5246,429,5316,429,5322,422,5332,392xm5319,291l5246,291,5267,295,5280,304,5287,315,5290,326,5332,326,5326,302,5319,291xm5126,260l5084,260,5084,460,5126,460,5126,260xm5004,296l4962,296,4962,460,5004,460,5004,296xm5064,260l4901,260,4901,296,5064,296,5064,260xm4820,260l4718,260,4718,460,4759,460,4759,382,4872,382,4871,379,4863,370,4852,364,4865,357,4873,348,4759,348,4759,295,4877,295,4871,282,4852,267,4820,260xm4872,382l4803,382,4821,384,4831,391,4834,402,4835,420,4836,434,4836,444,4838,453,4840,460,4886,460,4886,455,4881,452,4878,445,4877,434,4877,415,4875,393,4872,382xm4877,295l4836,295,4841,310,4841,321,4839,334,4833,342,4823,347,4808,348,4873,348,4875,346,4881,333,4883,317,4880,301,4877,295xm4622,260l4574,260,4502,460,4547,460,4560,419,4678,419,4666,385,4572,385,4597,305,4638,305,4622,260xm4678,419l4634,419,4647,460,4693,460,4678,419xm4638,305l4598,305,4623,385,4666,385,4638,305xe" filled="true" fillcolor="#ffffff" stroked="false">
            <v:path arrowok="t"/>
            <v:fill type="solid"/>
          </v:shape>
          <w10:wrap type="non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32.816002pt;margin-top:10.490989pt;width:520.0500pt;height:15.6pt;mso-position-horizontal-relative:page;mso-position-vertical-relative:page;z-index:-265038848" coordorigin="656,210" coordsize="10401,312">
          <v:rect style="position:absolute;left:656;top:209;width:10401;height:312" filled="true" fillcolor="#c1c3c5" stroked="false">
            <v:fill type="solid"/>
          </v:rect>
          <v:shape style="position:absolute;left:4308;top:254;width:2589;height:211" coordorigin="4308,255" coordsize="2589,211" path="m6773,399l6732,399,6736,420,6748,441,6774,459,6818,465,6838,464,6864,455,6887,436,6888,431,6815,431,6793,428,6780,419,6774,409,6773,399xm6813,255l6773,261,6750,277,6738,297,6736,316,6741,343,6755,360,6776,369,6799,375,6821,380,6835,384,6847,389,6854,395,6857,405,6853,418,6843,426,6830,430,6815,431,6888,431,6897,400,6893,378,6881,362,6864,352,6845,346,6796,334,6787,332,6775,329,6775,313,6778,302,6786,295,6797,291,6809,289,6881,289,6874,278,6851,261,6813,255xm6881,289l6809,289,6831,293,6843,301,6849,311,6850,320,6891,320,6887,299,6881,289xm6587,399l6547,399,6550,420,6562,441,6588,459,6632,465,6652,464,6678,455,6701,436,6703,431,6629,431,6607,428,6594,419,6588,409,6587,399xm6627,255l6587,261,6564,277,6553,297,6550,316,6555,343,6569,360,6590,369,6613,375,6635,380,6649,384,6661,389,6668,395,6671,405,6667,418,6658,426,6644,430,6629,431,6703,431,6711,400,6707,378,6695,362,6679,352,6659,346,6610,334,6602,332,6589,329,6589,313,6592,302,6600,295,6611,291,6624,289,6695,289,6689,278,6665,261,6627,255xm6695,289l6624,289,6645,293,6657,301,6663,311,6665,320,6705,320,6701,299,6695,289xm6518,260l6371,260,6371,460,6523,460,6523,425,6412,425,6412,373,6510,373,6510,338,6412,338,6412,296,6518,296,6518,260xm6272,260l6171,260,6171,460,6212,460,6212,382,6324,382,6323,379,6315,370,6304,364,6317,357,6325,348,6212,348,6212,295,6330,295,6324,282,6304,267,6272,260xm6324,382l6255,382,6273,384,6283,391,6287,402,6288,420,6288,434,6289,444,6290,453,6292,460,6339,460,6339,455,6333,452,6331,445,6330,434,6330,415,6328,393,6324,382xm6330,295l6289,295,6293,310,6293,321,6291,334,6285,342,6275,347,6261,348,6325,348,6327,346,6333,333,6335,317,6333,301,6330,295xm6077,260l5985,260,5985,460,6027,460,6027,388,6075,388,6108,381,6127,363,6131,354,6027,354,6027,295,6133,295,6122,277,6103,265,6077,260xm6133,295l6060,295,6077,296,6088,301,6095,310,6097,322,6097,331,6093,341,6084,350,6066,354,6131,354,6136,342,6139,324,6135,298,6133,295xm5734,260l5690,260,5690,460,5729,460,5729,318,5767,318,5734,260xm5767,318l5730,318,5811,460,5853,460,5853,400,5814,400,5767,318xm5853,260l5814,260,5814,400,5853,400,5853,260xm5655,260l5613,260,5613,460,5655,460,5655,260xm5484,260l5337,260,5337,460,5489,460,5489,425,5378,425,5378,373,5476,373,5476,338,5378,338,5378,296,5484,296,5484,260xm5210,260l5169,260,5169,460,5310,460,5310,424,5210,424,5210,260xm5051,255l5015,261,4986,281,4967,314,4959,361,4966,406,4985,439,5014,459,5051,465,5085,460,5110,445,5122,429,5052,429,5029,424,5014,409,5005,387,5002,361,5007,326,5019,305,5036,294,5052,291,5124,291,5116,279,5090,262,5051,255xm5138,392l5096,392,5090,408,5081,420,5068,427,5052,429,5122,429,5128,422,5138,392xm5124,291l5052,291,5073,295,5086,304,5093,315,5096,326,5138,326,5132,302,5124,291xm4932,260l4890,260,4890,460,4932,460,4932,260xm4810,296l4768,296,4768,460,4810,460,4810,296xm4870,260l4707,260,4707,296,4870,296,4870,260xm4626,260l4524,260,4524,460,4565,460,4565,382,4678,382,4676,379,4669,370,4658,364,4671,357,4679,348,4565,348,4565,295,4683,295,4677,282,4658,267,4626,260xm4678,382l4609,382,4627,384,4636,391,4640,402,4641,420,4641,434,4642,444,4644,453,4646,460,4692,460,4692,455,4687,452,4684,445,4683,434,4683,415,4681,393,4678,382xm4683,295l4642,295,4647,310,4647,321,4645,334,4639,342,4629,347,4614,348,4679,348,4681,346,4687,333,4689,317,4686,301,4683,295xm4428,260l4380,260,4308,460,4352,460,4366,419,4484,419,4472,385,4378,385,4403,305,4444,305,4428,260xm4484,419l4440,419,4453,460,4499,460,4484,419xm4444,305l4404,305,4429,385,4472,385,4444,305xe" filled="true" fillcolor="#ffffff" stroked="false">
            <v:path arrowok="t"/>
            <v:fill type="solid"/>
          </v:shape>
          <w10:wrap type="non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42.52pt;margin-top:10.490989pt;width:520pt;height:15.6pt;mso-position-horizontal-relative:page;mso-position-vertical-relative:page;z-index:-265036800" coordorigin="850,210" coordsize="10400,312">
          <v:rect style="position:absolute;left:850;top:209;width:10400;height:312" filled="true" fillcolor="#c1c3c5" stroked="false">
            <v:fill type="solid"/>
          </v:rect>
          <v:shape style="position:absolute;left:4502;top:254;width:2589;height:211" coordorigin="4502,255" coordsize="2589,211" path="m6967,399l6927,399,6930,420,6942,441,6968,459,7012,465,7032,464,7058,455,7081,436,7083,431,7009,431,6987,428,6974,419,6968,409,6967,399xm7007,255l6967,261,6944,277,6932,297,6930,316,6935,343,6949,360,6970,369,6993,375,7015,380,7029,384,7041,389,7048,395,7051,405,7047,418,7037,426,7024,430,7009,431,7083,431,7091,400,7087,378,7075,362,7058,352,7039,346,6990,334,6982,332,6969,329,6969,313,6972,302,6980,295,6991,291,7004,289,7075,289,7069,278,7045,261,7007,255xm7075,289l7004,289,7025,293,7037,301,7043,311,7045,320,7085,320,7081,299,7075,289xm6781,399l6741,399,6744,420,6756,441,6782,459,6826,465,6846,464,6872,455,6895,436,6897,431,6823,431,6801,428,6789,419,6783,409,6781,399xm6821,255l6781,261,6758,277,6747,297,6744,316,6749,343,6763,360,6784,369,6807,375,6829,380,6843,384,6855,389,6862,395,6865,405,6861,418,6852,426,6838,430,6823,431,6897,431,6905,400,6901,378,6889,362,6873,352,6853,346,6804,334,6796,332,6783,329,6783,313,6786,302,6794,295,6806,291,6818,289,6890,289,6883,278,6859,261,6821,255xm6890,289l6818,289,6839,293,6852,301,6857,311,6859,320,6899,320,6895,299,6890,289xm6713,260l6565,260,6565,460,6717,460,6717,425,6606,425,6606,373,6704,373,6704,338,6606,338,6606,296,6713,296,6713,260xm6466,260l6365,260,6365,460,6406,460,6406,382,6518,382,6517,379,6509,370,6498,364,6512,357,6520,348,6406,348,6406,295,6524,295,6518,282,6499,267,6466,260xm6518,382l6449,382,6467,384,6477,391,6481,402,6482,420,6482,434,6483,444,6484,453,6486,460,6533,460,6533,455,6527,452,6525,445,6524,434,6524,415,6522,393,6518,382xm6524,295l6483,295,6487,310,6487,321,6485,334,6479,342,6469,347,6455,348,6520,348,6521,346,6527,333,6529,317,6527,301,6524,295xm6271,260l6179,260,6179,460,6221,460,6221,388,6269,388,6302,381,6321,363,6325,354,6221,354,6221,295,6327,295,6316,277,6297,265,6271,260xm6327,295l6254,295,6271,296,6282,301,6289,310,6291,322,6291,331,6287,341,6278,350,6260,354,6325,354,6330,342,6333,324,6329,298,6327,295xm5928,260l5884,260,5884,460,5923,460,5923,318,5961,318,5928,260xm5961,318l5924,318,6005,460,6047,460,6047,400,6008,400,5961,318xm6047,260l6008,260,6008,400,6047,400,6047,260xm5849,260l5807,260,5807,460,5849,460,5849,260xm5678,260l5531,260,5531,460,5683,460,5683,425,5572,425,5572,373,5670,373,5670,338,5572,338,5572,296,5678,296,5678,260xm5405,260l5363,260,5363,460,5504,460,5504,424,5405,424,5405,260xm5246,255l5209,261,5180,281,5161,314,5154,361,5160,406,5179,439,5208,459,5245,465,5279,460,5304,445,5316,429,5246,429,5223,424,5208,409,5199,387,5196,361,5201,326,5213,305,5230,294,5246,291,5319,291,5310,279,5284,262,5246,255xm5332,392l5290,392,5284,408,5275,420,5262,427,5246,429,5316,429,5322,422,5332,392xm5319,291l5246,291,5267,295,5280,304,5287,315,5290,326,5332,326,5326,302,5319,291xm5126,260l5084,260,5084,460,5126,460,5126,260xm5004,296l4962,296,4962,460,5004,460,5004,296xm5064,260l4901,260,4901,296,5064,296,5064,260xm4820,260l4718,260,4718,460,4759,460,4759,382,4872,382,4871,379,4863,370,4852,364,4865,357,4873,348,4759,348,4759,295,4877,295,4871,282,4852,267,4820,260xm4872,382l4803,382,4821,384,4831,391,4834,402,4835,420,4836,434,4836,444,4838,453,4840,460,4886,460,4886,455,4881,452,4878,445,4877,434,4877,415,4875,393,4872,382xm4877,295l4836,295,4841,310,4841,321,4839,334,4833,342,4823,347,4808,348,4873,348,4875,346,4881,333,4883,317,4880,301,4877,295xm4622,260l4574,260,4502,460,4547,460,4560,419,4678,419,4666,385,4572,385,4597,305,4638,305,4622,260xm4678,419l4634,419,4647,460,4693,460,4678,419xm4638,305l4598,305,4623,385,4666,385,4638,305xe" filled="true" fillcolor="#ffffff" stroked="false">
            <v:path arrowok="t"/>
            <v:fill type="solid"/>
          </v:shape>
          <w10:wrap type="none"/>
        </v:group>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7"/>
      <w:numFmt w:val="decimal"/>
      <w:lvlText w:val="%1)"/>
      <w:lvlJc w:val="left"/>
      <w:pPr>
        <w:ind w:left="795" w:hanging="228"/>
        <w:jc w:val="right"/>
      </w:pPr>
      <w:rPr>
        <w:rFonts w:hint="default" w:ascii="Book Antiqua" w:hAnsi="Book Antiqua" w:eastAsia="Book Antiqua" w:cs="Book Antiqua"/>
        <w:w w:val="116"/>
        <w:sz w:val="16"/>
        <w:szCs w:val="16"/>
        <w:lang w:val="en-US" w:eastAsia="en-US" w:bidi="en-US"/>
      </w:rPr>
    </w:lvl>
    <w:lvl w:ilvl="1">
      <w:start w:val="0"/>
      <w:numFmt w:val="bullet"/>
      <w:lvlText w:val="•"/>
      <w:lvlJc w:val="left"/>
      <w:pPr>
        <w:ind w:left="1265" w:hanging="228"/>
      </w:pPr>
      <w:rPr>
        <w:rFonts w:hint="default"/>
        <w:lang w:val="en-US" w:eastAsia="en-US" w:bidi="en-US"/>
      </w:rPr>
    </w:lvl>
    <w:lvl w:ilvl="2">
      <w:start w:val="0"/>
      <w:numFmt w:val="bullet"/>
      <w:lvlText w:val="•"/>
      <w:lvlJc w:val="left"/>
      <w:pPr>
        <w:ind w:left="1730" w:hanging="228"/>
      </w:pPr>
      <w:rPr>
        <w:rFonts w:hint="default"/>
        <w:lang w:val="en-US" w:eastAsia="en-US" w:bidi="en-US"/>
      </w:rPr>
    </w:lvl>
    <w:lvl w:ilvl="3">
      <w:start w:val="0"/>
      <w:numFmt w:val="bullet"/>
      <w:lvlText w:val="•"/>
      <w:lvlJc w:val="left"/>
      <w:pPr>
        <w:ind w:left="2196" w:hanging="228"/>
      </w:pPr>
      <w:rPr>
        <w:rFonts w:hint="default"/>
        <w:lang w:val="en-US" w:eastAsia="en-US" w:bidi="en-US"/>
      </w:rPr>
    </w:lvl>
    <w:lvl w:ilvl="4">
      <w:start w:val="0"/>
      <w:numFmt w:val="bullet"/>
      <w:lvlText w:val="•"/>
      <w:lvlJc w:val="left"/>
      <w:pPr>
        <w:ind w:left="2661" w:hanging="228"/>
      </w:pPr>
      <w:rPr>
        <w:rFonts w:hint="default"/>
        <w:lang w:val="en-US" w:eastAsia="en-US" w:bidi="en-US"/>
      </w:rPr>
    </w:lvl>
    <w:lvl w:ilvl="5">
      <w:start w:val="0"/>
      <w:numFmt w:val="bullet"/>
      <w:lvlText w:val="•"/>
      <w:lvlJc w:val="left"/>
      <w:pPr>
        <w:ind w:left="3126" w:hanging="228"/>
      </w:pPr>
      <w:rPr>
        <w:rFonts w:hint="default"/>
        <w:lang w:val="en-US" w:eastAsia="en-US" w:bidi="en-US"/>
      </w:rPr>
    </w:lvl>
    <w:lvl w:ilvl="6">
      <w:start w:val="0"/>
      <w:numFmt w:val="bullet"/>
      <w:lvlText w:val="•"/>
      <w:lvlJc w:val="left"/>
      <w:pPr>
        <w:ind w:left="3592" w:hanging="228"/>
      </w:pPr>
      <w:rPr>
        <w:rFonts w:hint="default"/>
        <w:lang w:val="en-US" w:eastAsia="en-US" w:bidi="en-US"/>
      </w:rPr>
    </w:lvl>
    <w:lvl w:ilvl="7">
      <w:start w:val="0"/>
      <w:numFmt w:val="bullet"/>
      <w:lvlText w:val="•"/>
      <w:lvlJc w:val="left"/>
      <w:pPr>
        <w:ind w:left="4057" w:hanging="228"/>
      </w:pPr>
      <w:rPr>
        <w:rFonts w:hint="default"/>
        <w:lang w:val="en-US" w:eastAsia="en-US" w:bidi="en-US"/>
      </w:rPr>
    </w:lvl>
    <w:lvl w:ilvl="8">
      <w:start w:val="0"/>
      <w:numFmt w:val="bullet"/>
      <w:lvlText w:val="•"/>
      <w:lvlJc w:val="left"/>
      <w:pPr>
        <w:ind w:left="4522" w:hanging="228"/>
      </w:pPr>
      <w:rPr>
        <w:rFonts w:hint="default"/>
        <w:lang w:val="en-US" w:eastAsia="en-US" w:bidi="en-US"/>
      </w:rPr>
    </w:lvl>
  </w:abstractNum>
  <w:abstractNum w:abstractNumId="3">
    <w:multiLevelType w:val="hybridMultilevel"/>
    <w:lvl w:ilvl="0">
      <w:start w:val="13"/>
      <w:numFmt w:val="upperLetter"/>
      <w:lvlText w:val="%1"/>
      <w:lvlJc w:val="left"/>
      <w:pPr>
        <w:ind w:left="601" w:hanging="292"/>
        <w:jc w:val="left"/>
      </w:pPr>
      <w:rPr>
        <w:rFonts w:hint="default"/>
        <w:lang w:val="en-US" w:eastAsia="en-US" w:bidi="en-US"/>
      </w:rPr>
    </w:lvl>
    <w:lvl w:ilvl="1">
      <w:start w:val="1"/>
      <w:numFmt w:val="decimal"/>
      <w:lvlText w:val="%2)"/>
      <w:lvlJc w:val="left"/>
      <w:pPr>
        <w:ind w:left="787" w:hanging="227"/>
        <w:jc w:val="left"/>
      </w:pPr>
      <w:rPr>
        <w:rFonts w:hint="default" w:ascii="Book Antiqua" w:hAnsi="Book Antiqua" w:eastAsia="Book Antiqua" w:cs="Book Antiqua"/>
        <w:w w:val="116"/>
        <w:sz w:val="16"/>
        <w:szCs w:val="16"/>
        <w:lang w:val="en-US" w:eastAsia="en-US" w:bidi="en-US"/>
      </w:rPr>
    </w:lvl>
    <w:lvl w:ilvl="2">
      <w:start w:val="0"/>
      <w:numFmt w:val="bullet"/>
      <w:lvlText w:val="•"/>
      <w:lvlJc w:val="left"/>
      <w:pPr>
        <w:ind w:left="2620" w:hanging="227"/>
      </w:pPr>
      <w:rPr>
        <w:rFonts w:hint="default"/>
        <w:lang w:val="en-US" w:eastAsia="en-US" w:bidi="en-US"/>
      </w:rPr>
    </w:lvl>
    <w:lvl w:ilvl="3">
      <w:start w:val="0"/>
      <w:numFmt w:val="bullet"/>
      <w:lvlText w:val="•"/>
      <w:lvlJc w:val="left"/>
      <w:pPr>
        <w:ind w:left="2516" w:hanging="227"/>
      </w:pPr>
      <w:rPr>
        <w:rFonts w:hint="default"/>
        <w:lang w:val="en-US" w:eastAsia="en-US" w:bidi="en-US"/>
      </w:rPr>
    </w:lvl>
    <w:lvl w:ilvl="4">
      <w:start w:val="0"/>
      <w:numFmt w:val="bullet"/>
      <w:lvlText w:val="•"/>
      <w:lvlJc w:val="left"/>
      <w:pPr>
        <w:ind w:left="2412" w:hanging="227"/>
      </w:pPr>
      <w:rPr>
        <w:rFonts w:hint="default"/>
        <w:lang w:val="en-US" w:eastAsia="en-US" w:bidi="en-US"/>
      </w:rPr>
    </w:lvl>
    <w:lvl w:ilvl="5">
      <w:start w:val="0"/>
      <w:numFmt w:val="bullet"/>
      <w:lvlText w:val="•"/>
      <w:lvlJc w:val="left"/>
      <w:pPr>
        <w:ind w:left="2309" w:hanging="227"/>
      </w:pPr>
      <w:rPr>
        <w:rFonts w:hint="default"/>
        <w:lang w:val="en-US" w:eastAsia="en-US" w:bidi="en-US"/>
      </w:rPr>
    </w:lvl>
    <w:lvl w:ilvl="6">
      <w:start w:val="0"/>
      <w:numFmt w:val="bullet"/>
      <w:lvlText w:val="•"/>
      <w:lvlJc w:val="left"/>
      <w:pPr>
        <w:ind w:left="2205" w:hanging="227"/>
      </w:pPr>
      <w:rPr>
        <w:rFonts w:hint="default"/>
        <w:lang w:val="en-US" w:eastAsia="en-US" w:bidi="en-US"/>
      </w:rPr>
    </w:lvl>
    <w:lvl w:ilvl="7">
      <w:start w:val="0"/>
      <w:numFmt w:val="bullet"/>
      <w:lvlText w:val="•"/>
      <w:lvlJc w:val="left"/>
      <w:pPr>
        <w:ind w:left="2101" w:hanging="227"/>
      </w:pPr>
      <w:rPr>
        <w:rFonts w:hint="default"/>
        <w:lang w:val="en-US" w:eastAsia="en-US" w:bidi="en-US"/>
      </w:rPr>
    </w:lvl>
    <w:lvl w:ilvl="8">
      <w:start w:val="0"/>
      <w:numFmt w:val="bullet"/>
      <w:lvlText w:val="•"/>
      <w:lvlJc w:val="left"/>
      <w:pPr>
        <w:ind w:left="1998" w:hanging="227"/>
      </w:pPr>
      <w:rPr>
        <w:rFonts w:hint="default"/>
        <w:lang w:val="en-US" w:eastAsia="en-US" w:bidi="en-US"/>
      </w:rPr>
    </w:lvl>
  </w:abstractNum>
  <w:abstractNum w:abstractNumId="2">
    <w:multiLevelType w:val="hybridMultilevel"/>
    <w:lvl w:ilvl="0">
      <w:start w:val="1"/>
      <w:numFmt w:val="decimal"/>
      <w:lvlText w:val="[%1]"/>
      <w:lvlJc w:val="left"/>
      <w:pPr>
        <w:ind w:left="627" w:hanging="250"/>
        <w:jc w:val="right"/>
      </w:pPr>
      <w:rPr>
        <w:rFonts w:hint="default" w:ascii="Book Antiqua" w:hAnsi="Book Antiqua" w:eastAsia="Book Antiqua" w:cs="Book Antiqua"/>
        <w:w w:val="121"/>
        <w:sz w:val="12"/>
        <w:szCs w:val="12"/>
        <w:lang w:val="en-US" w:eastAsia="en-US" w:bidi="en-US"/>
      </w:rPr>
    </w:lvl>
    <w:lvl w:ilvl="1">
      <w:start w:val="0"/>
      <w:numFmt w:val="bullet"/>
      <w:lvlText w:val="•"/>
      <w:lvlJc w:val="left"/>
      <w:pPr>
        <w:ind w:left="1091" w:hanging="250"/>
      </w:pPr>
      <w:rPr>
        <w:rFonts w:hint="default"/>
        <w:lang w:val="en-US" w:eastAsia="en-US" w:bidi="en-US"/>
      </w:rPr>
    </w:lvl>
    <w:lvl w:ilvl="2">
      <w:start w:val="0"/>
      <w:numFmt w:val="bullet"/>
      <w:lvlText w:val="•"/>
      <w:lvlJc w:val="left"/>
      <w:pPr>
        <w:ind w:left="1562" w:hanging="250"/>
      </w:pPr>
      <w:rPr>
        <w:rFonts w:hint="default"/>
        <w:lang w:val="en-US" w:eastAsia="en-US" w:bidi="en-US"/>
      </w:rPr>
    </w:lvl>
    <w:lvl w:ilvl="3">
      <w:start w:val="0"/>
      <w:numFmt w:val="bullet"/>
      <w:lvlText w:val="•"/>
      <w:lvlJc w:val="left"/>
      <w:pPr>
        <w:ind w:left="2033" w:hanging="250"/>
      </w:pPr>
      <w:rPr>
        <w:rFonts w:hint="default"/>
        <w:lang w:val="en-US" w:eastAsia="en-US" w:bidi="en-US"/>
      </w:rPr>
    </w:lvl>
    <w:lvl w:ilvl="4">
      <w:start w:val="0"/>
      <w:numFmt w:val="bullet"/>
      <w:lvlText w:val="•"/>
      <w:lvlJc w:val="left"/>
      <w:pPr>
        <w:ind w:left="2505" w:hanging="250"/>
      </w:pPr>
      <w:rPr>
        <w:rFonts w:hint="default"/>
        <w:lang w:val="en-US" w:eastAsia="en-US" w:bidi="en-US"/>
      </w:rPr>
    </w:lvl>
    <w:lvl w:ilvl="5">
      <w:start w:val="0"/>
      <w:numFmt w:val="bullet"/>
      <w:lvlText w:val="•"/>
      <w:lvlJc w:val="left"/>
      <w:pPr>
        <w:ind w:left="2976" w:hanging="250"/>
      </w:pPr>
      <w:rPr>
        <w:rFonts w:hint="default"/>
        <w:lang w:val="en-US" w:eastAsia="en-US" w:bidi="en-US"/>
      </w:rPr>
    </w:lvl>
    <w:lvl w:ilvl="6">
      <w:start w:val="0"/>
      <w:numFmt w:val="bullet"/>
      <w:lvlText w:val="•"/>
      <w:lvlJc w:val="left"/>
      <w:pPr>
        <w:ind w:left="3447" w:hanging="250"/>
      </w:pPr>
      <w:rPr>
        <w:rFonts w:hint="default"/>
        <w:lang w:val="en-US" w:eastAsia="en-US" w:bidi="en-US"/>
      </w:rPr>
    </w:lvl>
    <w:lvl w:ilvl="7">
      <w:start w:val="0"/>
      <w:numFmt w:val="bullet"/>
      <w:lvlText w:val="•"/>
      <w:lvlJc w:val="left"/>
      <w:pPr>
        <w:ind w:left="3918" w:hanging="250"/>
      </w:pPr>
      <w:rPr>
        <w:rFonts w:hint="default"/>
        <w:lang w:val="en-US" w:eastAsia="en-US" w:bidi="en-US"/>
      </w:rPr>
    </w:lvl>
    <w:lvl w:ilvl="8">
      <w:start w:val="0"/>
      <w:numFmt w:val="bullet"/>
      <w:lvlText w:val="•"/>
      <w:lvlJc w:val="left"/>
      <w:pPr>
        <w:ind w:left="4390" w:hanging="250"/>
      </w:pPr>
      <w:rPr>
        <w:rFonts w:hint="default"/>
        <w:lang w:val="en-US" w:eastAsia="en-US" w:bidi="en-US"/>
      </w:rPr>
    </w:lvl>
  </w:abstractNum>
  <w:abstractNum w:abstractNumId="1">
    <w:multiLevelType w:val="hybridMultilevel"/>
    <w:lvl w:ilvl="0">
      <w:start w:val="4"/>
      <w:numFmt w:val="decimal"/>
      <w:lvlText w:val="%1"/>
      <w:lvlJc w:val="left"/>
      <w:pPr>
        <w:ind w:left="1018" w:hanging="772"/>
        <w:jc w:val="left"/>
      </w:pPr>
      <w:rPr>
        <w:rFonts w:hint="default" w:ascii="Book Antiqua" w:hAnsi="Book Antiqua" w:eastAsia="Book Antiqua" w:cs="Book Antiqua"/>
        <w:w w:val="126"/>
        <w:sz w:val="12"/>
        <w:szCs w:val="12"/>
        <w:lang w:val="en-US" w:eastAsia="en-US" w:bidi="en-US"/>
      </w:rPr>
    </w:lvl>
    <w:lvl w:ilvl="1">
      <w:start w:val="0"/>
      <w:numFmt w:val="bullet"/>
      <w:lvlText w:val="•"/>
      <w:lvlJc w:val="left"/>
      <w:pPr>
        <w:ind w:left="1095" w:hanging="772"/>
      </w:pPr>
      <w:rPr>
        <w:rFonts w:hint="default"/>
        <w:lang w:val="en-US" w:eastAsia="en-US" w:bidi="en-US"/>
      </w:rPr>
    </w:lvl>
    <w:lvl w:ilvl="2">
      <w:start w:val="0"/>
      <w:numFmt w:val="bullet"/>
      <w:lvlText w:val="•"/>
      <w:lvlJc w:val="left"/>
      <w:pPr>
        <w:ind w:left="1171" w:hanging="772"/>
      </w:pPr>
      <w:rPr>
        <w:rFonts w:hint="default"/>
        <w:lang w:val="en-US" w:eastAsia="en-US" w:bidi="en-US"/>
      </w:rPr>
    </w:lvl>
    <w:lvl w:ilvl="3">
      <w:start w:val="0"/>
      <w:numFmt w:val="bullet"/>
      <w:lvlText w:val="•"/>
      <w:lvlJc w:val="left"/>
      <w:pPr>
        <w:ind w:left="1246" w:hanging="772"/>
      </w:pPr>
      <w:rPr>
        <w:rFonts w:hint="default"/>
        <w:lang w:val="en-US" w:eastAsia="en-US" w:bidi="en-US"/>
      </w:rPr>
    </w:lvl>
    <w:lvl w:ilvl="4">
      <w:start w:val="0"/>
      <w:numFmt w:val="bullet"/>
      <w:lvlText w:val="•"/>
      <w:lvlJc w:val="left"/>
      <w:pPr>
        <w:ind w:left="1322" w:hanging="772"/>
      </w:pPr>
      <w:rPr>
        <w:rFonts w:hint="default"/>
        <w:lang w:val="en-US" w:eastAsia="en-US" w:bidi="en-US"/>
      </w:rPr>
    </w:lvl>
    <w:lvl w:ilvl="5">
      <w:start w:val="0"/>
      <w:numFmt w:val="bullet"/>
      <w:lvlText w:val="•"/>
      <w:lvlJc w:val="left"/>
      <w:pPr>
        <w:ind w:left="1397" w:hanging="772"/>
      </w:pPr>
      <w:rPr>
        <w:rFonts w:hint="default"/>
        <w:lang w:val="en-US" w:eastAsia="en-US" w:bidi="en-US"/>
      </w:rPr>
    </w:lvl>
    <w:lvl w:ilvl="6">
      <w:start w:val="0"/>
      <w:numFmt w:val="bullet"/>
      <w:lvlText w:val="•"/>
      <w:lvlJc w:val="left"/>
      <w:pPr>
        <w:ind w:left="1473" w:hanging="772"/>
      </w:pPr>
      <w:rPr>
        <w:rFonts w:hint="default"/>
        <w:lang w:val="en-US" w:eastAsia="en-US" w:bidi="en-US"/>
      </w:rPr>
    </w:lvl>
    <w:lvl w:ilvl="7">
      <w:start w:val="0"/>
      <w:numFmt w:val="bullet"/>
      <w:lvlText w:val="•"/>
      <w:lvlJc w:val="left"/>
      <w:pPr>
        <w:ind w:left="1548" w:hanging="772"/>
      </w:pPr>
      <w:rPr>
        <w:rFonts w:hint="default"/>
        <w:lang w:val="en-US" w:eastAsia="en-US" w:bidi="en-US"/>
      </w:rPr>
    </w:lvl>
    <w:lvl w:ilvl="8">
      <w:start w:val="0"/>
      <w:numFmt w:val="bullet"/>
      <w:lvlText w:val="•"/>
      <w:lvlJc w:val="left"/>
      <w:pPr>
        <w:ind w:left="1624" w:hanging="772"/>
      </w:pPr>
      <w:rPr>
        <w:rFonts w:hint="default"/>
        <w:lang w:val="en-US" w:eastAsia="en-US" w:bidi="en-US"/>
      </w:rPr>
    </w:lvl>
  </w:abstractNum>
  <w:abstractNum w:abstractNumId="0">
    <w:multiLevelType w:val="hybridMultilevel"/>
    <w:lvl w:ilvl="0">
      <w:start w:val="0"/>
      <w:numFmt w:val="bullet"/>
      <w:lvlText w:val="−"/>
      <w:lvlJc w:val="left"/>
      <w:pPr>
        <w:ind w:left="288" w:hanging="173"/>
      </w:pPr>
      <w:rPr>
        <w:rFonts w:hint="default" w:ascii="Calibri" w:hAnsi="Calibri" w:eastAsia="Calibri" w:cs="Calibri"/>
        <w:color w:val="231F20"/>
        <w:w w:val="104"/>
        <w:sz w:val="14"/>
        <w:szCs w:val="14"/>
        <w:lang w:val="en-US" w:eastAsia="en-US" w:bidi="en-US"/>
      </w:rPr>
    </w:lvl>
    <w:lvl w:ilvl="1">
      <w:start w:val="0"/>
      <w:numFmt w:val="bullet"/>
      <w:lvlText w:val="•"/>
      <w:lvlJc w:val="left"/>
      <w:pPr>
        <w:ind w:left="537" w:hanging="173"/>
      </w:pPr>
      <w:rPr>
        <w:rFonts w:hint="default"/>
        <w:lang w:val="en-US" w:eastAsia="en-US" w:bidi="en-US"/>
      </w:rPr>
    </w:lvl>
    <w:lvl w:ilvl="2">
      <w:start w:val="0"/>
      <w:numFmt w:val="bullet"/>
      <w:lvlText w:val="•"/>
      <w:lvlJc w:val="left"/>
      <w:pPr>
        <w:ind w:left="795" w:hanging="173"/>
      </w:pPr>
      <w:rPr>
        <w:rFonts w:hint="default"/>
        <w:lang w:val="en-US" w:eastAsia="en-US" w:bidi="en-US"/>
      </w:rPr>
    </w:lvl>
    <w:lvl w:ilvl="3">
      <w:start w:val="0"/>
      <w:numFmt w:val="bullet"/>
      <w:lvlText w:val="•"/>
      <w:lvlJc w:val="left"/>
      <w:pPr>
        <w:ind w:left="1052" w:hanging="173"/>
      </w:pPr>
      <w:rPr>
        <w:rFonts w:hint="default"/>
        <w:lang w:val="en-US" w:eastAsia="en-US" w:bidi="en-US"/>
      </w:rPr>
    </w:lvl>
    <w:lvl w:ilvl="4">
      <w:start w:val="0"/>
      <w:numFmt w:val="bullet"/>
      <w:lvlText w:val="•"/>
      <w:lvlJc w:val="left"/>
      <w:pPr>
        <w:ind w:left="1310" w:hanging="173"/>
      </w:pPr>
      <w:rPr>
        <w:rFonts w:hint="default"/>
        <w:lang w:val="en-US" w:eastAsia="en-US" w:bidi="en-US"/>
      </w:rPr>
    </w:lvl>
    <w:lvl w:ilvl="5">
      <w:start w:val="0"/>
      <w:numFmt w:val="bullet"/>
      <w:lvlText w:val="•"/>
      <w:lvlJc w:val="left"/>
      <w:pPr>
        <w:ind w:left="1568" w:hanging="173"/>
      </w:pPr>
      <w:rPr>
        <w:rFonts w:hint="default"/>
        <w:lang w:val="en-US" w:eastAsia="en-US" w:bidi="en-US"/>
      </w:rPr>
    </w:lvl>
    <w:lvl w:ilvl="6">
      <w:start w:val="0"/>
      <w:numFmt w:val="bullet"/>
      <w:lvlText w:val="•"/>
      <w:lvlJc w:val="left"/>
      <w:pPr>
        <w:ind w:left="1825" w:hanging="173"/>
      </w:pPr>
      <w:rPr>
        <w:rFonts w:hint="default"/>
        <w:lang w:val="en-US" w:eastAsia="en-US" w:bidi="en-US"/>
      </w:rPr>
    </w:lvl>
    <w:lvl w:ilvl="7">
      <w:start w:val="0"/>
      <w:numFmt w:val="bullet"/>
      <w:lvlText w:val="•"/>
      <w:lvlJc w:val="left"/>
      <w:pPr>
        <w:ind w:left="2083" w:hanging="173"/>
      </w:pPr>
      <w:rPr>
        <w:rFonts w:hint="default"/>
        <w:lang w:val="en-US" w:eastAsia="en-US" w:bidi="en-US"/>
      </w:rPr>
    </w:lvl>
    <w:lvl w:ilvl="8">
      <w:start w:val="0"/>
      <w:numFmt w:val="bullet"/>
      <w:lvlText w:val="•"/>
      <w:lvlJc w:val="left"/>
      <w:pPr>
        <w:ind w:left="2341" w:hanging="173"/>
      </w:pPr>
      <w:rPr>
        <w:rFonts w:hint="default"/>
        <w:lang w:val="en-US" w:eastAsia="en-US" w:bidi="en-US"/>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Book Antiqua" w:hAnsi="Book Antiqua" w:eastAsia="Book Antiqua" w:cs="Book Antiqua"/>
      <w:lang w:val="en-US" w:eastAsia="en-US" w:bidi="en-US"/>
    </w:rPr>
  </w:style>
  <w:style w:styleId="BodyText" w:type="paragraph">
    <w:name w:val="Body Text"/>
    <w:basedOn w:val="Normal"/>
    <w:uiPriority w:val="1"/>
    <w:qFormat/>
    <w:pPr/>
    <w:rPr>
      <w:rFonts w:ascii="Book Antiqua" w:hAnsi="Book Antiqua" w:eastAsia="Book Antiqua" w:cs="Book Antiqua"/>
      <w:sz w:val="16"/>
      <w:szCs w:val="16"/>
      <w:lang w:val="en-US" w:eastAsia="en-US" w:bidi="en-US"/>
    </w:rPr>
  </w:style>
  <w:style w:styleId="ListParagraph" w:type="paragraph">
    <w:name w:val="List Paragraph"/>
    <w:basedOn w:val="Normal"/>
    <w:uiPriority w:val="1"/>
    <w:qFormat/>
    <w:pPr>
      <w:ind w:left="441" w:right="112" w:hanging="326"/>
      <w:jc w:val="both"/>
    </w:pPr>
    <w:rPr>
      <w:rFonts w:ascii="Book Antiqua" w:hAnsi="Book Antiqua" w:eastAsia="Book Antiqua" w:cs="Book Antiqua"/>
      <w:lang w:val="en-US" w:eastAsia="en-US" w:bidi="en-US"/>
    </w:rPr>
  </w:style>
  <w:style w:styleId="TableParagraph" w:type="paragraph">
    <w:name w:val="Table Paragraph"/>
    <w:basedOn w:val="Normal"/>
    <w:uiPriority w:val="1"/>
    <w:qFormat/>
    <w:pPr/>
    <w:rPr>
      <w:rFonts w:ascii="Book Antiqua" w:hAnsi="Book Antiqua" w:eastAsia="Book Antiqua" w:cs="Book Antiqua"/>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www.sciencedirect.com/science/journal/23523441" TargetMode="External"/><Relationship Id="rId10" Type="http://schemas.openxmlformats.org/officeDocument/2006/relationships/hyperlink" Target="http://www.arthroplastytoday.org/" TargetMode="External"/><Relationship Id="rId11" Type="http://schemas.openxmlformats.org/officeDocument/2006/relationships/hyperlink" Target="https://doi.org/10.1016/j.artd.2021.05.015" TargetMode="External"/><Relationship Id="rId12" Type="http://schemas.openxmlformats.org/officeDocument/2006/relationships/hyperlink" Target="http://creativecommons.org/licenses/by/4.0/" TargetMode="External"/><Relationship Id="rId13" Type="http://schemas.openxmlformats.org/officeDocument/2006/relationships/hyperlink" Target="mailto:Mark_Snyder@trihealth.com" TargetMode="Externa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header" Target="header3.xml"/><Relationship Id="rId29" Type="http://schemas.openxmlformats.org/officeDocument/2006/relationships/footer" Target="footer3.xml"/><Relationship Id="rId30" Type="http://schemas.openxmlformats.org/officeDocument/2006/relationships/header" Target="header4.xml"/><Relationship Id="rId31" Type="http://schemas.openxmlformats.org/officeDocument/2006/relationships/footer" Target="footer4.xml"/><Relationship Id="rId32" Type="http://schemas.openxmlformats.org/officeDocument/2006/relationships/header" Target="header5.xml"/><Relationship Id="rId33" Type="http://schemas.openxmlformats.org/officeDocument/2006/relationships/footer" Target="footer5.xml"/><Relationship Id="rId34" Type="http://schemas.openxmlformats.org/officeDocument/2006/relationships/header" Target="header6.xml"/><Relationship Id="rId35" Type="http://schemas.openxmlformats.org/officeDocument/2006/relationships/footer" Target="footer6.xml"/><Relationship Id="rId36" Type="http://schemas.openxmlformats.org/officeDocument/2006/relationships/hyperlink" Target="http://refhub.elsevier.com/S2352-3441(21)00088-1/sref1" TargetMode="External"/><Relationship Id="rId37" Type="http://schemas.openxmlformats.org/officeDocument/2006/relationships/hyperlink" Target="http://refhub.elsevier.com/S2352-3441(21)00088-1/sref2" TargetMode="External"/><Relationship Id="rId38" Type="http://schemas.openxmlformats.org/officeDocument/2006/relationships/hyperlink" Target="http://refhub.elsevier.com/S2352-3441(21)00088-1/sref3" TargetMode="External"/><Relationship Id="rId39" Type="http://schemas.openxmlformats.org/officeDocument/2006/relationships/hyperlink" Target="http://refhub.elsevier.com/S2352-3441(21)00088-1/sref4" TargetMode="External"/><Relationship Id="rId40" Type="http://schemas.openxmlformats.org/officeDocument/2006/relationships/hyperlink" Target="http://refhub.elsevier.com/S2352-3441(21)00088-1/sref5" TargetMode="External"/><Relationship Id="rId41" Type="http://schemas.openxmlformats.org/officeDocument/2006/relationships/hyperlink" Target="http://refhub.elsevier.com/S2352-3441(21)00088-1/sref6" TargetMode="External"/><Relationship Id="rId42" Type="http://schemas.openxmlformats.org/officeDocument/2006/relationships/hyperlink" Target="https://www.cdc.gov/nhsn/pdfs/checklists/ssi-checklist-508.pdf" TargetMode="External"/><Relationship Id="rId43" Type="http://schemas.openxmlformats.org/officeDocument/2006/relationships/hyperlink" Target="http://refhub.elsevier.com/S2352-3441(21)00088-1/sref8" TargetMode="External"/><Relationship Id="rId44" Type="http://schemas.openxmlformats.org/officeDocument/2006/relationships/hyperlink" Target="http://refhub.elsevier.com/S2352-3441(21)00088-1/sref9" TargetMode="External"/><Relationship Id="rId45" Type="http://schemas.openxmlformats.org/officeDocument/2006/relationships/hyperlink" Target="http://refhub.elsevier.com/S2352-3441(21)00088-1/sref10" TargetMode="External"/><Relationship Id="rId46" Type="http://schemas.openxmlformats.org/officeDocument/2006/relationships/hyperlink" Target="http://refhub.elsevier.com/S2352-3441(21)00088-1/sref11" TargetMode="External"/><Relationship Id="rId47" Type="http://schemas.openxmlformats.org/officeDocument/2006/relationships/hyperlink" Target="http://refhub.elsevier.com/S2352-3441(21)00088-1/sref12" TargetMode="External"/><Relationship Id="rId48" Type="http://schemas.openxmlformats.org/officeDocument/2006/relationships/hyperlink" Target="http://refhub.elsevier.com/S2352-3441(21)00088-1/sref13" TargetMode="External"/><Relationship Id="rId49" Type="http://schemas.openxmlformats.org/officeDocument/2006/relationships/hyperlink" Target="http://www.ohri.ca/programs/clinical_epidemiology/oxford.asp" TargetMode="External"/><Relationship Id="rId50" Type="http://schemas.openxmlformats.org/officeDocument/2006/relationships/hyperlink" Target="http://refhub.elsevier.com/S2352-3441(21)00088-1/sref15" TargetMode="External"/><Relationship Id="rId51" Type="http://schemas.openxmlformats.org/officeDocument/2006/relationships/hyperlink" Target="http://refhub.elsevier.com/S2352-3441(21)00088-1/sref16" TargetMode="External"/><Relationship Id="rId52" Type="http://schemas.openxmlformats.org/officeDocument/2006/relationships/hyperlink" Target="http://refhub.elsevier.com/S2352-3441(21)00088-1/sref17" TargetMode="External"/><Relationship Id="rId53" Type="http://schemas.openxmlformats.org/officeDocument/2006/relationships/hyperlink" Target="http://refhub.elsevier.com/S2352-3441(21)00088-1/sref18" TargetMode="External"/><Relationship Id="rId54" Type="http://schemas.openxmlformats.org/officeDocument/2006/relationships/hyperlink" Target="http://refhub.elsevier.com/S2352-3441(21)00088-1/sref19" TargetMode="External"/><Relationship Id="rId55" Type="http://schemas.openxmlformats.org/officeDocument/2006/relationships/hyperlink" Target="http://refhub.elsevier.com/S2352-3441(21)00088-1/sref20" TargetMode="External"/><Relationship Id="rId56" Type="http://schemas.openxmlformats.org/officeDocument/2006/relationships/hyperlink" Target="http://refhub.elsevier.com/S2352-3441(21)00088-1/sref21" TargetMode="External"/><Relationship Id="rId57" Type="http://schemas.openxmlformats.org/officeDocument/2006/relationships/hyperlink" Target="http://refhub.elsevier.com/S2352-3441(21)00088-1/sref22" TargetMode="External"/><Relationship Id="rId58" Type="http://schemas.openxmlformats.org/officeDocument/2006/relationships/hyperlink" Target="http://refhub.elsevier.com/S2352-3441(21)00088-1/sref23" TargetMode="External"/><Relationship Id="rId59" Type="http://schemas.openxmlformats.org/officeDocument/2006/relationships/hyperlink" Target="http://refhub.elsevier.com/S2352-3441(21)00088-1/sref24" TargetMode="External"/><Relationship Id="rId60" Type="http://schemas.openxmlformats.org/officeDocument/2006/relationships/hyperlink" Target="http://refhub.elsevier.com/S2352-3441(21)00088-1/sref25" TargetMode="External"/><Relationship Id="rId61" Type="http://schemas.openxmlformats.org/officeDocument/2006/relationships/hyperlink" Target="http://refhub.elsevier.com/S2352-3441(21)00088-1/sref26" TargetMode="External"/><Relationship Id="rId62" Type="http://schemas.openxmlformats.org/officeDocument/2006/relationships/hyperlink" Target="http://refhub.elsevier.com/S2352-3441(21)00088-1/sref27" TargetMode="External"/><Relationship Id="rId63" Type="http://schemas.openxmlformats.org/officeDocument/2006/relationships/hyperlink" Target="http://refhub.elsevier.com/S2352-3441(21)00088-1/sref28" TargetMode="External"/><Relationship Id="rId64" Type="http://schemas.openxmlformats.org/officeDocument/2006/relationships/hyperlink" Target="http://refhub.elsevier.com/S2352-3441(21)00088-1/sref29" TargetMode="External"/><Relationship Id="rId65" Type="http://schemas.openxmlformats.org/officeDocument/2006/relationships/hyperlink" Target="http://refhub.elsevier.com/S2352-3441(21)00088-1/sref30" TargetMode="External"/><Relationship Id="rId66" Type="http://schemas.openxmlformats.org/officeDocument/2006/relationships/hyperlink" Target="http://refhub.elsevier.com/S2352-3441(21)00088-1/sref31" TargetMode="External"/><Relationship Id="rId67" Type="http://schemas.openxmlformats.org/officeDocument/2006/relationships/hyperlink" Target="http://refhub.elsevier.com/S2352-3441(21)00088-1/sref32" TargetMode="External"/><Relationship Id="rId68" Type="http://schemas.openxmlformats.org/officeDocument/2006/relationships/hyperlink" Target="http://refhub.elsevier.com/S2352-3441(21)00088-1/sref33" TargetMode="External"/><Relationship Id="rId69" Type="http://schemas.openxmlformats.org/officeDocument/2006/relationships/hyperlink" Target="http://refhub.elsevier.com/S2352-3441(21)00088-1/sref34" TargetMode="External"/><Relationship Id="rId70" Type="http://schemas.openxmlformats.org/officeDocument/2006/relationships/hyperlink" Target="http://refhub.elsevier.com/S2352-3441(21)00088-1/sref35" TargetMode="External"/><Relationship Id="rId71" Type="http://schemas.openxmlformats.org/officeDocument/2006/relationships/hyperlink" Target="http://refhub.elsevier.com/S2352-3441(21)00088-1/sref36" TargetMode="External"/><Relationship Id="rId72" Type="http://schemas.openxmlformats.org/officeDocument/2006/relationships/hyperlink" Target="http://refhub.elsevier.com/S2352-3441(21)00088-1/sref37" TargetMode="External"/><Relationship Id="rId73" Type="http://schemas.openxmlformats.org/officeDocument/2006/relationships/hyperlink" Target="http://refhub.elsevier.com/S2352-3441(21)00088-1/sref38" TargetMode="External"/><Relationship Id="rId74" Type="http://schemas.openxmlformats.org/officeDocument/2006/relationships/hyperlink" Target="http://refhub.elsevier.com/S2352-3441(21)00088-1/sref39" TargetMode="External"/><Relationship Id="rId75" Type="http://schemas.openxmlformats.org/officeDocument/2006/relationships/hyperlink" Target="http://refhub.elsevier.com/S2352-3441(21)00088-1/sref40" TargetMode="External"/><Relationship Id="rId76" Type="http://schemas.openxmlformats.org/officeDocument/2006/relationships/hyperlink" Target="http://refhub.elsevier.com/S2352-3441(21)00088-1/sref41" TargetMode="External"/><Relationship Id="rId77" Type="http://schemas.openxmlformats.org/officeDocument/2006/relationships/hyperlink" Target="http://refhub.elsevier.com/S2352-3441(21)00088-1/sref42" TargetMode="External"/><Relationship Id="rId78" Type="http://schemas.openxmlformats.org/officeDocument/2006/relationships/hyperlink" Target="http://refhub.elsevier.com/S2352-3441(21)00088-1/sref43" TargetMode="External"/><Relationship Id="rId79" Type="http://schemas.openxmlformats.org/officeDocument/2006/relationships/hyperlink" Target="http://refhub.elsevier.com/S2352-3441(21)00088-1/sref44" TargetMode="External"/><Relationship Id="rId80" Type="http://schemas.openxmlformats.org/officeDocument/2006/relationships/hyperlink" Target="http://refhub.elsevier.com/S2352-3441(21)00088-1/sref45" TargetMode="External"/><Relationship Id="rId81" Type="http://schemas.openxmlformats.org/officeDocument/2006/relationships/hyperlink" Target="http://refhub.elsevier.com/S2352-3441(21)00088-1/sref46" TargetMode="External"/><Relationship Id="rId82" Type="http://schemas.openxmlformats.org/officeDocument/2006/relationships/hyperlink" Target="http://refhub.elsevier.com/S2352-3441(21)00088-1/sref47" TargetMode="External"/><Relationship Id="rId83" Type="http://schemas.openxmlformats.org/officeDocument/2006/relationships/hyperlink" Target="http://refhub.elsevier.com/S2352-3441(21)00088-1/sref48" TargetMode="External"/><Relationship Id="rId84" Type="http://schemas.openxmlformats.org/officeDocument/2006/relationships/hyperlink" Target="http://refhub.elsevier.com/S2352-3441(21)00088-1/sref49" TargetMode="External"/><Relationship Id="rId85" Type="http://schemas.openxmlformats.org/officeDocument/2006/relationships/hyperlink" Target="http://refhub.elsevier.com/S2352-3441(21)00088-1/sref50" TargetMode="External"/><Relationship Id="rId86" Type="http://schemas.openxmlformats.org/officeDocument/2006/relationships/hyperlink" Target="http://refhub.elsevier.com/S2352-3441(21)00088-1/sref51" TargetMode="External"/><Relationship Id="rId87" Type="http://schemas.openxmlformats.org/officeDocument/2006/relationships/hyperlink" Target="http://refhub.elsevier.com/S2352-3441(21)00088-1/sref52" TargetMode="External"/><Relationship Id="rId88" Type="http://schemas.openxmlformats.org/officeDocument/2006/relationships/hyperlink" Target="http://refhub.elsevier.com/S2352-3441(21)00088-1/sref53" TargetMode="External"/><Relationship Id="rId89" Type="http://schemas.openxmlformats.org/officeDocument/2006/relationships/hyperlink" Target="http://refhub.elsevier.com/S2352-3441(21)00088-1/sref54" TargetMode="External"/><Relationship Id="rId90" Type="http://schemas.openxmlformats.org/officeDocument/2006/relationships/hyperlink" Target="http://refhub.elsevier.com/S2352-3441(21)00088-1/sref55" TargetMode="External"/><Relationship Id="rId91" Type="http://schemas.openxmlformats.org/officeDocument/2006/relationships/hyperlink" Target="http://refhub.elsevier.com/S2352-3441(21)00088-1/sref56" TargetMode="External"/><Relationship Id="rId92" Type="http://schemas.openxmlformats.org/officeDocument/2006/relationships/hyperlink" Target="http://refhub.elsevier.com/S2352-3441(21)00088-1/sref57" TargetMode="External"/><Relationship Id="rId93" Type="http://schemas.openxmlformats.org/officeDocument/2006/relationships/hyperlink" Target="http://refhub.elsevier.com/S2352-3441(21)00088-1/sref58" TargetMode="External"/><Relationship Id="rId94" Type="http://schemas.openxmlformats.org/officeDocument/2006/relationships/hyperlink" Target="http://refhub.elsevier.com/S2352-3441(21)00088-1/sref59" TargetMode="External"/><Relationship Id="rId95" Type="http://schemas.openxmlformats.org/officeDocument/2006/relationships/hyperlink" Target="https://apps.who.int/iris/handle/10665/277399" TargetMode="External"/><Relationship Id="rId96" Type="http://schemas.openxmlformats.org/officeDocument/2006/relationships/hyperlink" Target="https://www.nice.org.uk/guidance/ng125" TargetMode="External"/><Relationship Id="rId97" Type="http://schemas.openxmlformats.org/officeDocument/2006/relationships/hyperlink" Target="https://innovation.cms.gov/initiatives/cjr" TargetMode="External"/><Relationship Id="rId98" Type="http://schemas.openxmlformats.org/officeDocument/2006/relationships/hyperlink" Target="https://www.cms.gov/Medicare/Medicare-Fee-for-Service-Payment/AcuteInpatientPPS/Readmissions-Reduction-Program" TargetMode="External"/><Relationship Id="rId99" Type="http://schemas.openxmlformats.org/officeDocument/2006/relationships/hyperlink" Target="http://refhub.elsevier.com/S2352-3441(21)00088-1/sref64" TargetMode="External"/><Relationship Id="rId100" Type="http://schemas.openxmlformats.org/officeDocument/2006/relationships/hyperlink" Target="http://refhub.elsevier.com/S2352-3441(21)00088-1/sref65" TargetMode="External"/><Relationship Id="rId101" Type="http://schemas.openxmlformats.org/officeDocument/2006/relationships/hyperlink" Target="http://refhub.elsevier.com/S2352-3441(21)00088-1/sref66" TargetMode="External"/><Relationship Id="rId102" Type="http://schemas.openxmlformats.org/officeDocument/2006/relationships/hyperlink" Target="http://refhub.elsevier.com/S2352-3441(21)00088-1/sref67" TargetMode="External"/><Relationship Id="rId103" Type="http://schemas.openxmlformats.org/officeDocument/2006/relationships/header" Target="header7.xml"/><Relationship Id="rId104" Type="http://schemas.openxmlformats.org/officeDocument/2006/relationships/footer" Target="footer7.xml"/><Relationship Id="rId105" Type="http://schemas.openxmlformats.org/officeDocument/2006/relationships/header" Target="header8.xml"/><Relationship Id="rId106" Type="http://schemas.openxmlformats.org/officeDocument/2006/relationships/footer" Target="footer8.xml"/><Relationship Id="rId107" Type="http://schemas.openxmlformats.org/officeDocument/2006/relationships/header" Target="header9.xml"/><Relationship Id="rId108" Type="http://schemas.openxmlformats.org/officeDocument/2006/relationships/footer" Target="footer9.xml"/><Relationship Id="rId109" Type="http://schemas.openxmlformats.org/officeDocument/2006/relationships/header" Target="header10.xml"/><Relationship Id="rId110" Type="http://schemas.openxmlformats.org/officeDocument/2006/relationships/footer" Target="footer10.xml"/><Relationship Id="rId111" Type="http://schemas.openxmlformats.org/officeDocument/2006/relationships/header" Target="header11.xml"/><Relationship Id="rId112" Type="http://schemas.openxmlformats.org/officeDocument/2006/relationships/footer" Target="footer11.xml"/><Relationship Id="rId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 Snyder MD FAOA FAAOS</dc:creator>
  <dc:subject>Arthroplasty Today, Corrected proof. doi:10.1016/j.artd.2021.05.015</dc:subject>
  <dc:title>Multilayer Watertight Closure to Address Adverse Events From Primary Total Knee and Hip Arthroplasty: A Systematic Review of Wound Closure Methods by Tissue Layer</dc:title>
  <dcterms:created xsi:type="dcterms:W3CDTF">2021-08-10T13:53:42Z</dcterms:created>
  <dcterms:modified xsi:type="dcterms:W3CDTF">2021-08-10T13:53:42Z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2021-07-06T00:00:00Z</vt:filetime>
  </property>
  <property fmtid="{D5CDD505-2E9C-101B-9397-08002B2CF9AE}" pid="3" name="Creator">
    <vt:lpwstr>Elsevier</vt:lpwstr>
  </property>
  <property fmtid="{D5CDD505-2E9C-101B-9397-08002B2CF9AE}" pid="4" name="LastSaved">
    <vt:filetime>2021-08-10T00:00:00Z</vt:filetime>
  </property>
</Properties>
</file>