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FB5A8" w14:textId="77777777" w:rsidR="00121BBD" w:rsidRPr="00F71063" w:rsidRDefault="00121BBD" w:rsidP="0098448F">
      <w:pPr>
        <w:spacing w:line="240" w:lineRule="auto"/>
        <w:rPr>
          <w:b/>
          <w:bCs/>
          <w:sz w:val="36"/>
          <w:szCs w:val="36"/>
        </w:rPr>
      </w:pPr>
      <w:r w:rsidRPr="00F71063">
        <w:rPr>
          <w:b/>
          <w:bCs/>
          <w:sz w:val="36"/>
          <w:szCs w:val="36"/>
        </w:rPr>
        <w:t>Outcomes of Total Hip Arthroplasty in Patients with Sickle Cell Disease: A Retrospective Single-Center Study</w:t>
      </w:r>
    </w:p>
    <w:p w14:paraId="793D3A20" w14:textId="77777777" w:rsidR="00D35F4B" w:rsidRPr="00284DA0" w:rsidRDefault="00D35F4B" w:rsidP="0098448F">
      <w:pPr>
        <w:spacing w:line="240" w:lineRule="auto"/>
        <w:rPr>
          <w:b/>
          <w:bCs/>
        </w:rPr>
        <w:sectPr w:rsidR="00D35F4B" w:rsidRPr="00284DA0">
          <w:pgSz w:w="12240" w:h="15840"/>
          <w:pgMar w:top="1440" w:right="1440" w:bottom="1440" w:left="1440" w:header="708" w:footer="708" w:gutter="0"/>
          <w:cols w:space="708"/>
          <w:docGrid w:linePitch="360"/>
        </w:sectPr>
      </w:pPr>
    </w:p>
    <w:p w14:paraId="1FA8DBA7" w14:textId="77777777" w:rsidR="00121BBD" w:rsidRPr="00284DA0" w:rsidRDefault="00121BBD" w:rsidP="0098448F">
      <w:pPr>
        <w:spacing w:after="0" w:line="240" w:lineRule="auto"/>
        <w:rPr>
          <w:b/>
          <w:bCs/>
          <w:sz w:val="22"/>
          <w:szCs w:val="22"/>
        </w:rPr>
      </w:pPr>
      <w:r w:rsidRPr="00284DA0">
        <w:rPr>
          <w:b/>
          <w:bCs/>
          <w:sz w:val="22"/>
          <w:szCs w:val="22"/>
        </w:rPr>
        <w:t>Authors</w:t>
      </w:r>
    </w:p>
    <w:p w14:paraId="2BFF658B" w14:textId="2339ABC2" w:rsidR="00121BBD" w:rsidRPr="00284DA0" w:rsidRDefault="00121BBD" w:rsidP="0098448F">
      <w:pPr>
        <w:spacing w:after="0" w:line="240" w:lineRule="auto"/>
        <w:rPr>
          <w:sz w:val="22"/>
          <w:szCs w:val="22"/>
        </w:rPr>
      </w:pPr>
      <w:r w:rsidRPr="00284DA0">
        <w:rPr>
          <w:sz w:val="22"/>
          <w:szCs w:val="22"/>
        </w:rPr>
        <w:t>Ohood Al Rawahi, MD¹*;Mohammed Al Habsi, MD²;Osama Al Sinani, MD²;Humaid Al Farii, MD³;Mohammed Al Mutani, MD⁴;Sultan Al Maskari, MD⁵</w:t>
      </w:r>
    </w:p>
    <w:p w14:paraId="416BC1C1" w14:textId="767EF8BB" w:rsidR="00121BBD" w:rsidRPr="00284DA0" w:rsidRDefault="00121BBD" w:rsidP="00655B9A">
      <w:pPr>
        <w:spacing w:after="0" w:line="240" w:lineRule="auto"/>
        <w:rPr>
          <w:sz w:val="22"/>
          <w:szCs w:val="22"/>
        </w:rPr>
      </w:pPr>
      <w:r w:rsidRPr="00284DA0">
        <w:rPr>
          <w:sz w:val="22"/>
          <w:szCs w:val="22"/>
        </w:rPr>
        <w:t>*Corresponding author</w:t>
      </w:r>
    </w:p>
    <w:p w14:paraId="62752E34" w14:textId="150C8875" w:rsidR="00D35F4B" w:rsidRPr="00284DA0" w:rsidRDefault="00312F05" w:rsidP="00376C15">
      <w:pPr>
        <w:rPr>
          <w:b/>
          <w:bCs/>
        </w:rPr>
        <w:sectPr w:rsidR="00D35F4B" w:rsidRPr="00284DA0" w:rsidSect="00D35F4B">
          <w:type w:val="continuous"/>
          <w:pgSz w:w="12240" w:h="15840"/>
          <w:pgMar w:top="1440" w:right="1440" w:bottom="1440" w:left="1440" w:header="708" w:footer="708" w:gutter="0"/>
          <w:cols w:space="708"/>
          <w:docGrid w:linePitch="360"/>
        </w:sectPr>
      </w:pPr>
      <w:r w:rsidRPr="00312F05">
        <w:rPr>
          <w:noProof/>
          <w:sz w:val="40"/>
          <w:szCs w:val="40"/>
        </w:rPr>
        <w:pict w14:anchorId="1CDBA94D">
          <v:rect id="_x0000_i1027" alt="" style="width:468pt;height:.05pt;mso-width-percent:0;mso-height-percent:0;mso-width-percent:0;mso-height-percent:0" o:hralign="center" o:hrstd="t" o:hr="t" fillcolor="#a0a0a0" stroked="f"/>
        </w:pict>
      </w:r>
    </w:p>
    <w:p w14:paraId="65FB2CBB" w14:textId="77777777" w:rsidR="00F71063" w:rsidRPr="00F71063" w:rsidRDefault="00F71063" w:rsidP="00F71063">
      <w:pPr>
        <w:spacing w:line="240" w:lineRule="auto"/>
      </w:pPr>
      <w:r w:rsidRPr="00F71063">
        <w:rPr>
          <w:b/>
          <w:bCs/>
        </w:rPr>
        <w:t>Background:</w:t>
      </w:r>
      <w:r w:rsidRPr="00F71063">
        <w:rPr>
          <w:b/>
          <w:bCs/>
        </w:rPr>
        <w:br/>
      </w:r>
      <w:r w:rsidRPr="00F71063">
        <w:t>Total hip arthroplasty (THA) in patients with sickle cell disease (SCD) presents unique surgical and perioperative challenges and has historically been associated with increased complication rates. With advances in implant design and perioperative optimization, contemporary outcome data are needed. This study evaluates clinical characteristics, perioperative management, and functional outcomes of THA in SCD patients treated at a tertiary referral center in Oman.</w:t>
      </w:r>
    </w:p>
    <w:p w14:paraId="6FEFECEE" w14:textId="77777777" w:rsidR="00F71063" w:rsidRPr="00F71063" w:rsidRDefault="00F71063" w:rsidP="00F71063">
      <w:pPr>
        <w:spacing w:line="240" w:lineRule="auto"/>
      </w:pPr>
      <w:r w:rsidRPr="00F71063">
        <w:rPr>
          <w:b/>
          <w:bCs/>
        </w:rPr>
        <w:t>Methods:</w:t>
      </w:r>
      <w:r w:rsidRPr="00F71063">
        <w:rPr>
          <w:b/>
          <w:bCs/>
        </w:rPr>
        <w:br/>
      </w:r>
      <w:r w:rsidRPr="00F71063">
        <w:t>A retrospective analysis was performed of all SCD patients who underwent THA at Sultan Qaboos University Hospital between January 2009 and December 2024. A total of 107 patients (109 hips), including two bilateral cases, were identified. Data collected included demographics, surgical approach, implant fixation and bearing surface, preoperative hemoglobin S (HbS%) levels, and transfusion strategy. Functional outcomes were assessed using the Harris Hip Score (HHS) and Oxford Hip Score (OHS). Minimum follow-up was six months.</w:t>
      </w:r>
    </w:p>
    <w:p w14:paraId="62614EFC" w14:textId="77777777" w:rsidR="00F71063" w:rsidRPr="00F71063" w:rsidRDefault="00F71063" w:rsidP="00F71063">
      <w:pPr>
        <w:spacing w:line="240" w:lineRule="auto"/>
      </w:pPr>
      <w:r w:rsidRPr="00F71063">
        <w:rPr>
          <w:b/>
          <w:bCs/>
        </w:rPr>
        <w:t>Results:</w:t>
      </w:r>
      <w:r w:rsidRPr="00F71063">
        <w:rPr>
          <w:b/>
          <w:bCs/>
        </w:rPr>
        <w:br/>
      </w:r>
      <w:r w:rsidRPr="00F71063">
        <w:t>Of the 109 hips, 96 were primary THA procedures. The cohort included 107 Omani patients, with a female predominance (51.4%). Patient age ranged from 16 to 69 years. The posterior approach was most frequently utilized. Preoperative exchange transfusion was performed in approximately 75 patients according to hematology recommendations, while selected patients with hemoglobin levels below 8 g/dL received simple transfusion. Mean preoperative HbS% was 60.1%. Most procedures were non-cemented THAs (92 hips), with ceramic-on-ceramic bearing surfaces used in 74 cases. Reported postoperative complications included wound-related issues, acute chest syndrome, periprosthetic fracture, thromboembolic events, limb length discrepancy, and sciatic nerve neuropathy. Mean postoperative HHS was 90.43, and mean OHS was 41.36.</w:t>
      </w:r>
    </w:p>
    <w:p w14:paraId="50C8500D" w14:textId="3CD9EBA3" w:rsidR="00655B9A" w:rsidRPr="00430427" w:rsidRDefault="00F71063" w:rsidP="00430427">
      <w:pPr>
        <w:spacing w:line="240" w:lineRule="auto"/>
        <w:sectPr w:rsidR="00655B9A" w:rsidRPr="00430427" w:rsidSect="00655B9A">
          <w:type w:val="continuous"/>
          <w:pgSz w:w="12240" w:h="15840"/>
          <w:pgMar w:top="1440" w:right="1440" w:bottom="1440" w:left="1440" w:header="708" w:footer="708" w:gutter="0"/>
          <w:cols w:space="708"/>
          <w:docGrid w:linePitch="360"/>
        </w:sectPr>
      </w:pPr>
      <w:r w:rsidRPr="00F71063">
        <w:rPr>
          <w:b/>
          <w:bCs/>
        </w:rPr>
        <w:t>Conclusion:</w:t>
      </w:r>
      <w:r w:rsidRPr="00F71063">
        <w:br/>
        <w:t>THA in patients with sickle cell disease can achieve excellent functional outcomes when performed in a specialized center. The use of contemporary implants combined with individualized, hematology-guided perioperative optimization allows safe and effective management of this high-risk population.</w:t>
      </w:r>
    </w:p>
    <w:p w14:paraId="4FDD93E7" w14:textId="5F1C5E87" w:rsidR="00655B9A" w:rsidRPr="00FA4818" w:rsidRDefault="00FA4818" w:rsidP="00FA4818">
      <w:pPr>
        <w:spacing w:line="240" w:lineRule="auto"/>
        <w:rPr>
          <w:sz w:val="40"/>
          <w:szCs w:val="40"/>
        </w:rPr>
      </w:pPr>
      <w:r>
        <w:rPr>
          <w:b/>
          <w:bCs/>
          <w:noProof/>
          <w:sz w:val="22"/>
          <w:szCs w:val="22"/>
        </w:rPr>
        <w:lastRenderedPageBreak/>
        <w:drawing>
          <wp:inline distT="0" distB="0" distL="0" distR="0" wp14:anchorId="1E46E71B" wp14:editId="017DFD46">
            <wp:extent cx="3385276" cy="2182308"/>
            <wp:effectExtent l="0" t="0" r="5715" b="2540"/>
            <wp:docPr id="347620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20195" name="Picture 347620195"/>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10054" cy="2198281"/>
                    </a:xfrm>
                    <a:prstGeom prst="rect">
                      <a:avLst/>
                    </a:prstGeom>
                  </pic:spPr>
                </pic:pic>
              </a:graphicData>
            </a:graphic>
          </wp:inline>
        </w:drawing>
      </w:r>
    </w:p>
    <w:p w14:paraId="241EE7EB" w14:textId="77777777" w:rsidR="00FA4818" w:rsidRDefault="00FA4818" w:rsidP="00FA4818">
      <w:pPr>
        <w:spacing w:after="0" w:line="240" w:lineRule="auto"/>
        <w:rPr>
          <w:b/>
          <w:bCs/>
          <w:sz w:val="22"/>
          <w:szCs w:val="22"/>
        </w:rPr>
        <w:sectPr w:rsidR="00FA4818" w:rsidSect="00284DA0">
          <w:type w:val="continuous"/>
          <w:pgSz w:w="12240" w:h="15840"/>
          <w:pgMar w:top="1440" w:right="1440" w:bottom="1440" w:left="1440" w:header="708" w:footer="708" w:gutter="0"/>
          <w:cols w:space="708"/>
          <w:docGrid w:linePitch="360"/>
        </w:sectPr>
      </w:pPr>
    </w:p>
    <w:p w14:paraId="50B3D7B8" w14:textId="725C6FE9" w:rsidR="00FA4818" w:rsidRDefault="00FA4818" w:rsidP="00FA4818">
      <w:pPr>
        <w:spacing w:after="0" w:line="240" w:lineRule="auto"/>
        <w:rPr>
          <w:b/>
          <w:bCs/>
          <w:sz w:val="22"/>
          <w:szCs w:val="22"/>
        </w:rPr>
        <w:sectPr w:rsidR="00FA4818" w:rsidSect="00FA4818">
          <w:type w:val="continuous"/>
          <w:pgSz w:w="12240" w:h="15840"/>
          <w:pgMar w:top="1440" w:right="1440" w:bottom="1440" w:left="1440" w:header="708" w:footer="708" w:gutter="0"/>
          <w:cols w:num="2" w:space="708"/>
          <w:docGrid w:linePitch="360"/>
        </w:sectPr>
      </w:pPr>
    </w:p>
    <w:p w14:paraId="72DB5457" w14:textId="64FF92BF" w:rsidR="00FA4818" w:rsidRDefault="00FA4818" w:rsidP="00FA4818">
      <w:pPr>
        <w:spacing w:after="0" w:line="240" w:lineRule="auto"/>
        <w:rPr>
          <w:b/>
          <w:bCs/>
          <w:sz w:val="22"/>
          <w:szCs w:val="22"/>
        </w:rPr>
      </w:pPr>
      <w:r>
        <w:rPr>
          <w:b/>
          <w:bCs/>
          <w:noProof/>
          <w:sz w:val="22"/>
          <w:szCs w:val="22"/>
        </w:rPr>
        <w:drawing>
          <wp:inline distT="0" distB="0" distL="0" distR="0" wp14:anchorId="3BADA817" wp14:editId="22D8C801">
            <wp:extent cx="3384412" cy="2590800"/>
            <wp:effectExtent l="0" t="0" r="0" b="0"/>
            <wp:docPr id="204743459" name="Picture 4" descr="A graph of a number of surgical approach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3459" name="Picture 4" descr="A graph of a number of surgical approaches&#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3458261" cy="2647332"/>
                    </a:xfrm>
                    <a:prstGeom prst="rect">
                      <a:avLst/>
                    </a:prstGeom>
                  </pic:spPr>
                </pic:pic>
              </a:graphicData>
            </a:graphic>
          </wp:inline>
        </w:drawing>
      </w:r>
    </w:p>
    <w:p w14:paraId="65944D24" w14:textId="77777777" w:rsidR="00FA4818" w:rsidRDefault="00FA4818" w:rsidP="00FA4818">
      <w:pPr>
        <w:spacing w:after="0" w:line="240" w:lineRule="auto"/>
        <w:rPr>
          <w:b/>
          <w:bCs/>
          <w:sz w:val="22"/>
          <w:szCs w:val="22"/>
        </w:rPr>
      </w:pPr>
    </w:p>
    <w:p w14:paraId="586D771C" w14:textId="77777777" w:rsidR="00FA4818" w:rsidRPr="00FA4818" w:rsidRDefault="00FA4818" w:rsidP="00FA4818">
      <w:pPr>
        <w:spacing w:after="0" w:line="240" w:lineRule="auto"/>
        <w:rPr>
          <w:b/>
          <w:bCs/>
          <w:sz w:val="22"/>
          <w:szCs w:val="22"/>
        </w:rPr>
      </w:pPr>
    </w:p>
    <w:p w14:paraId="09031CCA" w14:textId="7A7F5073" w:rsidR="00655B9A" w:rsidRPr="00FA4818" w:rsidRDefault="00FA4818" w:rsidP="00FA4818">
      <w:pPr>
        <w:spacing w:after="0" w:line="240" w:lineRule="auto"/>
        <w:rPr>
          <w:b/>
          <w:bCs/>
          <w:sz w:val="22"/>
          <w:szCs w:val="22"/>
        </w:rPr>
      </w:pPr>
      <w:r>
        <w:rPr>
          <w:b/>
          <w:bCs/>
          <w:noProof/>
          <w:sz w:val="22"/>
          <w:szCs w:val="22"/>
        </w:rPr>
        <w:drawing>
          <wp:inline distT="0" distB="0" distL="0" distR="0" wp14:anchorId="04BB82DA" wp14:editId="564072B9">
            <wp:extent cx="2820633" cy="2626337"/>
            <wp:effectExtent l="0" t="0" r="0" b="3175"/>
            <wp:docPr id="1993067354" name="Picture 5" descr="A diagram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67354" name="Picture 5" descr="A diagram of a number of objects&#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41431" cy="2645703"/>
                    </a:xfrm>
                    <a:prstGeom prst="rect">
                      <a:avLst/>
                    </a:prstGeom>
                  </pic:spPr>
                </pic:pic>
              </a:graphicData>
            </a:graphic>
          </wp:inline>
        </w:drawing>
      </w:r>
    </w:p>
    <w:p w14:paraId="7B2D8BAA" w14:textId="77777777" w:rsidR="00FA4818" w:rsidRDefault="00FA4818" w:rsidP="0098448F">
      <w:pPr>
        <w:spacing w:after="0" w:line="240" w:lineRule="auto"/>
        <w:rPr>
          <w:b/>
          <w:bCs/>
          <w:sz w:val="16"/>
          <w:szCs w:val="16"/>
        </w:rPr>
      </w:pPr>
    </w:p>
    <w:p w14:paraId="1A321720" w14:textId="03916071" w:rsidR="00121BBD" w:rsidRPr="00FA4818" w:rsidRDefault="00121BBD" w:rsidP="0098448F">
      <w:pPr>
        <w:spacing w:after="0" w:line="240" w:lineRule="auto"/>
        <w:rPr>
          <w:b/>
          <w:bCs/>
          <w:sz w:val="22"/>
          <w:szCs w:val="22"/>
        </w:rPr>
      </w:pPr>
      <w:r w:rsidRPr="00FA4818">
        <w:rPr>
          <w:b/>
          <w:bCs/>
          <w:sz w:val="22"/>
          <w:szCs w:val="22"/>
        </w:rPr>
        <w:lastRenderedPageBreak/>
        <w:t>References</w:t>
      </w:r>
    </w:p>
    <w:p w14:paraId="0EADDFF3" w14:textId="77777777" w:rsidR="00121BBD" w:rsidRPr="00FA4818" w:rsidRDefault="00121BBD" w:rsidP="0098448F">
      <w:pPr>
        <w:numPr>
          <w:ilvl w:val="0"/>
          <w:numId w:val="1"/>
        </w:numPr>
        <w:spacing w:after="0" w:line="240" w:lineRule="auto"/>
        <w:rPr>
          <w:sz w:val="22"/>
          <w:szCs w:val="22"/>
        </w:rPr>
      </w:pPr>
      <w:r w:rsidRPr="00FA4818">
        <w:rPr>
          <w:sz w:val="22"/>
          <w:szCs w:val="22"/>
        </w:rPr>
        <w:t>Kenanidis E, Kapriniotis K, Anagnostis P, et al. Total hip arthroplasty in sickle cell disease: a systematic review. </w:t>
      </w:r>
      <w:r w:rsidRPr="00FA4818">
        <w:rPr>
          <w:i/>
          <w:iCs/>
          <w:sz w:val="22"/>
          <w:szCs w:val="22"/>
        </w:rPr>
        <w:t>EFORT Open Rev.</w:t>
      </w:r>
      <w:r w:rsidRPr="00FA4818">
        <w:rPr>
          <w:sz w:val="22"/>
          <w:szCs w:val="22"/>
        </w:rPr>
        <w:t> 2020;5:180–188.</w:t>
      </w:r>
    </w:p>
    <w:p w14:paraId="3F751F08" w14:textId="77777777" w:rsidR="00121BBD" w:rsidRPr="00FA4818" w:rsidRDefault="00121BBD" w:rsidP="0098448F">
      <w:pPr>
        <w:numPr>
          <w:ilvl w:val="0"/>
          <w:numId w:val="1"/>
        </w:numPr>
        <w:spacing w:after="0" w:line="240" w:lineRule="auto"/>
        <w:rPr>
          <w:sz w:val="22"/>
          <w:szCs w:val="22"/>
        </w:rPr>
      </w:pPr>
      <w:r w:rsidRPr="00FA4818">
        <w:rPr>
          <w:sz w:val="22"/>
          <w:szCs w:val="22"/>
        </w:rPr>
        <w:t>Fassihi SC, Lee R, Quan T, et al. Total hip arthroplasty in patients with sickle cell disease: a comprehensive systematic review. </w:t>
      </w:r>
      <w:r w:rsidRPr="00FA4818">
        <w:rPr>
          <w:i/>
          <w:iCs/>
          <w:sz w:val="22"/>
          <w:szCs w:val="22"/>
        </w:rPr>
        <w:t>J Arthroplasty.</w:t>
      </w:r>
      <w:r w:rsidRPr="00FA4818">
        <w:rPr>
          <w:sz w:val="22"/>
          <w:szCs w:val="22"/>
        </w:rPr>
        <w:t> 2020;35:2286–2295.</w:t>
      </w:r>
    </w:p>
    <w:p w14:paraId="0B3440C3" w14:textId="77777777" w:rsidR="00121BBD" w:rsidRPr="00FA4818" w:rsidRDefault="00121BBD" w:rsidP="0098448F">
      <w:pPr>
        <w:numPr>
          <w:ilvl w:val="0"/>
          <w:numId w:val="1"/>
        </w:numPr>
        <w:spacing w:after="0" w:line="240" w:lineRule="auto"/>
        <w:rPr>
          <w:sz w:val="22"/>
          <w:szCs w:val="22"/>
        </w:rPr>
      </w:pPr>
      <w:r w:rsidRPr="00FA4818">
        <w:rPr>
          <w:sz w:val="22"/>
          <w:szCs w:val="22"/>
        </w:rPr>
        <w:t>Mohabey A, Joseph FK, DeJoseph J, et al. Total hip arthroplasty in sickle cell disease: a systematic review and meta-analysis of functional outcomes and complications. </w:t>
      </w:r>
      <w:r w:rsidRPr="00FA4818">
        <w:rPr>
          <w:i/>
          <w:iCs/>
          <w:sz w:val="22"/>
          <w:szCs w:val="22"/>
        </w:rPr>
        <w:t>J Clin Orthop Trauma.</w:t>
      </w:r>
      <w:r w:rsidRPr="00FA4818">
        <w:rPr>
          <w:sz w:val="22"/>
          <w:szCs w:val="22"/>
        </w:rPr>
        <w:t> 2025.</w:t>
      </w:r>
    </w:p>
    <w:p w14:paraId="6EA53DEC" w14:textId="77777777" w:rsidR="00121BBD" w:rsidRPr="00FA4818" w:rsidRDefault="00121BBD" w:rsidP="0098448F">
      <w:pPr>
        <w:numPr>
          <w:ilvl w:val="0"/>
          <w:numId w:val="1"/>
        </w:numPr>
        <w:spacing w:after="0" w:line="240" w:lineRule="auto"/>
        <w:rPr>
          <w:sz w:val="22"/>
          <w:szCs w:val="22"/>
        </w:rPr>
      </w:pPr>
      <w:r w:rsidRPr="00FA4818">
        <w:rPr>
          <w:sz w:val="22"/>
          <w:szCs w:val="22"/>
        </w:rPr>
        <w:t>Alfaya FF, Ghazy RM, Hammouda EA, et al. Complications of total hip arthroplasty in sickle cell disease: a systematic review and meta-analysis. </w:t>
      </w:r>
      <w:r w:rsidRPr="00FA4818">
        <w:rPr>
          <w:i/>
          <w:iCs/>
          <w:sz w:val="22"/>
          <w:szCs w:val="22"/>
        </w:rPr>
        <w:t>J Clin Med.</w:t>
      </w:r>
      <w:r w:rsidRPr="00FA4818">
        <w:rPr>
          <w:sz w:val="22"/>
          <w:szCs w:val="22"/>
        </w:rPr>
        <w:t> 2024;13:4129.</w:t>
      </w:r>
    </w:p>
    <w:p w14:paraId="0D8656B9" w14:textId="77777777" w:rsidR="00D35F4B" w:rsidRPr="00FA4818" w:rsidRDefault="00121BBD" w:rsidP="0098448F">
      <w:pPr>
        <w:numPr>
          <w:ilvl w:val="0"/>
          <w:numId w:val="1"/>
        </w:numPr>
        <w:spacing w:after="0" w:line="240" w:lineRule="auto"/>
        <w:rPr>
          <w:sz w:val="22"/>
          <w:szCs w:val="22"/>
        </w:rPr>
      </w:pPr>
      <w:r w:rsidRPr="00FA4818">
        <w:rPr>
          <w:sz w:val="22"/>
          <w:szCs w:val="22"/>
        </w:rPr>
        <w:t>AlOmran AS. Survival of total hip arthroplasty in patients with sickle cell disease. </w:t>
      </w:r>
      <w:r w:rsidRPr="00FA4818">
        <w:rPr>
          <w:i/>
          <w:iCs/>
          <w:sz w:val="22"/>
          <w:szCs w:val="22"/>
        </w:rPr>
        <w:t>Arch Orthop Trauma Surg.</w:t>
      </w:r>
      <w:r w:rsidRPr="00FA4818">
        <w:rPr>
          <w:sz w:val="22"/>
          <w:szCs w:val="22"/>
        </w:rPr>
        <w:t>2023;143:7213–72</w:t>
      </w:r>
    </w:p>
    <w:p w14:paraId="59F0B53D" w14:textId="0265D196" w:rsidR="00FA4818" w:rsidRPr="00FA4818" w:rsidRDefault="00312F05" w:rsidP="00FA4818">
      <w:pPr>
        <w:spacing w:after="0" w:line="240" w:lineRule="auto"/>
        <w:ind w:left="720"/>
        <w:rPr>
          <w:sz w:val="22"/>
          <w:szCs w:val="22"/>
        </w:rPr>
      </w:pPr>
      <w:r w:rsidRPr="00312F05">
        <w:rPr>
          <w:noProof/>
          <w:sz w:val="36"/>
          <w:szCs w:val="36"/>
        </w:rPr>
        <w:pict w14:anchorId="1726149A">
          <v:rect id="_x0000_i1026" alt="" style="width:431.95pt;height:.05pt;mso-width-percent:0;mso-height-percent:0;mso-width-percent:0;mso-height-percent:0" o:hrpct="923" o:hralign="center" o:hrstd="t" o:hr="t" fillcolor="#a0a0a0" stroked="f"/>
        </w:pict>
      </w:r>
    </w:p>
    <w:p w14:paraId="637E67B3" w14:textId="77777777" w:rsidR="00FA4818" w:rsidRPr="00FA4818" w:rsidRDefault="00FA4818" w:rsidP="00FA4818">
      <w:pPr>
        <w:spacing w:after="0" w:line="240" w:lineRule="auto"/>
        <w:rPr>
          <w:sz w:val="22"/>
          <w:szCs w:val="22"/>
        </w:rPr>
      </w:pPr>
    </w:p>
    <w:p w14:paraId="306E0C01" w14:textId="77777777" w:rsidR="00FA4818" w:rsidRPr="00FA4818" w:rsidRDefault="00FA4818" w:rsidP="00FA4818">
      <w:pPr>
        <w:spacing w:after="0" w:line="240" w:lineRule="auto"/>
        <w:rPr>
          <w:b/>
          <w:bCs/>
          <w:sz w:val="22"/>
          <w:szCs w:val="22"/>
        </w:rPr>
      </w:pPr>
      <w:r w:rsidRPr="00FA4818">
        <w:rPr>
          <w:b/>
          <w:bCs/>
          <w:sz w:val="22"/>
          <w:szCs w:val="22"/>
        </w:rPr>
        <w:t>Affiliations</w:t>
      </w:r>
    </w:p>
    <w:p w14:paraId="08CF456E" w14:textId="547C7072" w:rsidR="00FA4818" w:rsidRPr="00FA4818" w:rsidRDefault="00FA4818" w:rsidP="00FA4818">
      <w:pPr>
        <w:spacing w:after="0" w:line="240" w:lineRule="auto"/>
        <w:rPr>
          <w:sz w:val="22"/>
          <w:szCs w:val="22"/>
        </w:rPr>
        <w:sectPr w:rsidR="00FA4818" w:rsidRPr="00FA4818" w:rsidSect="00FA4818">
          <w:type w:val="continuous"/>
          <w:pgSz w:w="12240" w:h="15840"/>
          <w:pgMar w:top="1440" w:right="1440" w:bottom="1440" w:left="1440" w:header="708" w:footer="708" w:gutter="0"/>
          <w:cols w:space="708"/>
          <w:docGrid w:linePitch="360"/>
        </w:sectPr>
      </w:pPr>
      <w:r w:rsidRPr="00FA4818">
        <w:rPr>
          <w:sz w:val="22"/>
          <w:szCs w:val="22"/>
        </w:rPr>
        <w:t>¹ Orthopaedic Surgery Residency Program, Oman Medical Specialty Board (OMSB), Muscat, Oman</w:t>
      </w:r>
      <w:r w:rsidRPr="00FA4818">
        <w:rPr>
          <w:sz w:val="22"/>
          <w:szCs w:val="22"/>
        </w:rPr>
        <w:br/>
        <w:t>² College of Medicine and Health Sciences, Sultan Qaboos University, Muscat, Oman</w:t>
      </w:r>
      <w:r w:rsidRPr="00FA4818">
        <w:rPr>
          <w:sz w:val="22"/>
          <w:szCs w:val="22"/>
        </w:rPr>
        <w:br/>
        <w:t>³ Department of Orthopaedics (Spine and Oncology), Sultan Qaboos University Hospital, Muscat, Oman</w:t>
      </w:r>
      <w:r w:rsidRPr="00FA4818">
        <w:rPr>
          <w:sz w:val="22"/>
          <w:szCs w:val="22"/>
        </w:rPr>
        <w:br/>
        <w:t>⁴ Division of Arthroplasty, Department of Orthopaedics, Sultan Qaboos University Hospital, Muscat, Oman</w:t>
      </w:r>
      <w:r w:rsidRPr="00FA4818">
        <w:rPr>
          <w:sz w:val="22"/>
          <w:szCs w:val="22"/>
        </w:rPr>
        <w:br/>
        <w:t>⁵ Department of Orthopaedics (Arthroplasty), Al Hayat International Hospital, Muscat, Oma</w:t>
      </w:r>
      <w:r w:rsidRPr="00FA4818">
        <w:rPr>
          <w:sz w:val="22"/>
          <w:szCs w:val="22"/>
        </w:rPr>
        <w:t>n</w:t>
      </w:r>
    </w:p>
    <w:p w14:paraId="3781AB89" w14:textId="77777777" w:rsidR="0098448F" w:rsidRPr="00FA4818" w:rsidRDefault="0098448F" w:rsidP="0098448F">
      <w:pPr>
        <w:spacing w:line="240" w:lineRule="auto"/>
        <w:rPr>
          <w:sz w:val="15"/>
          <w:szCs w:val="15"/>
        </w:rPr>
      </w:pPr>
    </w:p>
    <w:p w14:paraId="447A7C5F" w14:textId="62B0C19B" w:rsidR="0098448F" w:rsidRPr="00FA4818" w:rsidRDefault="00312F05" w:rsidP="0098448F">
      <w:pPr>
        <w:spacing w:line="240" w:lineRule="auto"/>
        <w:rPr>
          <w:sz w:val="15"/>
          <w:szCs w:val="15"/>
        </w:rPr>
        <w:sectPr w:rsidR="0098448F" w:rsidRPr="00FA4818" w:rsidSect="00284DA0">
          <w:type w:val="continuous"/>
          <w:pgSz w:w="12240" w:h="15840"/>
          <w:pgMar w:top="1440" w:right="1440" w:bottom="1440" w:left="1440" w:header="708" w:footer="708" w:gutter="0"/>
          <w:cols w:space="708"/>
          <w:docGrid w:linePitch="360"/>
        </w:sectPr>
      </w:pPr>
      <w:r w:rsidRPr="00312F05">
        <w:rPr>
          <w:noProof/>
          <w:sz w:val="36"/>
          <w:szCs w:val="36"/>
        </w:rPr>
        <w:pict w14:anchorId="32003592">
          <v:rect id="_x0000_i1025" alt="" style="width:468pt;height:.05pt;mso-width-percent:0;mso-height-percent:0;mso-width-percent:0;mso-height-percent:0" o:hralign="center" o:hrstd="t" o:hr="t" fillcolor="#a0a0a0" stroked="f"/>
        </w:pict>
      </w:r>
    </w:p>
    <w:p w14:paraId="239E0F44" w14:textId="7810A8DA" w:rsidR="00D35F4B" w:rsidRPr="00FA4818" w:rsidRDefault="00D35F4B">
      <w:pPr>
        <w:rPr>
          <w:b/>
          <w:bCs/>
          <w:sz w:val="22"/>
          <w:szCs w:val="22"/>
        </w:rPr>
      </w:pPr>
      <w:r w:rsidRPr="00FA4818">
        <w:rPr>
          <w:b/>
          <w:bCs/>
          <w:sz w:val="22"/>
          <w:szCs w:val="22"/>
        </w:rPr>
        <w:t>Photograph</w:t>
      </w:r>
    </w:p>
    <w:p w14:paraId="3709B61A" w14:textId="77777777" w:rsidR="0098448F" w:rsidRPr="00FA4818" w:rsidRDefault="0098448F">
      <w:pPr>
        <w:rPr>
          <w:sz w:val="15"/>
          <w:szCs w:val="15"/>
        </w:rPr>
        <w:sectPr w:rsidR="0098448F" w:rsidRPr="00FA4818" w:rsidSect="00D35F4B">
          <w:type w:val="continuous"/>
          <w:pgSz w:w="12240" w:h="15840"/>
          <w:pgMar w:top="1440" w:right="1440" w:bottom="1440" w:left="1440" w:header="708" w:footer="708" w:gutter="0"/>
          <w:cols w:space="708"/>
          <w:docGrid w:linePitch="360"/>
        </w:sectPr>
      </w:pPr>
    </w:p>
    <w:p w14:paraId="64A592CF" w14:textId="2C912A96" w:rsidR="00CD7838" w:rsidRPr="00FA4818" w:rsidRDefault="00FA4818">
      <w:pPr>
        <w:rPr>
          <w:b/>
          <w:bCs/>
          <w:sz w:val="15"/>
          <w:szCs w:val="15"/>
        </w:rPr>
      </w:pPr>
      <w:r w:rsidRPr="00FA4818">
        <w:rPr>
          <w:noProof/>
          <w:sz w:val="16"/>
          <w:szCs w:val="16"/>
        </w:rPr>
        <w:drawing>
          <wp:inline distT="0" distB="0" distL="0" distR="0" wp14:anchorId="581B773C" wp14:editId="5B202163">
            <wp:extent cx="1107617" cy="1153885"/>
            <wp:effectExtent l="0" t="0" r="0" b="1905"/>
            <wp:docPr id="2090953350" name="Picture 1" descr="A person in a graduation cap and g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953350" name="Picture 1" descr="A person in a graduation cap and gow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8854" cy="1196844"/>
                    </a:xfrm>
                    <a:prstGeom prst="rect">
                      <a:avLst/>
                    </a:prstGeom>
                  </pic:spPr>
                </pic:pic>
              </a:graphicData>
            </a:graphic>
          </wp:inline>
        </w:drawing>
      </w:r>
    </w:p>
    <w:p w14:paraId="76C7543E" w14:textId="77777777" w:rsidR="00FA4818" w:rsidRPr="00FA4818" w:rsidRDefault="00FA4818">
      <w:pPr>
        <w:rPr>
          <w:b/>
          <w:bCs/>
          <w:sz w:val="15"/>
          <w:szCs w:val="15"/>
        </w:rPr>
      </w:pPr>
    </w:p>
    <w:p w14:paraId="7AADAB14" w14:textId="77777777" w:rsidR="00FA4818" w:rsidRPr="00FA4818" w:rsidRDefault="00FA4818">
      <w:pPr>
        <w:rPr>
          <w:b/>
          <w:bCs/>
          <w:sz w:val="15"/>
          <w:szCs w:val="15"/>
        </w:rPr>
        <w:sectPr w:rsidR="00FA4818" w:rsidRPr="00FA4818" w:rsidSect="0098448F">
          <w:type w:val="continuous"/>
          <w:pgSz w:w="12240" w:h="15840"/>
          <w:pgMar w:top="1440" w:right="1440" w:bottom="1440" w:left="1440" w:header="708" w:footer="708" w:gutter="0"/>
          <w:cols w:num="2" w:space="708"/>
          <w:docGrid w:linePitch="360"/>
        </w:sectPr>
      </w:pPr>
    </w:p>
    <w:p w14:paraId="51B66027" w14:textId="7A9DFA39" w:rsidR="00D35F4B" w:rsidRPr="00FA4818" w:rsidRDefault="00D35F4B">
      <w:pPr>
        <w:rPr>
          <w:sz w:val="22"/>
          <w:szCs w:val="22"/>
        </w:rPr>
      </w:pPr>
      <w:r w:rsidRPr="00FA4818">
        <w:rPr>
          <w:b/>
          <w:bCs/>
          <w:sz w:val="22"/>
          <w:szCs w:val="22"/>
        </w:rPr>
        <w:t xml:space="preserve">Biography </w:t>
      </w:r>
    </w:p>
    <w:p w14:paraId="03E367DB" w14:textId="0625D85C" w:rsidR="00655B9A" w:rsidRPr="00FA4818" w:rsidRDefault="00D35F4B" w:rsidP="00655B9A">
      <w:pPr>
        <w:rPr>
          <w:noProof/>
          <w:sz w:val="22"/>
          <w:szCs w:val="22"/>
        </w:rPr>
      </w:pPr>
      <w:r w:rsidRPr="00FA4818">
        <w:rPr>
          <w:sz w:val="22"/>
          <w:szCs w:val="22"/>
        </w:rPr>
        <w:t>Ohood AL Rawahi is  PGY-4 orthopaedic surgery resident at the Oman Medical Specialty Board, Muscat, Oman. She obtained her medical degree from the National University of Science and Technology and She is currently undergoing postgraduate training in</w:t>
      </w:r>
      <w:r w:rsidR="000B431D" w:rsidRPr="00FA4818">
        <w:rPr>
          <w:sz w:val="22"/>
          <w:szCs w:val="22"/>
        </w:rPr>
        <w:t xml:space="preserve"> </w:t>
      </w:r>
      <w:r w:rsidRPr="00FA4818">
        <w:rPr>
          <w:sz w:val="22"/>
          <w:szCs w:val="22"/>
        </w:rPr>
        <w:t>orthopaedic surgery. Her academic and clinical interests focus on adult reconstruction,particularly hip arthroplasty, and outcomes research in complex patient populations She is  activelyinvolved in clinical research and audit related to arthroplasty and multidisciplinary perioperative optimization.</w:t>
      </w:r>
      <w:r w:rsidR="0098448F" w:rsidRPr="00FA4818">
        <w:rPr>
          <w:noProof/>
          <w:sz w:val="22"/>
          <w:szCs w:val="22"/>
        </w:rPr>
        <w:t xml:space="preserve"> </w:t>
      </w:r>
    </w:p>
    <w:p w14:paraId="4D7937D5" w14:textId="77777777" w:rsidR="00655B9A" w:rsidRPr="00FA4818" w:rsidRDefault="00655B9A" w:rsidP="00655B9A">
      <w:pPr>
        <w:rPr>
          <w:noProof/>
        </w:rPr>
      </w:pPr>
    </w:p>
    <w:p w14:paraId="73890F7B" w14:textId="77777777" w:rsidR="00FA4818" w:rsidRDefault="00FA4818" w:rsidP="00655B9A">
      <w:pPr>
        <w:rPr>
          <w:noProof/>
          <w:sz w:val="16"/>
          <w:szCs w:val="16"/>
        </w:rPr>
        <w:sectPr w:rsidR="00FA4818" w:rsidSect="00FA4818">
          <w:type w:val="continuous"/>
          <w:pgSz w:w="12240" w:h="15840"/>
          <w:pgMar w:top="1440" w:right="1440" w:bottom="1440" w:left="1440" w:header="708" w:footer="708" w:gutter="0"/>
          <w:cols w:space="708"/>
          <w:docGrid w:linePitch="360"/>
        </w:sectPr>
      </w:pPr>
    </w:p>
    <w:p w14:paraId="5CD1CE2A" w14:textId="77777777" w:rsidR="00655B9A" w:rsidRDefault="00655B9A" w:rsidP="00655B9A">
      <w:pPr>
        <w:rPr>
          <w:noProof/>
          <w:sz w:val="16"/>
          <w:szCs w:val="16"/>
        </w:rPr>
      </w:pPr>
    </w:p>
    <w:p w14:paraId="4FF54478" w14:textId="77777777" w:rsidR="00655B9A" w:rsidRPr="000B431D" w:rsidRDefault="00655B9A" w:rsidP="00655B9A">
      <w:pPr>
        <w:rPr>
          <w:noProof/>
          <w:sz w:val="16"/>
          <w:szCs w:val="16"/>
        </w:rPr>
      </w:pPr>
    </w:p>
    <w:sectPr w:rsidR="00655B9A" w:rsidRPr="000B431D" w:rsidSect="0098448F">
      <w:type w:val="continuous"/>
      <w:pgSz w:w="12240" w:h="15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6BCF"/>
    <w:multiLevelType w:val="multilevel"/>
    <w:tmpl w:val="845C4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82247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BBD"/>
    <w:rsid w:val="000B431D"/>
    <w:rsid w:val="000E0512"/>
    <w:rsid w:val="00121BBD"/>
    <w:rsid w:val="00284DA0"/>
    <w:rsid w:val="00312F05"/>
    <w:rsid w:val="00376C15"/>
    <w:rsid w:val="00395CD8"/>
    <w:rsid w:val="00430364"/>
    <w:rsid w:val="00430427"/>
    <w:rsid w:val="00655B9A"/>
    <w:rsid w:val="006F0920"/>
    <w:rsid w:val="00765ADA"/>
    <w:rsid w:val="00844A9D"/>
    <w:rsid w:val="008B6639"/>
    <w:rsid w:val="008F6C09"/>
    <w:rsid w:val="00954B48"/>
    <w:rsid w:val="0098448F"/>
    <w:rsid w:val="00CA6202"/>
    <w:rsid w:val="00CD7838"/>
    <w:rsid w:val="00D35F4B"/>
    <w:rsid w:val="00E37017"/>
    <w:rsid w:val="00E71F87"/>
    <w:rsid w:val="00F71063"/>
    <w:rsid w:val="00FA4818"/>
  </w:rsids>
  <m:mathPr>
    <m:mathFont m:val="Cambria Math"/>
    <m:brkBin m:val="before"/>
    <m:brkBinSub m:val="--"/>
    <m:smallFrac m:val="0"/>
    <m:dispDef/>
    <m:lMargin m:val="0"/>
    <m:rMargin m:val="0"/>
    <m:defJc m:val="centerGroup"/>
    <m:wrapIndent m:val="1440"/>
    <m:intLim m:val="subSup"/>
    <m:naryLim m:val="undOvr"/>
  </m:mathPr>
  <w:themeFontLang w:val="en-OM"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B0C4"/>
  <w15:chartTrackingRefBased/>
  <w15:docId w15:val="{6F7587FD-3589-284B-BFEA-9DEB1BE81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OM"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B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B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B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B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B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B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B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B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B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B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B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B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B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B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B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BBD"/>
    <w:rPr>
      <w:rFonts w:eastAsiaTheme="majorEastAsia" w:cstheme="majorBidi"/>
      <w:color w:val="272727" w:themeColor="text1" w:themeTint="D8"/>
    </w:rPr>
  </w:style>
  <w:style w:type="paragraph" w:styleId="Title">
    <w:name w:val="Title"/>
    <w:basedOn w:val="Normal"/>
    <w:next w:val="Normal"/>
    <w:link w:val="TitleChar"/>
    <w:uiPriority w:val="10"/>
    <w:qFormat/>
    <w:rsid w:val="00121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B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B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B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BBD"/>
    <w:pPr>
      <w:spacing w:before="160"/>
      <w:jc w:val="center"/>
    </w:pPr>
    <w:rPr>
      <w:i/>
      <w:iCs/>
      <w:color w:val="404040" w:themeColor="text1" w:themeTint="BF"/>
    </w:rPr>
  </w:style>
  <w:style w:type="character" w:customStyle="1" w:styleId="QuoteChar">
    <w:name w:val="Quote Char"/>
    <w:basedOn w:val="DefaultParagraphFont"/>
    <w:link w:val="Quote"/>
    <w:uiPriority w:val="29"/>
    <w:rsid w:val="00121BBD"/>
    <w:rPr>
      <w:i/>
      <w:iCs/>
      <w:color w:val="404040" w:themeColor="text1" w:themeTint="BF"/>
    </w:rPr>
  </w:style>
  <w:style w:type="paragraph" w:styleId="ListParagraph">
    <w:name w:val="List Paragraph"/>
    <w:basedOn w:val="Normal"/>
    <w:uiPriority w:val="34"/>
    <w:qFormat/>
    <w:rsid w:val="00121BBD"/>
    <w:pPr>
      <w:ind w:left="720"/>
      <w:contextualSpacing/>
    </w:pPr>
  </w:style>
  <w:style w:type="character" w:styleId="IntenseEmphasis">
    <w:name w:val="Intense Emphasis"/>
    <w:basedOn w:val="DefaultParagraphFont"/>
    <w:uiPriority w:val="21"/>
    <w:qFormat/>
    <w:rsid w:val="00121BBD"/>
    <w:rPr>
      <w:i/>
      <w:iCs/>
      <w:color w:val="0F4761" w:themeColor="accent1" w:themeShade="BF"/>
    </w:rPr>
  </w:style>
  <w:style w:type="paragraph" w:styleId="IntenseQuote">
    <w:name w:val="Intense Quote"/>
    <w:basedOn w:val="Normal"/>
    <w:next w:val="Normal"/>
    <w:link w:val="IntenseQuoteChar"/>
    <w:uiPriority w:val="30"/>
    <w:qFormat/>
    <w:rsid w:val="00121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BBD"/>
    <w:rPr>
      <w:i/>
      <w:iCs/>
      <w:color w:val="0F4761" w:themeColor="accent1" w:themeShade="BF"/>
    </w:rPr>
  </w:style>
  <w:style w:type="character" w:styleId="IntenseReference">
    <w:name w:val="Intense Reference"/>
    <w:basedOn w:val="DefaultParagraphFont"/>
    <w:uiPriority w:val="32"/>
    <w:qFormat/>
    <w:rsid w:val="00121B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6438">
      <w:bodyDiv w:val="1"/>
      <w:marLeft w:val="0"/>
      <w:marRight w:val="0"/>
      <w:marTop w:val="0"/>
      <w:marBottom w:val="0"/>
      <w:divBdr>
        <w:top w:val="none" w:sz="0" w:space="0" w:color="auto"/>
        <w:left w:val="none" w:sz="0" w:space="0" w:color="auto"/>
        <w:bottom w:val="none" w:sz="0" w:space="0" w:color="auto"/>
        <w:right w:val="none" w:sz="0" w:space="0" w:color="auto"/>
      </w:divBdr>
    </w:div>
    <w:div w:id="218831962">
      <w:bodyDiv w:val="1"/>
      <w:marLeft w:val="0"/>
      <w:marRight w:val="0"/>
      <w:marTop w:val="0"/>
      <w:marBottom w:val="0"/>
      <w:divBdr>
        <w:top w:val="none" w:sz="0" w:space="0" w:color="auto"/>
        <w:left w:val="none" w:sz="0" w:space="0" w:color="auto"/>
        <w:bottom w:val="none" w:sz="0" w:space="0" w:color="auto"/>
        <w:right w:val="none" w:sz="0" w:space="0" w:color="auto"/>
      </w:divBdr>
    </w:div>
    <w:div w:id="230043659">
      <w:bodyDiv w:val="1"/>
      <w:marLeft w:val="0"/>
      <w:marRight w:val="0"/>
      <w:marTop w:val="0"/>
      <w:marBottom w:val="0"/>
      <w:divBdr>
        <w:top w:val="none" w:sz="0" w:space="0" w:color="auto"/>
        <w:left w:val="none" w:sz="0" w:space="0" w:color="auto"/>
        <w:bottom w:val="none" w:sz="0" w:space="0" w:color="auto"/>
        <w:right w:val="none" w:sz="0" w:space="0" w:color="auto"/>
      </w:divBdr>
    </w:div>
    <w:div w:id="557976508">
      <w:bodyDiv w:val="1"/>
      <w:marLeft w:val="0"/>
      <w:marRight w:val="0"/>
      <w:marTop w:val="0"/>
      <w:marBottom w:val="0"/>
      <w:divBdr>
        <w:top w:val="none" w:sz="0" w:space="0" w:color="auto"/>
        <w:left w:val="none" w:sz="0" w:space="0" w:color="auto"/>
        <w:bottom w:val="none" w:sz="0" w:space="0" w:color="auto"/>
        <w:right w:val="none" w:sz="0" w:space="0" w:color="auto"/>
      </w:divBdr>
    </w:div>
    <w:div w:id="885145726">
      <w:bodyDiv w:val="1"/>
      <w:marLeft w:val="0"/>
      <w:marRight w:val="0"/>
      <w:marTop w:val="0"/>
      <w:marBottom w:val="0"/>
      <w:divBdr>
        <w:top w:val="none" w:sz="0" w:space="0" w:color="auto"/>
        <w:left w:val="none" w:sz="0" w:space="0" w:color="auto"/>
        <w:bottom w:val="none" w:sz="0" w:space="0" w:color="auto"/>
        <w:right w:val="none" w:sz="0" w:space="0" w:color="auto"/>
      </w:divBdr>
    </w:div>
    <w:div w:id="1329017486">
      <w:bodyDiv w:val="1"/>
      <w:marLeft w:val="0"/>
      <w:marRight w:val="0"/>
      <w:marTop w:val="0"/>
      <w:marBottom w:val="0"/>
      <w:divBdr>
        <w:top w:val="none" w:sz="0" w:space="0" w:color="auto"/>
        <w:left w:val="none" w:sz="0" w:space="0" w:color="auto"/>
        <w:bottom w:val="none" w:sz="0" w:space="0" w:color="auto"/>
        <w:right w:val="none" w:sz="0" w:space="0" w:color="auto"/>
      </w:divBdr>
    </w:div>
    <w:div w:id="1648247321">
      <w:bodyDiv w:val="1"/>
      <w:marLeft w:val="0"/>
      <w:marRight w:val="0"/>
      <w:marTop w:val="0"/>
      <w:marBottom w:val="0"/>
      <w:divBdr>
        <w:top w:val="none" w:sz="0" w:space="0" w:color="auto"/>
        <w:left w:val="none" w:sz="0" w:space="0" w:color="auto"/>
        <w:bottom w:val="none" w:sz="0" w:space="0" w:color="auto"/>
        <w:right w:val="none" w:sz="0" w:space="0" w:color="auto"/>
      </w:divBdr>
    </w:div>
    <w:div w:id="1724062130">
      <w:bodyDiv w:val="1"/>
      <w:marLeft w:val="0"/>
      <w:marRight w:val="0"/>
      <w:marTop w:val="0"/>
      <w:marBottom w:val="0"/>
      <w:divBdr>
        <w:top w:val="none" w:sz="0" w:space="0" w:color="auto"/>
        <w:left w:val="none" w:sz="0" w:space="0" w:color="auto"/>
        <w:bottom w:val="none" w:sz="0" w:space="0" w:color="auto"/>
        <w:right w:val="none" w:sz="0" w:space="0" w:color="auto"/>
      </w:divBdr>
    </w:div>
    <w:div w:id="1740009892">
      <w:bodyDiv w:val="1"/>
      <w:marLeft w:val="0"/>
      <w:marRight w:val="0"/>
      <w:marTop w:val="0"/>
      <w:marBottom w:val="0"/>
      <w:divBdr>
        <w:top w:val="none" w:sz="0" w:space="0" w:color="auto"/>
        <w:left w:val="none" w:sz="0" w:space="0" w:color="auto"/>
        <w:bottom w:val="none" w:sz="0" w:space="0" w:color="auto"/>
        <w:right w:val="none" w:sz="0" w:space="0" w:color="auto"/>
      </w:divBdr>
    </w:div>
    <w:div w:id="1758668813">
      <w:bodyDiv w:val="1"/>
      <w:marLeft w:val="0"/>
      <w:marRight w:val="0"/>
      <w:marTop w:val="0"/>
      <w:marBottom w:val="0"/>
      <w:divBdr>
        <w:top w:val="none" w:sz="0" w:space="0" w:color="auto"/>
        <w:left w:val="none" w:sz="0" w:space="0" w:color="auto"/>
        <w:bottom w:val="none" w:sz="0" w:space="0" w:color="auto"/>
        <w:right w:val="none" w:sz="0" w:space="0" w:color="auto"/>
      </w:divBdr>
    </w:div>
    <w:div w:id="2078477547">
      <w:bodyDiv w:val="1"/>
      <w:marLeft w:val="0"/>
      <w:marRight w:val="0"/>
      <w:marTop w:val="0"/>
      <w:marBottom w:val="0"/>
      <w:divBdr>
        <w:top w:val="none" w:sz="0" w:space="0" w:color="auto"/>
        <w:left w:val="none" w:sz="0" w:space="0" w:color="auto"/>
        <w:bottom w:val="none" w:sz="0" w:space="0" w:color="auto"/>
        <w:right w:val="none" w:sz="0" w:space="0" w:color="auto"/>
      </w:divBdr>
    </w:div>
    <w:div w:id="208772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 Orbit 4</dc:creator>
  <cp:keywords/>
  <dc:description/>
  <cp:lastModifiedBy>Sky Orbit 4</cp:lastModifiedBy>
  <cp:revision>5</cp:revision>
  <dcterms:created xsi:type="dcterms:W3CDTF">2026-02-07T12:45:00Z</dcterms:created>
  <dcterms:modified xsi:type="dcterms:W3CDTF">2026-02-09T16:02:00Z</dcterms:modified>
</cp:coreProperties>
</file>