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DC" w:rsidRDefault="00C5025E" w:rsidP="00C5025E">
      <w:pPr>
        <w:jc w:val="center"/>
        <w:outlineLvl w:val="0"/>
        <w:rPr>
          <w:b/>
          <w:sz w:val="40"/>
        </w:rPr>
      </w:pPr>
      <w:r w:rsidRPr="00AC40A1">
        <w:rPr>
          <w:b/>
          <w:sz w:val="40"/>
        </w:rPr>
        <w:t xml:space="preserve">Uncemented Hips – current status </w:t>
      </w:r>
    </w:p>
    <w:p w:rsidR="00C550DC" w:rsidRPr="00C550DC" w:rsidRDefault="00C550DC" w:rsidP="00C550DC">
      <w:pPr>
        <w:jc w:val="center"/>
        <w:outlineLvl w:val="0"/>
        <w:rPr>
          <w:sz w:val="32"/>
          <w:vertAlign w:val="superscript"/>
        </w:rPr>
      </w:pPr>
      <w:r w:rsidRPr="00C550DC">
        <w:rPr>
          <w:sz w:val="32"/>
        </w:rPr>
        <w:t>Juned Salam Ansari MBBS, MS(Ortho), MRCS(Glasgow), FRCS (Orth &amp; Trauma)</w:t>
      </w:r>
    </w:p>
    <w:p w:rsidR="00C550DC" w:rsidRPr="00C550DC" w:rsidRDefault="00C550DC" w:rsidP="00C550DC">
      <w:pPr>
        <w:jc w:val="center"/>
        <w:outlineLvl w:val="0"/>
        <w:rPr>
          <w:sz w:val="32"/>
          <w:vertAlign w:val="superscript"/>
        </w:rPr>
      </w:pPr>
      <w:r w:rsidRPr="00C550DC">
        <w:rPr>
          <w:sz w:val="32"/>
        </w:rPr>
        <w:t>Tsuneari Takahashi MD, PhD</w:t>
      </w:r>
    </w:p>
    <w:p w:rsidR="00C550DC" w:rsidRPr="00C550DC" w:rsidRDefault="00C550DC" w:rsidP="00C550DC">
      <w:pPr>
        <w:jc w:val="center"/>
        <w:outlineLvl w:val="0"/>
        <w:rPr>
          <w:sz w:val="32"/>
          <w:vertAlign w:val="superscript"/>
        </w:rPr>
      </w:pPr>
      <w:r w:rsidRPr="00C550DC">
        <w:rPr>
          <w:sz w:val="32"/>
        </w:rPr>
        <w:t>Hemant Pandit FRCS (Orth), D Phil (Oxford)</w:t>
      </w:r>
    </w:p>
    <w:p w:rsidR="00C5025E" w:rsidRPr="00AC40A1" w:rsidRDefault="00C5025E" w:rsidP="00C5025E">
      <w:pPr>
        <w:jc w:val="center"/>
        <w:outlineLvl w:val="0"/>
        <w:rPr>
          <w:b/>
          <w:sz w:val="40"/>
        </w:rPr>
      </w:pPr>
    </w:p>
    <w:p w:rsidR="00C5025E" w:rsidRPr="00AC40A1" w:rsidRDefault="00C5025E" w:rsidP="00C5025E">
      <w:pPr>
        <w:outlineLvl w:val="0"/>
        <w:rPr>
          <w:sz w:val="28"/>
          <w:vertAlign w:val="superscript"/>
        </w:rPr>
      </w:pPr>
      <w:r w:rsidRPr="00AC40A1">
        <w:rPr>
          <w:sz w:val="28"/>
        </w:rPr>
        <w:t xml:space="preserve"> </w:t>
      </w:r>
    </w:p>
    <w:p w:rsidR="00C5025E" w:rsidRPr="00AC40A1" w:rsidRDefault="00C5025E" w:rsidP="00C5025E">
      <w:pPr>
        <w:shd w:val="clear" w:color="auto" w:fill="FFFFFF"/>
        <w:textAlignment w:val="baseline"/>
        <w:rPr>
          <w:b/>
          <w:sz w:val="28"/>
          <w:szCs w:val="21"/>
        </w:rPr>
      </w:pPr>
    </w:p>
    <w:p w:rsidR="00C5025E" w:rsidRPr="00AC40A1" w:rsidRDefault="00C5025E" w:rsidP="00C5025E">
      <w:pPr>
        <w:shd w:val="clear" w:color="auto" w:fill="FFFFFF"/>
        <w:textAlignment w:val="baseline"/>
        <w:rPr>
          <w:b/>
          <w:sz w:val="28"/>
          <w:szCs w:val="21"/>
        </w:rPr>
      </w:pPr>
      <w:r w:rsidRPr="00AC40A1">
        <w:rPr>
          <w:b/>
          <w:sz w:val="28"/>
          <w:szCs w:val="21"/>
        </w:rPr>
        <w:t>Abstract</w:t>
      </w:r>
    </w:p>
    <w:p w:rsidR="00C5025E" w:rsidRPr="00AC40A1" w:rsidRDefault="00C5025E" w:rsidP="00C5025E">
      <w:pPr>
        <w:pStyle w:val="NormalWeb"/>
        <w:spacing w:before="2" w:after="2"/>
        <w:rPr>
          <w:rFonts w:asciiTheme="minorHAnsi" w:hAnsiTheme="minorHAnsi"/>
          <w:color w:val="000000" w:themeColor="text1"/>
          <w:sz w:val="28"/>
          <w:szCs w:val="34"/>
        </w:rPr>
      </w:pPr>
      <w:r w:rsidRPr="00AC40A1">
        <w:rPr>
          <w:rFonts w:asciiTheme="minorHAnsi" w:hAnsiTheme="minorHAnsi"/>
          <w:color w:val="000000" w:themeColor="text1"/>
          <w:sz w:val="28"/>
          <w:szCs w:val="34"/>
        </w:rPr>
        <w:t>Background and purpose:</w:t>
      </w:r>
    </w:p>
    <w:p w:rsidR="00C5025E" w:rsidRPr="00AC40A1" w:rsidRDefault="00C5025E" w:rsidP="00C5025E">
      <w:pPr>
        <w:pStyle w:val="NormalWeb"/>
        <w:spacing w:before="2" w:after="2"/>
        <w:rPr>
          <w:rFonts w:asciiTheme="minorHAnsi" w:hAnsiTheme="minorHAnsi"/>
          <w:color w:val="000000" w:themeColor="text1"/>
          <w:sz w:val="28"/>
        </w:rPr>
      </w:pPr>
      <w:r w:rsidRPr="00AC40A1">
        <w:rPr>
          <w:rFonts w:asciiTheme="minorHAnsi" w:hAnsiTheme="minorHAnsi"/>
          <w:color w:val="000000" w:themeColor="text1"/>
          <w:sz w:val="28"/>
          <w:szCs w:val="34"/>
        </w:rPr>
        <w:t xml:space="preserve">Total hip replacement (THR) has been an established procedure for symptomatic end stage arthritis of hip to improve function and alleviate pain thereby improving the quality of life of millions of </w:t>
      </w:r>
      <w:bookmarkStart w:id="0" w:name="_GoBack"/>
      <w:bookmarkEnd w:id="0"/>
      <w:r w:rsidRPr="00AC40A1">
        <w:rPr>
          <w:rFonts w:asciiTheme="minorHAnsi" w:hAnsiTheme="minorHAnsi"/>
          <w:color w:val="000000" w:themeColor="text1"/>
          <w:sz w:val="28"/>
          <w:szCs w:val="34"/>
        </w:rPr>
        <w:t>patients. Of the range of possible joint replacements, it is suggested that THR is a landmark surgery.</w:t>
      </w:r>
      <w:r w:rsidRPr="00AC40A1">
        <w:rPr>
          <w:rFonts w:asciiTheme="minorHAnsi" w:hAnsiTheme="minorHAnsi"/>
          <w:color w:val="000000" w:themeColor="text1"/>
          <w:sz w:val="28"/>
        </w:rPr>
        <w:t xml:space="preserve"> Its success in the short-term as well as in the long-term has led to THR being performed in younger and more active patients. Survival of THR in the young and active patients was suboptimal for many years and management of this group continues to be a challenge.</w:t>
      </w:r>
    </w:p>
    <w:p w:rsidR="00C5025E" w:rsidRPr="00AC40A1" w:rsidRDefault="00C5025E" w:rsidP="00C5025E">
      <w:pPr>
        <w:pStyle w:val="NormalWeb"/>
        <w:spacing w:before="2" w:after="2"/>
        <w:ind w:left="720"/>
        <w:rPr>
          <w:rFonts w:asciiTheme="minorHAnsi" w:hAnsiTheme="minorHAnsi"/>
          <w:color w:val="000000" w:themeColor="text1"/>
          <w:sz w:val="28"/>
        </w:rPr>
      </w:pPr>
    </w:p>
    <w:p w:rsidR="00C5025E" w:rsidRPr="00AC40A1" w:rsidRDefault="00C5025E" w:rsidP="00C5025E">
      <w:pPr>
        <w:pStyle w:val="NormalWeb"/>
        <w:spacing w:before="2" w:after="2"/>
        <w:rPr>
          <w:rFonts w:asciiTheme="minorHAnsi" w:hAnsiTheme="minorHAnsi"/>
          <w:color w:val="000000" w:themeColor="text1"/>
          <w:sz w:val="28"/>
        </w:rPr>
      </w:pPr>
      <w:r w:rsidRPr="00AC40A1">
        <w:rPr>
          <w:rFonts w:asciiTheme="minorHAnsi" w:hAnsiTheme="minorHAnsi"/>
          <w:color w:val="000000" w:themeColor="text1"/>
          <w:sz w:val="28"/>
        </w:rPr>
        <w:t>Methods:</w:t>
      </w:r>
    </w:p>
    <w:p w:rsidR="00C5025E" w:rsidRPr="00AC40A1" w:rsidRDefault="00C5025E" w:rsidP="00C5025E">
      <w:pPr>
        <w:rPr>
          <w:sz w:val="28"/>
        </w:rPr>
      </w:pPr>
      <w:r w:rsidRPr="00AC40A1">
        <w:rPr>
          <w:sz w:val="28"/>
        </w:rPr>
        <w:t>This paper provides an up to date review of relevant history of Uncemented hips, key design features, mechanisms of fixation, current status, guidance to use and long term results of Uncemented hips.</w:t>
      </w:r>
    </w:p>
    <w:p w:rsidR="00C5025E" w:rsidRPr="00AC40A1" w:rsidRDefault="00C5025E" w:rsidP="00C5025E">
      <w:pPr>
        <w:rPr>
          <w:sz w:val="28"/>
        </w:rPr>
      </w:pPr>
    </w:p>
    <w:p w:rsidR="00C5025E" w:rsidRPr="00AC40A1" w:rsidRDefault="00C5025E" w:rsidP="00C5025E">
      <w:pPr>
        <w:pStyle w:val="NormalWeb"/>
        <w:spacing w:before="2" w:after="2"/>
        <w:rPr>
          <w:rFonts w:asciiTheme="minorHAnsi" w:hAnsiTheme="minorHAnsi"/>
          <w:color w:val="000000" w:themeColor="text1"/>
          <w:sz w:val="28"/>
          <w:szCs w:val="16"/>
        </w:rPr>
      </w:pPr>
      <w:r w:rsidRPr="00AC40A1">
        <w:rPr>
          <w:rFonts w:asciiTheme="minorHAnsi" w:hAnsiTheme="minorHAnsi"/>
          <w:color w:val="000000" w:themeColor="text1"/>
          <w:sz w:val="28"/>
          <w:szCs w:val="16"/>
        </w:rPr>
        <w:t>Results</w:t>
      </w:r>
    </w:p>
    <w:p w:rsidR="003E0482" w:rsidRDefault="00C5025E" w:rsidP="00C5025E">
      <w:pPr>
        <w:pStyle w:val="NormalWeb"/>
        <w:spacing w:before="2" w:after="2"/>
        <w:rPr>
          <w:rFonts w:asciiTheme="minorHAnsi" w:hAnsiTheme="minorHAnsi"/>
          <w:bCs/>
          <w:color w:val="262323"/>
          <w:sz w:val="28"/>
          <w:szCs w:val="18"/>
        </w:rPr>
      </w:pPr>
      <w:r w:rsidRPr="00AC40A1">
        <w:rPr>
          <w:rFonts w:asciiTheme="minorHAnsi" w:hAnsiTheme="minorHAnsi"/>
          <w:color w:val="000000" w:themeColor="text1"/>
          <w:sz w:val="28"/>
        </w:rPr>
        <w:t>THRs have long-term survival rates of more than 90% for uncemented as well as cemented stems. Despite encouraging long-term fixation of the metallic shell, long-term survival of uncemented cups is frequently compromised by excessive liner wear and peri-acetabular osteolysis</w:t>
      </w:r>
      <w:r w:rsidRPr="00AC40A1">
        <w:rPr>
          <w:rFonts w:asciiTheme="minorHAnsi" w:hAnsiTheme="minorHAnsi"/>
          <w:color w:val="000000" w:themeColor="text1"/>
          <w:sz w:val="28"/>
          <w:szCs w:val="34"/>
        </w:rPr>
        <w:t xml:space="preserve"> </w:t>
      </w:r>
      <w:r w:rsidRPr="00AC40A1">
        <w:rPr>
          <w:rFonts w:asciiTheme="minorHAnsi" w:hAnsiTheme="minorHAnsi"/>
          <w:color w:val="000000" w:themeColor="text1"/>
          <w:sz w:val="28"/>
        </w:rPr>
        <w:t>particularly in the young and active patients. Kearns et al</w:t>
      </w:r>
      <w:r w:rsidRPr="00AC40A1">
        <w:rPr>
          <w:rFonts w:asciiTheme="minorHAnsi" w:hAnsiTheme="minorHAnsi"/>
          <w:color w:val="000000" w:themeColor="text1"/>
          <w:sz w:val="28"/>
          <w:vertAlign w:val="superscript"/>
        </w:rPr>
        <w:t xml:space="preserve"> </w:t>
      </w:r>
      <w:r w:rsidRPr="00AC40A1">
        <w:rPr>
          <w:rFonts w:asciiTheme="minorHAnsi" w:hAnsiTheme="minorHAnsi"/>
          <w:color w:val="000000" w:themeColor="text1"/>
          <w:sz w:val="28"/>
        </w:rPr>
        <w:t xml:space="preserve">looked at the survival of femoral and acetabular components and noted that </w:t>
      </w:r>
      <w:r w:rsidRPr="00AC40A1">
        <w:rPr>
          <w:rFonts w:asciiTheme="minorHAnsi" w:hAnsiTheme="minorHAnsi"/>
          <w:bCs/>
          <w:color w:val="262323"/>
          <w:sz w:val="28"/>
          <w:szCs w:val="18"/>
        </w:rPr>
        <w:t xml:space="preserve">femoral stem survival was 99.3% (range, 98.4–100%), 98.9% (range, 97.7–100%), and 96.8% (92.5–100%) at 5, 10, and 15 years, respectively. Including all component designs acetabular survival was 98.7% (range, 97.4–100%), 84.6% (78.8–90.4%), and 52.5% (40.7–64.3%) at 5, 10, and 15 years, respectively. Overall survival was 46.8% (33.5–58.1%) at 15 years. </w:t>
      </w:r>
    </w:p>
    <w:p w:rsidR="00AC40A1" w:rsidRPr="00AC40A1" w:rsidRDefault="00AC40A1" w:rsidP="00C5025E">
      <w:pPr>
        <w:pStyle w:val="NormalWeb"/>
        <w:spacing w:before="2" w:after="2"/>
        <w:rPr>
          <w:rFonts w:asciiTheme="minorHAnsi" w:hAnsiTheme="minorHAnsi"/>
          <w:bCs/>
          <w:color w:val="262323"/>
          <w:sz w:val="28"/>
          <w:szCs w:val="18"/>
        </w:rPr>
      </w:pPr>
    </w:p>
    <w:p w:rsidR="00AC40A1" w:rsidRPr="00AC40A1" w:rsidRDefault="00AC40A1" w:rsidP="00C5025E">
      <w:pPr>
        <w:pStyle w:val="NormalWeb"/>
        <w:spacing w:before="2" w:after="2"/>
        <w:rPr>
          <w:rFonts w:asciiTheme="minorHAnsi" w:hAnsiTheme="minorHAnsi"/>
          <w:bCs/>
          <w:color w:val="262323"/>
          <w:sz w:val="28"/>
          <w:szCs w:val="18"/>
        </w:rPr>
      </w:pPr>
    </w:p>
    <w:p w:rsidR="00AC40A1" w:rsidRPr="00AC40A1" w:rsidRDefault="00AC40A1" w:rsidP="00AC40A1">
      <w:pPr>
        <w:pStyle w:val="NormalWeb"/>
        <w:spacing w:before="2" w:after="2"/>
        <w:rPr>
          <w:rFonts w:asciiTheme="minorHAnsi" w:hAnsiTheme="minorHAnsi"/>
          <w:color w:val="000000" w:themeColor="text1"/>
          <w:sz w:val="28"/>
          <w:szCs w:val="16"/>
        </w:rPr>
      </w:pPr>
      <w:r w:rsidRPr="00AC40A1">
        <w:rPr>
          <w:rFonts w:asciiTheme="minorHAnsi" w:hAnsiTheme="minorHAnsi"/>
          <w:color w:val="000000" w:themeColor="text1"/>
          <w:sz w:val="28"/>
          <w:szCs w:val="16"/>
        </w:rPr>
        <w:lastRenderedPageBreak/>
        <w:t>Conclusion:</w:t>
      </w:r>
    </w:p>
    <w:p w:rsidR="00C5025E" w:rsidRPr="00AC40A1" w:rsidRDefault="00AC40A1" w:rsidP="00AC40A1">
      <w:pPr>
        <w:pStyle w:val="NormalWeb"/>
        <w:spacing w:before="2" w:after="2"/>
        <w:rPr>
          <w:rFonts w:asciiTheme="minorHAnsi" w:hAnsiTheme="minorHAnsi"/>
          <w:bCs/>
          <w:color w:val="262323"/>
          <w:sz w:val="28"/>
          <w:szCs w:val="18"/>
        </w:rPr>
      </w:pPr>
      <w:r w:rsidRPr="00AC40A1">
        <w:rPr>
          <w:rFonts w:asciiTheme="minorHAnsi" w:hAnsiTheme="minorHAnsi"/>
          <w:color w:val="000000" w:themeColor="text1"/>
          <w:sz w:val="28"/>
        </w:rPr>
        <w:t>Uncemented THR is increasing globally as a good option for young and active patients needing hip replacement. It provides long lasting good to excellent results provided the indications are met.</w:t>
      </w:r>
    </w:p>
    <w:p w:rsidR="008073B3" w:rsidRDefault="008073B3" w:rsidP="00C5025E">
      <w:pPr>
        <w:rPr>
          <w:sz w:val="28"/>
        </w:rPr>
      </w:pPr>
    </w:p>
    <w:p w:rsidR="008073B3" w:rsidRPr="008073B3" w:rsidRDefault="008073B3" w:rsidP="008073B3">
      <w:pPr>
        <w:widowControl w:val="0"/>
        <w:autoSpaceDE w:val="0"/>
        <w:autoSpaceDN w:val="0"/>
        <w:adjustRightInd w:val="0"/>
        <w:rPr>
          <w:rFonts w:cs="Times New Roman"/>
          <w:color w:val="000000" w:themeColor="text1"/>
          <w:sz w:val="28"/>
          <w:szCs w:val="42"/>
        </w:rPr>
      </w:pPr>
      <w:r w:rsidRPr="00324869">
        <w:rPr>
          <w:rFonts w:cs="Times New Roman"/>
          <w:color w:val="000000" w:themeColor="text1"/>
          <w:sz w:val="28"/>
          <w:szCs w:val="42"/>
        </w:rPr>
        <w:t>References:</w:t>
      </w:r>
    </w:p>
    <w:p w:rsidR="008073B3" w:rsidRPr="003F6A4B" w:rsidRDefault="008073B3" w:rsidP="008073B3">
      <w:pPr>
        <w:pStyle w:val="NormalWeb"/>
        <w:spacing w:before="2" w:after="2"/>
        <w:rPr>
          <w:rFonts w:asciiTheme="minorHAnsi" w:hAnsiTheme="minorHAnsi"/>
          <w:color w:val="000000" w:themeColor="text1"/>
          <w:sz w:val="28"/>
          <w:szCs w:val="17"/>
        </w:rPr>
      </w:pPr>
      <w:r>
        <w:rPr>
          <w:rFonts w:asciiTheme="minorHAnsi" w:hAnsiTheme="minorHAnsi"/>
          <w:color w:val="000000" w:themeColor="text1"/>
          <w:sz w:val="28"/>
          <w:szCs w:val="16"/>
        </w:rPr>
        <w:t>1</w:t>
      </w:r>
      <w:r w:rsidRPr="00324869">
        <w:rPr>
          <w:rFonts w:asciiTheme="minorHAnsi" w:hAnsiTheme="minorHAnsi"/>
          <w:color w:val="000000" w:themeColor="text1"/>
          <w:sz w:val="28"/>
          <w:szCs w:val="16"/>
        </w:rPr>
        <w:t xml:space="preserve">. </w:t>
      </w:r>
      <w:hyperlink r:id="rId6" w:history="1">
        <w:r w:rsidRPr="00324869">
          <w:rPr>
            <w:rStyle w:val="highlight"/>
            <w:rFonts w:asciiTheme="minorHAnsi" w:hAnsiTheme="minorHAnsi"/>
            <w:color w:val="000000" w:themeColor="text1"/>
            <w:sz w:val="28"/>
            <w:szCs w:val="18"/>
            <w:u w:val="single"/>
          </w:rPr>
          <w:t>Mellon</w:t>
        </w:r>
        <w:r w:rsidRPr="00324869">
          <w:rPr>
            <w:rStyle w:val="apple-converted-space"/>
            <w:rFonts w:asciiTheme="minorHAnsi" w:hAnsiTheme="minorHAnsi"/>
            <w:color w:val="000000" w:themeColor="text1"/>
            <w:sz w:val="28"/>
            <w:szCs w:val="18"/>
            <w:u w:val="single"/>
          </w:rPr>
          <w:t> </w:t>
        </w:r>
        <w:r w:rsidRPr="00324869">
          <w:rPr>
            <w:rStyle w:val="Hyperlink"/>
            <w:rFonts w:asciiTheme="minorHAnsi" w:hAnsiTheme="minorHAnsi"/>
            <w:color w:val="000000" w:themeColor="text1"/>
            <w:sz w:val="28"/>
            <w:szCs w:val="18"/>
          </w:rPr>
          <w:t>SJ</w:t>
        </w:r>
      </w:hyperlink>
      <w:r w:rsidRPr="00324869">
        <w:rPr>
          <w:rFonts w:asciiTheme="minorHAnsi" w:hAnsiTheme="minorHAnsi"/>
          <w:color w:val="000000" w:themeColor="text1"/>
          <w:sz w:val="28"/>
          <w:szCs w:val="18"/>
        </w:rPr>
        <w:t>,</w:t>
      </w:r>
      <w:r>
        <w:rPr>
          <w:rStyle w:val="apple-converted-space"/>
          <w:rFonts w:asciiTheme="minorHAnsi" w:hAnsiTheme="minorHAnsi"/>
          <w:color w:val="000000" w:themeColor="text1"/>
          <w:sz w:val="28"/>
          <w:szCs w:val="18"/>
        </w:rPr>
        <w:t> </w:t>
      </w:r>
      <w:hyperlink r:id="rId7" w:history="1">
        <w:r w:rsidRPr="00324869">
          <w:rPr>
            <w:rStyle w:val="Hyperlink"/>
            <w:rFonts w:asciiTheme="minorHAnsi" w:hAnsiTheme="minorHAnsi"/>
            <w:color w:val="000000" w:themeColor="text1"/>
            <w:sz w:val="28"/>
            <w:szCs w:val="18"/>
          </w:rPr>
          <w:t>Liddle AD</w:t>
        </w:r>
      </w:hyperlink>
      <w:r w:rsidRPr="00324869">
        <w:rPr>
          <w:rFonts w:asciiTheme="minorHAnsi" w:hAnsiTheme="minorHAnsi"/>
          <w:color w:val="000000" w:themeColor="text1"/>
          <w:sz w:val="28"/>
          <w:szCs w:val="18"/>
        </w:rPr>
        <w:t>,</w:t>
      </w:r>
      <w:r>
        <w:rPr>
          <w:rStyle w:val="apple-converted-space"/>
          <w:rFonts w:asciiTheme="minorHAnsi" w:hAnsiTheme="minorHAnsi"/>
          <w:color w:val="000000" w:themeColor="text1"/>
          <w:sz w:val="28"/>
          <w:szCs w:val="18"/>
        </w:rPr>
        <w:t> </w:t>
      </w:r>
      <w:hyperlink r:id="rId8" w:history="1">
        <w:r w:rsidRPr="00324869">
          <w:rPr>
            <w:rStyle w:val="Hyperlink"/>
            <w:rFonts w:asciiTheme="minorHAnsi" w:hAnsiTheme="minorHAnsi"/>
            <w:color w:val="000000" w:themeColor="text1"/>
            <w:sz w:val="28"/>
            <w:szCs w:val="18"/>
          </w:rPr>
          <w:t>Pandit H</w:t>
        </w:r>
      </w:hyperlink>
      <w:r w:rsidRPr="00324869">
        <w:rPr>
          <w:rFonts w:asciiTheme="minorHAnsi" w:hAnsiTheme="minorHAnsi"/>
          <w:color w:val="000000" w:themeColor="text1"/>
          <w:sz w:val="28"/>
          <w:szCs w:val="18"/>
        </w:rPr>
        <w:t xml:space="preserve">. </w:t>
      </w:r>
      <w:r w:rsidRPr="00324869">
        <w:rPr>
          <w:rFonts w:asciiTheme="minorHAnsi" w:hAnsiTheme="minorHAnsi"/>
          <w:bCs/>
          <w:color w:val="000000" w:themeColor="text1"/>
          <w:sz w:val="28"/>
          <w:szCs w:val="28"/>
        </w:rPr>
        <w:t>Hip replacement:</w:t>
      </w:r>
      <w:r>
        <w:rPr>
          <w:rStyle w:val="apple-converted-space"/>
          <w:rFonts w:asciiTheme="minorHAnsi" w:hAnsiTheme="minorHAnsi"/>
          <w:bCs/>
          <w:color w:val="000000" w:themeColor="text1"/>
          <w:sz w:val="28"/>
          <w:szCs w:val="28"/>
        </w:rPr>
        <w:t>  Landmark surgery in modern medical history.</w:t>
      </w:r>
      <w:r>
        <w:rPr>
          <w:rFonts w:asciiTheme="minorHAnsi" w:hAnsiTheme="minorHAnsi"/>
          <w:color w:val="000000" w:themeColor="text1"/>
          <w:sz w:val="28"/>
          <w:szCs w:val="17"/>
        </w:rPr>
        <w:t xml:space="preserve"> </w:t>
      </w:r>
      <w:hyperlink r:id="rId9" w:history="1">
        <w:r w:rsidRPr="00324869">
          <w:rPr>
            <w:rStyle w:val="Hyperlink"/>
            <w:rFonts w:asciiTheme="minorHAnsi" w:hAnsiTheme="minorHAnsi"/>
            <w:color w:val="000000" w:themeColor="text1"/>
            <w:sz w:val="28"/>
            <w:szCs w:val="17"/>
          </w:rPr>
          <w:t>Maturitas.</w:t>
        </w:r>
      </w:hyperlink>
      <w:r>
        <w:rPr>
          <w:rStyle w:val="apple-converted-space"/>
          <w:rFonts w:asciiTheme="minorHAnsi" w:hAnsiTheme="minorHAnsi"/>
          <w:color w:val="000000" w:themeColor="text1"/>
          <w:sz w:val="28"/>
          <w:szCs w:val="17"/>
        </w:rPr>
        <w:t> </w:t>
      </w:r>
      <w:r>
        <w:rPr>
          <w:rStyle w:val="highlight"/>
          <w:rFonts w:asciiTheme="minorHAnsi" w:hAnsiTheme="minorHAnsi"/>
          <w:color w:val="000000" w:themeColor="text1"/>
          <w:sz w:val="28"/>
          <w:szCs w:val="17"/>
        </w:rPr>
        <w:t>2013</w:t>
      </w:r>
      <w:r>
        <w:rPr>
          <w:rStyle w:val="apple-converted-space"/>
          <w:rFonts w:asciiTheme="minorHAnsi" w:hAnsiTheme="minorHAnsi"/>
          <w:color w:val="000000" w:themeColor="text1"/>
          <w:sz w:val="28"/>
          <w:szCs w:val="17"/>
        </w:rPr>
        <w:t> </w:t>
      </w:r>
      <w:r>
        <w:rPr>
          <w:rFonts w:asciiTheme="minorHAnsi" w:hAnsiTheme="minorHAnsi"/>
          <w:color w:val="000000" w:themeColor="text1"/>
          <w:sz w:val="28"/>
          <w:szCs w:val="17"/>
        </w:rPr>
        <w:t>Jul; 75(3): 221-6.</w:t>
      </w:r>
    </w:p>
    <w:p w:rsidR="00995CC7" w:rsidRDefault="008073B3" w:rsidP="008073B3">
      <w:pPr>
        <w:pStyle w:val="NormalWeb"/>
        <w:spacing w:before="2" w:after="2"/>
        <w:rPr>
          <w:rFonts w:asciiTheme="minorHAnsi" w:hAnsiTheme="minorHAnsi"/>
          <w:color w:val="000000" w:themeColor="text1"/>
          <w:sz w:val="28"/>
          <w:szCs w:val="16"/>
        </w:rPr>
      </w:pPr>
      <w:r>
        <w:rPr>
          <w:rFonts w:asciiTheme="minorHAnsi" w:hAnsiTheme="minorHAnsi"/>
          <w:color w:val="000000" w:themeColor="text1"/>
          <w:sz w:val="28"/>
          <w:szCs w:val="16"/>
        </w:rPr>
        <w:t>2</w:t>
      </w:r>
      <w:r w:rsidRPr="00324869">
        <w:rPr>
          <w:rFonts w:asciiTheme="minorHAnsi" w:hAnsiTheme="minorHAnsi"/>
          <w:color w:val="000000" w:themeColor="text1"/>
          <w:sz w:val="28"/>
          <w:szCs w:val="16"/>
        </w:rPr>
        <w:t xml:space="preserve">. Furnes O, Lie SA, Espehaug B, Vollset SE, Engesaeter LB, Havelin LI. Hip disease and the prognosis of total hip replacements: a review of 53,698 primary total hip replacements reported to the Norwegian Arthroplasty Register 1987–1999. </w:t>
      </w:r>
      <w:r w:rsidRPr="00324869">
        <w:rPr>
          <w:rFonts w:asciiTheme="minorHAnsi" w:hAnsiTheme="minorHAnsi"/>
          <w:iCs/>
          <w:color w:val="000000" w:themeColor="text1"/>
          <w:sz w:val="28"/>
          <w:szCs w:val="16"/>
        </w:rPr>
        <w:t>J Bone Joint Surg Br</w:t>
      </w:r>
      <w:r w:rsidRPr="00324869">
        <w:rPr>
          <w:rFonts w:asciiTheme="minorHAnsi" w:hAnsiTheme="minorHAnsi"/>
          <w:color w:val="000000" w:themeColor="text1"/>
          <w:sz w:val="28"/>
          <w:szCs w:val="16"/>
        </w:rPr>
        <w:t>. 2001;83: 579–586.</w:t>
      </w:r>
    </w:p>
    <w:p w:rsidR="0090045F" w:rsidRPr="003F6A4B" w:rsidRDefault="0090045F" w:rsidP="003F6A4B">
      <w:pPr>
        <w:rPr>
          <w:color w:val="000000" w:themeColor="text1"/>
          <w:sz w:val="28"/>
          <w:szCs w:val="20"/>
        </w:rPr>
      </w:pPr>
      <w:r>
        <w:rPr>
          <w:color w:val="000000" w:themeColor="text1"/>
          <w:sz w:val="28"/>
          <w:szCs w:val="16"/>
        </w:rPr>
        <w:t>3</w:t>
      </w:r>
      <w:r w:rsidR="00995CC7" w:rsidRPr="00BF6861">
        <w:rPr>
          <w:color w:val="000000" w:themeColor="text1"/>
          <w:sz w:val="28"/>
          <w:szCs w:val="16"/>
        </w:rPr>
        <w:t xml:space="preserve">. </w:t>
      </w:r>
      <w:r w:rsidR="00995CC7" w:rsidRPr="00BF6861">
        <w:rPr>
          <w:color w:val="000000" w:themeColor="text1"/>
          <w:sz w:val="28"/>
          <w:szCs w:val="20"/>
        </w:rPr>
        <w:t>Engh CA, Bobyn JD, Glassman AH. Porous coated hip replacement. The factors governing bone ingrowth, stress shielding, and clinical results. J Bone Joint Surg Br 1987; 69:45-55.</w:t>
      </w:r>
    </w:p>
    <w:p w:rsidR="00C107B0" w:rsidRPr="003F6A4B" w:rsidRDefault="0090045F" w:rsidP="003F6A4B">
      <w:pPr>
        <w:pStyle w:val="NormalWeb"/>
        <w:spacing w:before="2" w:after="2"/>
        <w:rPr>
          <w:rFonts w:asciiTheme="minorHAnsi" w:hAnsiTheme="minorHAnsi"/>
          <w:color w:val="000000" w:themeColor="text1"/>
          <w:sz w:val="28"/>
          <w:szCs w:val="16"/>
        </w:rPr>
      </w:pPr>
      <w:r>
        <w:rPr>
          <w:rFonts w:asciiTheme="minorHAnsi" w:hAnsiTheme="minorHAnsi"/>
          <w:color w:val="000000" w:themeColor="text1"/>
          <w:sz w:val="28"/>
          <w:szCs w:val="16"/>
        </w:rPr>
        <w:t>4</w:t>
      </w:r>
      <w:r w:rsidRPr="00BF6861">
        <w:rPr>
          <w:rFonts w:asciiTheme="minorHAnsi" w:hAnsiTheme="minorHAnsi"/>
          <w:color w:val="000000" w:themeColor="text1"/>
          <w:sz w:val="28"/>
          <w:szCs w:val="16"/>
        </w:rPr>
        <w:t xml:space="preserve">. Eskelinen A, Remes V, Helenius I, Pulkkinen P, Nevalainen J, Paavolainen P. Total hip arthroplasty for primary osteoarthrosis in younger patients in the Finnish arthroplasty register: 4,661 primary replacements followed for 0–22 years. </w:t>
      </w:r>
      <w:r w:rsidRPr="00BF6861">
        <w:rPr>
          <w:rFonts w:asciiTheme="minorHAnsi" w:hAnsiTheme="minorHAnsi"/>
          <w:iCs/>
          <w:color w:val="000000" w:themeColor="text1"/>
          <w:sz w:val="28"/>
          <w:szCs w:val="16"/>
        </w:rPr>
        <w:t xml:space="preserve">Acta Orthop. </w:t>
      </w:r>
      <w:r w:rsidRPr="00BF6861">
        <w:rPr>
          <w:rFonts w:asciiTheme="minorHAnsi" w:hAnsiTheme="minorHAnsi"/>
          <w:color w:val="000000" w:themeColor="text1"/>
          <w:sz w:val="28"/>
          <w:szCs w:val="16"/>
        </w:rPr>
        <w:t>2005;76:28–41.</w:t>
      </w:r>
    </w:p>
    <w:p w:rsidR="00C107B0" w:rsidRPr="00BF6861" w:rsidRDefault="0090045F" w:rsidP="00C107B0">
      <w:pPr>
        <w:shd w:val="clear" w:color="auto" w:fill="FFFFFF"/>
        <w:spacing w:line="348" w:lineRule="atLeast"/>
        <w:rPr>
          <w:color w:val="000000"/>
          <w:sz w:val="28"/>
          <w:szCs w:val="17"/>
        </w:rPr>
      </w:pPr>
      <w:r>
        <w:rPr>
          <w:color w:val="000000" w:themeColor="text1"/>
          <w:sz w:val="28"/>
          <w:szCs w:val="16"/>
        </w:rPr>
        <w:t>5</w:t>
      </w:r>
      <w:r w:rsidR="00C107B0" w:rsidRPr="00BF6861">
        <w:rPr>
          <w:color w:val="000000" w:themeColor="text1"/>
          <w:sz w:val="28"/>
          <w:szCs w:val="16"/>
        </w:rPr>
        <w:t>.</w:t>
      </w:r>
      <w:r w:rsidR="00C107B0" w:rsidRPr="00BF6861">
        <w:rPr>
          <w:color w:val="000000"/>
          <w:sz w:val="28"/>
          <w:szCs w:val="17"/>
        </w:rPr>
        <w:t xml:space="preserve"> </w:t>
      </w:r>
      <w:hyperlink r:id="rId10" w:history="1">
        <w:r w:rsidR="00C107B0" w:rsidRPr="00BF6861">
          <w:rPr>
            <w:rStyle w:val="Hyperlink"/>
            <w:color w:val="660066"/>
            <w:sz w:val="28"/>
            <w:szCs w:val="18"/>
          </w:rPr>
          <w:t>Kearns SR</w:t>
        </w:r>
      </w:hyperlink>
      <w:r w:rsidR="00C107B0" w:rsidRPr="00BF6861">
        <w:rPr>
          <w:color w:val="000000"/>
          <w:sz w:val="28"/>
          <w:szCs w:val="18"/>
        </w:rPr>
        <w:t>,</w:t>
      </w:r>
      <w:r w:rsidR="00C107B0" w:rsidRPr="00BF6861">
        <w:rPr>
          <w:rStyle w:val="apple-converted-space"/>
          <w:color w:val="000000"/>
          <w:sz w:val="28"/>
          <w:szCs w:val="18"/>
        </w:rPr>
        <w:t> </w:t>
      </w:r>
      <w:hyperlink r:id="rId11" w:history="1">
        <w:r w:rsidR="00C107B0" w:rsidRPr="00BF6861">
          <w:rPr>
            <w:rStyle w:val="Hyperlink"/>
            <w:color w:val="660066"/>
            <w:sz w:val="28"/>
            <w:szCs w:val="18"/>
          </w:rPr>
          <w:t>Jamal B</w:t>
        </w:r>
      </w:hyperlink>
      <w:r w:rsidR="00C107B0" w:rsidRPr="00BF6861">
        <w:rPr>
          <w:color w:val="000000"/>
          <w:sz w:val="28"/>
          <w:szCs w:val="18"/>
        </w:rPr>
        <w:t>,</w:t>
      </w:r>
      <w:r w:rsidR="00C107B0" w:rsidRPr="00BF6861">
        <w:rPr>
          <w:rStyle w:val="apple-converted-space"/>
          <w:color w:val="000000"/>
          <w:sz w:val="28"/>
          <w:szCs w:val="18"/>
        </w:rPr>
        <w:t> </w:t>
      </w:r>
      <w:hyperlink r:id="rId12" w:history="1">
        <w:r w:rsidR="00C107B0" w:rsidRPr="00BF6861">
          <w:rPr>
            <w:rStyle w:val="Hyperlink"/>
            <w:color w:val="660066"/>
            <w:sz w:val="28"/>
            <w:szCs w:val="18"/>
          </w:rPr>
          <w:t>Rorabeck CH</w:t>
        </w:r>
      </w:hyperlink>
      <w:r w:rsidR="00C107B0" w:rsidRPr="00BF6861">
        <w:rPr>
          <w:color w:val="000000"/>
          <w:sz w:val="28"/>
          <w:szCs w:val="18"/>
        </w:rPr>
        <w:t>,</w:t>
      </w:r>
      <w:r w:rsidR="00C107B0" w:rsidRPr="00BF6861">
        <w:rPr>
          <w:rStyle w:val="apple-converted-space"/>
          <w:color w:val="000000"/>
          <w:sz w:val="28"/>
          <w:szCs w:val="18"/>
        </w:rPr>
        <w:t> </w:t>
      </w:r>
      <w:hyperlink r:id="rId13" w:history="1">
        <w:r w:rsidR="00C107B0" w:rsidRPr="00BF6861">
          <w:rPr>
            <w:rStyle w:val="Hyperlink"/>
            <w:color w:val="660066"/>
            <w:sz w:val="28"/>
            <w:szCs w:val="18"/>
          </w:rPr>
          <w:t>Bourne RB</w:t>
        </w:r>
      </w:hyperlink>
      <w:r w:rsidR="00C107B0" w:rsidRPr="00BF6861">
        <w:rPr>
          <w:color w:val="000000"/>
          <w:sz w:val="28"/>
          <w:szCs w:val="18"/>
        </w:rPr>
        <w:t xml:space="preserve">. </w:t>
      </w:r>
      <w:r w:rsidR="00C107B0" w:rsidRPr="00BF6861">
        <w:rPr>
          <w:bCs/>
          <w:color w:val="000000"/>
          <w:sz w:val="28"/>
          <w:szCs w:val="28"/>
        </w:rPr>
        <w:t xml:space="preserve">Factors affecting survival of uncemented total hip arthroplasty in patients 50 years or younger. </w:t>
      </w:r>
      <w:hyperlink r:id="rId14" w:history="1">
        <w:r w:rsidR="00C107B0" w:rsidRPr="00BF6861">
          <w:rPr>
            <w:rStyle w:val="Hyperlink"/>
            <w:color w:val="660066"/>
            <w:sz w:val="28"/>
            <w:szCs w:val="15"/>
            <w:shd w:val="clear" w:color="auto" w:fill="FFFFFF"/>
          </w:rPr>
          <w:t>Clin Orthop Relat Res.</w:t>
        </w:r>
      </w:hyperlink>
      <w:r w:rsidR="00C107B0" w:rsidRPr="00BF6861">
        <w:rPr>
          <w:rStyle w:val="apple-converted-space"/>
          <w:color w:val="000000"/>
          <w:sz w:val="28"/>
          <w:szCs w:val="15"/>
          <w:shd w:val="clear" w:color="auto" w:fill="FFFFFF"/>
        </w:rPr>
        <w:t> </w:t>
      </w:r>
      <w:r w:rsidR="00C107B0" w:rsidRPr="00BF6861">
        <w:rPr>
          <w:color w:val="000000"/>
          <w:sz w:val="28"/>
          <w:szCs w:val="15"/>
          <w:shd w:val="clear" w:color="auto" w:fill="FFFFFF"/>
        </w:rPr>
        <w:t>2006 Dec;453:103-9.</w:t>
      </w:r>
    </w:p>
    <w:p w:rsidR="00874887" w:rsidRDefault="00874887" w:rsidP="00C5025E">
      <w:pPr>
        <w:rPr>
          <w:sz w:val="28"/>
        </w:rPr>
      </w:pPr>
    </w:p>
    <w:p w:rsidR="00874887" w:rsidRDefault="00874887" w:rsidP="00C5025E">
      <w:pPr>
        <w:rPr>
          <w:sz w:val="28"/>
        </w:rPr>
      </w:pPr>
    </w:p>
    <w:p w:rsidR="0006247D" w:rsidRDefault="00874887" w:rsidP="00C5025E">
      <w:pPr>
        <w:rPr>
          <w:sz w:val="28"/>
        </w:rPr>
      </w:pPr>
      <w:r>
        <w:rPr>
          <w:sz w:val="28"/>
        </w:rPr>
        <w:t>Biography.</w:t>
      </w:r>
    </w:p>
    <w:p w:rsidR="00874887" w:rsidRDefault="00DC2E1D" w:rsidP="00C5025E">
      <w:pPr>
        <w:rPr>
          <w:sz w:val="28"/>
        </w:rPr>
      </w:pPr>
      <w:r>
        <w:rPr>
          <w:noProof/>
          <w:sz w:val="28"/>
          <w:lang w:val="en-GB" w:eastAsia="en-GB"/>
        </w:rPr>
        <w:drawing>
          <wp:inline distT="0" distB="0" distL="0" distR="0">
            <wp:extent cx="1112284" cy="1578583"/>
            <wp:effectExtent l="25400" t="0" r="5316" b="0"/>
            <wp:docPr id="1" name="Picture 1" descr=":Screen Shot 2018-07-09 at 09.50.2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8-07-09 at 09.50.29 pm.png"/>
                    <pic:cNvPicPr>
                      <a:picLocks noChangeAspect="1" noChangeArrowheads="1"/>
                    </pic:cNvPicPr>
                  </pic:nvPicPr>
                  <pic:blipFill>
                    <a:blip r:embed="rId15"/>
                    <a:srcRect/>
                    <a:stretch>
                      <a:fillRect/>
                    </a:stretch>
                  </pic:blipFill>
                  <pic:spPr bwMode="auto">
                    <a:xfrm>
                      <a:off x="0" y="0"/>
                      <a:ext cx="1113474" cy="1580272"/>
                    </a:xfrm>
                    <a:prstGeom prst="rect">
                      <a:avLst/>
                    </a:prstGeom>
                    <a:noFill/>
                    <a:ln w="9525">
                      <a:noFill/>
                      <a:miter lim="800000"/>
                      <a:headEnd/>
                      <a:tailEnd/>
                    </a:ln>
                  </pic:spPr>
                </pic:pic>
              </a:graphicData>
            </a:graphic>
          </wp:inline>
        </w:drawing>
      </w:r>
    </w:p>
    <w:p w:rsidR="00874887" w:rsidRDefault="00874887" w:rsidP="00C5025E">
      <w:pPr>
        <w:rPr>
          <w:sz w:val="28"/>
        </w:rPr>
      </w:pPr>
      <w:r>
        <w:rPr>
          <w:sz w:val="28"/>
        </w:rPr>
        <w:t xml:space="preserve">Dr Juned S Ansari graduated from MAMC, New Delhi and completed FRCS (Ortho &amp; Trauma), London in 2014 while working in Singapore. He did his Fellowship in Hip &amp; Knee Arthroplasty from Chapel Allerton Hospital, Leeds, UK. He did a literature search on Uncemented hips under Prof </w:t>
      </w:r>
      <w:r w:rsidR="00DC2E1D">
        <w:rPr>
          <w:sz w:val="28"/>
        </w:rPr>
        <w:t xml:space="preserve">Hemant </w:t>
      </w:r>
      <w:r>
        <w:rPr>
          <w:sz w:val="28"/>
        </w:rPr>
        <w:t>Pandit and managed to publish the paper on Uncemented hips – current status in Feb 2018.</w:t>
      </w:r>
    </w:p>
    <w:p w:rsidR="00874887" w:rsidRDefault="00874887" w:rsidP="00C5025E">
      <w:pPr>
        <w:rPr>
          <w:sz w:val="28"/>
        </w:rPr>
      </w:pPr>
      <w:r>
        <w:rPr>
          <w:sz w:val="28"/>
        </w:rPr>
        <w:t xml:space="preserve">Email: </w:t>
      </w:r>
      <w:hyperlink r:id="rId16" w:history="1">
        <w:r w:rsidRPr="003958F8">
          <w:rPr>
            <w:rStyle w:val="Hyperlink"/>
            <w:sz w:val="28"/>
          </w:rPr>
          <w:t>junedsalamansari@gmail.com</w:t>
        </w:r>
      </w:hyperlink>
    </w:p>
    <w:p w:rsidR="00C5025E" w:rsidRPr="00C5025E" w:rsidRDefault="00C5025E" w:rsidP="00C5025E">
      <w:pPr>
        <w:rPr>
          <w:sz w:val="28"/>
        </w:rPr>
      </w:pPr>
    </w:p>
    <w:p w:rsidR="00C5025E" w:rsidRDefault="00C5025E" w:rsidP="00C5025E">
      <w:pPr>
        <w:pStyle w:val="NormalWeb"/>
        <w:spacing w:before="2" w:after="2"/>
        <w:ind w:left="720"/>
        <w:rPr>
          <w:rFonts w:asciiTheme="minorHAnsi" w:hAnsiTheme="minorHAnsi"/>
          <w:color w:val="000000" w:themeColor="text1"/>
          <w:sz w:val="28"/>
        </w:rPr>
      </w:pPr>
    </w:p>
    <w:p w:rsidR="00C5025E" w:rsidRDefault="00C5025E" w:rsidP="00C5025E">
      <w:pPr>
        <w:pStyle w:val="NormalWeb"/>
        <w:spacing w:before="2" w:after="2"/>
        <w:ind w:left="720"/>
        <w:rPr>
          <w:rFonts w:asciiTheme="minorHAnsi" w:hAnsiTheme="minorHAnsi"/>
          <w:color w:val="000000" w:themeColor="text1"/>
          <w:sz w:val="28"/>
        </w:rPr>
      </w:pPr>
    </w:p>
    <w:p w:rsidR="00C5025E" w:rsidRDefault="00C5025E" w:rsidP="00C5025E">
      <w:pPr>
        <w:pStyle w:val="ListParagraph"/>
        <w:shd w:val="clear" w:color="auto" w:fill="FFFFFF"/>
        <w:textAlignment w:val="baseline"/>
        <w:rPr>
          <w:b/>
          <w:color w:val="FF0000"/>
          <w:sz w:val="28"/>
          <w:szCs w:val="21"/>
        </w:rPr>
      </w:pPr>
    </w:p>
    <w:p w:rsidR="00C5025E" w:rsidRPr="00FB545A" w:rsidRDefault="00C5025E" w:rsidP="00C5025E">
      <w:pPr>
        <w:shd w:val="clear" w:color="auto" w:fill="FFFFFF"/>
        <w:textAlignment w:val="baseline"/>
        <w:rPr>
          <w:b/>
          <w:color w:val="FF0000"/>
          <w:sz w:val="28"/>
          <w:szCs w:val="21"/>
        </w:rPr>
      </w:pPr>
    </w:p>
    <w:p w:rsidR="0006247D" w:rsidRDefault="0006247D"/>
    <w:sectPr w:rsidR="0006247D" w:rsidSect="0006247D">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6B1A84"/>
    <w:multiLevelType w:val="hybridMultilevel"/>
    <w:tmpl w:val="D91C8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25E"/>
    <w:rsid w:val="00034CBE"/>
    <w:rsid w:val="0006247D"/>
    <w:rsid w:val="0017504A"/>
    <w:rsid w:val="00275013"/>
    <w:rsid w:val="003E0482"/>
    <w:rsid w:val="003F6A4B"/>
    <w:rsid w:val="008073B3"/>
    <w:rsid w:val="00874887"/>
    <w:rsid w:val="0090045F"/>
    <w:rsid w:val="009217F8"/>
    <w:rsid w:val="00995CC7"/>
    <w:rsid w:val="00AC40A1"/>
    <w:rsid w:val="00C107B0"/>
    <w:rsid w:val="00C5025E"/>
    <w:rsid w:val="00C550DC"/>
    <w:rsid w:val="00DC2E1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5025E"/>
    <w:pPr>
      <w:spacing w:beforeLines="1" w:afterLines="1"/>
    </w:pPr>
    <w:rPr>
      <w:rFonts w:ascii="Times" w:hAnsi="Times" w:cs="Times New Roman"/>
      <w:sz w:val="20"/>
      <w:szCs w:val="20"/>
    </w:rPr>
  </w:style>
  <w:style w:type="character" w:styleId="Hyperlink">
    <w:name w:val="Hyperlink"/>
    <w:basedOn w:val="DefaultParagraphFont"/>
    <w:uiPriority w:val="99"/>
    <w:semiHidden/>
    <w:unhideWhenUsed/>
    <w:rsid w:val="00C5025E"/>
    <w:rPr>
      <w:color w:val="0000FF" w:themeColor="hyperlink"/>
      <w:u w:val="single"/>
    </w:rPr>
  </w:style>
  <w:style w:type="paragraph" w:styleId="ListParagraph">
    <w:name w:val="List Paragraph"/>
    <w:basedOn w:val="Normal"/>
    <w:qFormat/>
    <w:rsid w:val="00C5025E"/>
    <w:pPr>
      <w:ind w:left="720"/>
      <w:contextualSpacing/>
    </w:pPr>
  </w:style>
  <w:style w:type="character" w:customStyle="1" w:styleId="apple-converted-space">
    <w:name w:val="apple-converted-space"/>
    <w:basedOn w:val="DefaultParagraphFont"/>
    <w:rsid w:val="008073B3"/>
  </w:style>
  <w:style w:type="character" w:customStyle="1" w:styleId="highlight">
    <w:name w:val="highlight"/>
    <w:basedOn w:val="DefaultParagraphFont"/>
    <w:rsid w:val="008073B3"/>
  </w:style>
  <w:style w:type="paragraph" w:styleId="BalloonText">
    <w:name w:val="Balloon Text"/>
    <w:basedOn w:val="Normal"/>
    <w:link w:val="BalloonTextChar"/>
    <w:uiPriority w:val="99"/>
    <w:semiHidden/>
    <w:unhideWhenUsed/>
    <w:rsid w:val="00034CBE"/>
    <w:rPr>
      <w:rFonts w:ascii="Tahoma" w:hAnsi="Tahoma" w:cs="Tahoma"/>
      <w:sz w:val="16"/>
      <w:szCs w:val="16"/>
    </w:rPr>
  </w:style>
  <w:style w:type="character" w:customStyle="1" w:styleId="BalloonTextChar">
    <w:name w:val="Balloon Text Char"/>
    <w:basedOn w:val="DefaultParagraphFont"/>
    <w:link w:val="BalloonText"/>
    <w:uiPriority w:val="99"/>
    <w:semiHidden/>
    <w:rsid w:val="00034C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5025E"/>
    <w:pPr>
      <w:spacing w:beforeLines="1" w:afterLines="1"/>
    </w:pPr>
    <w:rPr>
      <w:rFonts w:ascii="Times" w:hAnsi="Times" w:cs="Times New Roman"/>
      <w:sz w:val="20"/>
      <w:szCs w:val="20"/>
    </w:rPr>
  </w:style>
  <w:style w:type="character" w:styleId="Hyperlink">
    <w:name w:val="Hyperlink"/>
    <w:basedOn w:val="DefaultParagraphFont"/>
    <w:uiPriority w:val="99"/>
    <w:semiHidden/>
    <w:unhideWhenUsed/>
    <w:rsid w:val="00C5025E"/>
    <w:rPr>
      <w:color w:val="0000FF" w:themeColor="hyperlink"/>
      <w:u w:val="single"/>
    </w:rPr>
  </w:style>
  <w:style w:type="paragraph" w:styleId="ListParagraph">
    <w:name w:val="List Paragraph"/>
    <w:basedOn w:val="Normal"/>
    <w:qFormat/>
    <w:rsid w:val="00C5025E"/>
    <w:pPr>
      <w:ind w:left="720"/>
      <w:contextualSpacing/>
    </w:pPr>
  </w:style>
  <w:style w:type="character" w:customStyle="1" w:styleId="apple-converted-space">
    <w:name w:val="apple-converted-space"/>
    <w:basedOn w:val="DefaultParagraphFont"/>
    <w:rsid w:val="008073B3"/>
  </w:style>
  <w:style w:type="character" w:customStyle="1" w:styleId="highlight">
    <w:name w:val="highlight"/>
    <w:basedOn w:val="DefaultParagraphFont"/>
    <w:rsid w:val="008073B3"/>
  </w:style>
  <w:style w:type="paragraph" w:styleId="BalloonText">
    <w:name w:val="Balloon Text"/>
    <w:basedOn w:val="Normal"/>
    <w:link w:val="BalloonTextChar"/>
    <w:uiPriority w:val="99"/>
    <w:semiHidden/>
    <w:unhideWhenUsed/>
    <w:rsid w:val="00034CBE"/>
    <w:rPr>
      <w:rFonts w:ascii="Tahoma" w:hAnsi="Tahoma" w:cs="Tahoma"/>
      <w:sz w:val="16"/>
      <w:szCs w:val="16"/>
    </w:rPr>
  </w:style>
  <w:style w:type="character" w:customStyle="1" w:styleId="BalloonTextChar">
    <w:name w:val="Balloon Text Char"/>
    <w:basedOn w:val="DefaultParagraphFont"/>
    <w:link w:val="BalloonText"/>
    <w:uiPriority w:val="99"/>
    <w:semiHidden/>
    <w:rsid w:val="00034C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Pandit%20H%5BAuthor%5D&amp;cauthor=true&amp;cauthor_uid=23693138" TargetMode="External"/><Relationship Id="rId13" Type="http://schemas.openxmlformats.org/officeDocument/2006/relationships/hyperlink" Target="https://www.ncbi.nlm.nih.gov/pubmed/?term=Bourne%20RB%5BAuthor%5D&amp;cauthor=true&amp;cauthor_uid=1700636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ncbi.nlm.nih.gov/pubmed/?term=Liddle%20AD%5BAuthor%5D&amp;cauthor=true&amp;cauthor_uid=23693138" TargetMode="External"/><Relationship Id="rId12" Type="http://schemas.openxmlformats.org/officeDocument/2006/relationships/hyperlink" Target="https://www.ncbi.nlm.nih.gov/pubmed/?term=Rorabeck%20CH%5BAuthor%5D&amp;cauthor=true&amp;cauthor_uid=1700636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junedsalamansari@gmail.com" TargetMode="External"/><Relationship Id="rId1" Type="http://schemas.openxmlformats.org/officeDocument/2006/relationships/numbering" Target="numbering.xml"/><Relationship Id="rId6" Type="http://schemas.openxmlformats.org/officeDocument/2006/relationships/hyperlink" Target="https://www.ncbi.nlm.nih.gov/pubmed/?term=Mellon%20SJ%5BAuthor%5D&amp;cauthor=true&amp;cauthor_uid=23693138" TargetMode="External"/><Relationship Id="rId11" Type="http://schemas.openxmlformats.org/officeDocument/2006/relationships/hyperlink" Target="https://www.ncbi.nlm.nih.gov/pubmed/?term=Jamal%20B%5BAuthor%5D&amp;cauthor=true&amp;cauthor_uid=17006361"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ncbi.nlm.nih.gov/pubmed/?term=Kearns%20SR%5BAuthor%5D&amp;cauthor=true&amp;cauthor_uid=17006361" TargetMode="External"/><Relationship Id="rId4" Type="http://schemas.openxmlformats.org/officeDocument/2006/relationships/settings" Target="settings.xml"/><Relationship Id="rId9" Type="http://schemas.openxmlformats.org/officeDocument/2006/relationships/hyperlink" Target="https://www.ncbi.nlm.nih.gov/pubmed/?term=mellon+landmark+surgery+2013" TargetMode="External"/><Relationship Id="rId14" Type="http://schemas.openxmlformats.org/officeDocument/2006/relationships/hyperlink" Target="https://www.ncbi.nlm.nih.gov/pubmed/170063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Harrogate and  District NHS Foundation Trust</Company>
  <LinksUpToDate>false</LinksUpToDate>
  <CharactersWithSpaces>4455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ORTHOPAEDIC-CLINIC (RCD) SURGICAL</dc:creator>
  <cp:lastModifiedBy>ORTHOPAEDIC-CLINIC (RCD) SURGICAL</cp:lastModifiedBy>
  <cp:revision>2</cp:revision>
  <dcterms:created xsi:type="dcterms:W3CDTF">2018-07-11T09:39:00Z</dcterms:created>
  <dcterms:modified xsi:type="dcterms:W3CDTF">2018-07-11T09:39:00Z</dcterms:modified>
</cp:coreProperties>
</file>