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FEC" w:rsidRPr="00296DF1" w:rsidRDefault="00FE1FEC" w:rsidP="00FE1FEC">
      <w:pPr>
        <w:spacing w:line="480" w:lineRule="auto"/>
        <w:contextualSpacing/>
        <w:jc w:val="center"/>
        <w:rPr>
          <w:rFonts w:ascii="Times New Roman" w:hAnsi="Times New Roman" w:cs="Times New Roman"/>
          <w:sz w:val="24"/>
          <w:szCs w:val="24"/>
        </w:rPr>
      </w:pPr>
      <w:r w:rsidRPr="0033224F">
        <w:rPr>
          <w:rFonts w:ascii="Times New Roman" w:hAnsi="Times New Roman" w:cs="Times New Roman"/>
          <w:b/>
          <w:sz w:val="24"/>
          <w:szCs w:val="24"/>
        </w:rPr>
        <w:t xml:space="preserve">Analysis of Incidence and Outcome </w:t>
      </w:r>
      <w:r>
        <w:rPr>
          <w:rFonts w:ascii="Times New Roman" w:hAnsi="Times New Roman" w:cs="Times New Roman"/>
          <w:b/>
          <w:sz w:val="24"/>
          <w:szCs w:val="24"/>
        </w:rPr>
        <w:t xml:space="preserve">Predictors </w:t>
      </w:r>
      <w:r w:rsidRPr="0033224F">
        <w:rPr>
          <w:rFonts w:ascii="Times New Roman" w:hAnsi="Times New Roman" w:cs="Times New Roman"/>
          <w:b/>
          <w:sz w:val="24"/>
          <w:szCs w:val="24"/>
        </w:rPr>
        <w:t>for Patients Admitted to U.S. Hospitals with Acetabular Fractures from 1990-20</w:t>
      </w:r>
      <w:r>
        <w:rPr>
          <w:rFonts w:ascii="Times New Roman" w:hAnsi="Times New Roman" w:cs="Times New Roman"/>
          <w:b/>
          <w:sz w:val="24"/>
          <w:szCs w:val="24"/>
        </w:rPr>
        <w:t>10</w:t>
      </w:r>
      <w:r>
        <w:rPr>
          <w:rFonts w:ascii="Times New Roman" w:hAnsi="Times New Roman" w:cs="Times New Roman"/>
          <w:b/>
          <w:sz w:val="24"/>
          <w:szCs w:val="24"/>
        </w:rPr>
        <w:br/>
      </w:r>
      <w:r w:rsidRPr="00296DF1">
        <w:rPr>
          <w:rFonts w:ascii="Times New Roman" w:hAnsi="Times New Roman" w:cs="Times New Roman"/>
          <w:sz w:val="24"/>
          <w:szCs w:val="24"/>
        </w:rPr>
        <w:t>Matthew J. Best</w:t>
      </w:r>
      <w:r>
        <w:rPr>
          <w:rFonts w:ascii="Times New Roman" w:eastAsia="Times New Roman" w:hAnsi="Times New Roman" w:cs="Times New Roman"/>
          <w:color w:val="000000"/>
          <w:sz w:val="24"/>
          <w:szCs w:val="24"/>
          <w:vertAlign w:val="superscript"/>
        </w:rPr>
        <w:t>1</w:t>
      </w:r>
      <w:r>
        <w:rPr>
          <w:rFonts w:ascii="Times New Roman" w:hAnsi="Times New Roman" w:cs="Times New Roman"/>
          <w:sz w:val="24"/>
          <w:szCs w:val="24"/>
        </w:rPr>
        <w:t>, MD</w:t>
      </w:r>
      <w:r w:rsidRPr="00296DF1">
        <w:rPr>
          <w:rFonts w:ascii="Times New Roman" w:hAnsi="Times New Roman" w:cs="Times New Roman"/>
          <w:sz w:val="24"/>
          <w:szCs w:val="24"/>
        </w:rPr>
        <w:t>, Leonard T. Buller</w:t>
      </w:r>
      <w:r>
        <w:rPr>
          <w:rFonts w:ascii="Times New Roman" w:eastAsia="Times New Roman" w:hAnsi="Times New Roman" w:cs="Times New Roman"/>
          <w:color w:val="000000"/>
          <w:sz w:val="24"/>
          <w:szCs w:val="24"/>
          <w:vertAlign w:val="superscript"/>
        </w:rPr>
        <w:t>2</w:t>
      </w:r>
      <w:r w:rsidRPr="00296DF1">
        <w:rPr>
          <w:rFonts w:ascii="Times New Roman" w:hAnsi="Times New Roman" w:cs="Times New Roman"/>
          <w:sz w:val="24"/>
          <w:szCs w:val="24"/>
        </w:rPr>
        <w:t xml:space="preserve">, MD, </w:t>
      </w:r>
      <w:r>
        <w:rPr>
          <w:rFonts w:ascii="Times New Roman" w:hAnsi="Times New Roman" w:cs="Times New Roman"/>
          <w:sz w:val="24"/>
          <w:szCs w:val="24"/>
        </w:rPr>
        <w:t xml:space="preserve">Charles M. </w:t>
      </w:r>
      <w:proofErr w:type="spellStart"/>
      <w:r>
        <w:rPr>
          <w:rFonts w:ascii="Times New Roman" w:hAnsi="Times New Roman" w:cs="Times New Roman"/>
          <w:sz w:val="24"/>
          <w:szCs w:val="24"/>
        </w:rPr>
        <w:t>Lawrie</w:t>
      </w:r>
      <w:proofErr w:type="spellEnd"/>
      <w:r>
        <w:rPr>
          <w:rFonts w:ascii="Times New Roman" w:hAnsi="Times New Roman" w:cs="Times New Roman"/>
          <w:sz w:val="24"/>
          <w:szCs w:val="24"/>
        </w:rPr>
        <w:t>, MD</w:t>
      </w:r>
      <w:r w:rsidRPr="00FE1FEC">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296DF1">
        <w:rPr>
          <w:rFonts w:ascii="Times New Roman" w:hAnsi="Times New Roman" w:cs="Times New Roman"/>
          <w:sz w:val="24"/>
          <w:szCs w:val="24"/>
        </w:rPr>
        <w:t>Stephen M. Quinnan</w:t>
      </w:r>
      <w:r>
        <w:rPr>
          <w:rFonts w:ascii="Times New Roman" w:eastAsia="Times New Roman" w:hAnsi="Times New Roman" w:cs="Times New Roman"/>
          <w:color w:val="000000"/>
          <w:sz w:val="24"/>
          <w:szCs w:val="24"/>
          <w:vertAlign w:val="superscript"/>
        </w:rPr>
        <w:t>3</w:t>
      </w:r>
      <w:r w:rsidRPr="00296DF1">
        <w:rPr>
          <w:rFonts w:ascii="Times New Roman" w:hAnsi="Times New Roman" w:cs="Times New Roman"/>
          <w:sz w:val="24"/>
          <w:szCs w:val="24"/>
        </w:rPr>
        <w:t>, MD</w:t>
      </w:r>
    </w:p>
    <w:p w:rsidR="00FE1FEC" w:rsidRDefault="00FE1FEC" w:rsidP="00FE1FEC">
      <w:pPr>
        <w:widowControl w:val="0"/>
        <w:autoSpaceDE w:val="0"/>
        <w:autoSpaceDN w:val="0"/>
        <w:adjustRightInd w:val="0"/>
        <w:spacing w:line="480" w:lineRule="auto"/>
        <w:contextualSpacing/>
        <w:rPr>
          <w:rFonts w:ascii="Times New Roman" w:eastAsia="MS Mincho" w:hAnsi="Times New Roman" w:cs="Times New Roman"/>
          <w:sz w:val="24"/>
          <w:szCs w:val="24"/>
        </w:rPr>
      </w:pPr>
      <w:r>
        <w:rPr>
          <w:rFonts w:ascii="Times New Roman" w:eastAsia="Times New Roman" w:hAnsi="Times New Roman" w:cs="Times New Roman"/>
          <w:color w:val="000000"/>
          <w:sz w:val="24"/>
          <w:szCs w:val="24"/>
          <w:vertAlign w:val="superscript"/>
        </w:rPr>
        <w:t>1</w:t>
      </w:r>
      <w:r>
        <w:rPr>
          <w:rFonts w:ascii="Times New Roman" w:eastAsia="MS Mincho" w:hAnsi="Times New Roman" w:cs="Times New Roman"/>
          <w:sz w:val="24"/>
          <w:szCs w:val="24"/>
        </w:rPr>
        <w:t>Resident physician</w:t>
      </w:r>
      <w:r w:rsidRPr="00296DF1">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Department of </w:t>
      </w:r>
      <w:proofErr w:type="spellStart"/>
      <w:r>
        <w:rPr>
          <w:rFonts w:ascii="Times New Roman" w:eastAsia="MS Mincho" w:hAnsi="Times New Roman" w:cs="Times New Roman"/>
          <w:sz w:val="24"/>
          <w:szCs w:val="24"/>
        </w:rPr>
        <w:t>Orthopaedic</w:t>
      </w:r>
      <w:proofErr w:type="spellEnd"/>
      <w:r>
        <w:rPr>
          <w:rFonts w:ascii="Times New Roman" w:eastAsia="MS Mincho" w:hAnsi="Times New Roman" w:cs="Times New Roman"/>
          <w:sz w:val="24"/>
          <w:szCs w:val="24"/>
        </w:rPr>
        <w:t xml:space="preserve"> Surgery, Johns Hopkins Hospital</w:t>
      </w:r>
      <w:r w:rsidRPr="00296DF1">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Baltimore, MD</w:t>
      </w:r>
      <w:r w:rsidRPr="00296DF1">
        <w:rPr>
          <w:rFonts w:ascii="Times New Roman" w:eastAsia="MS Mincho" w:hAnsi="Times New Roman" w:cs="Times New Roman"/>
          <w:sz w:val="24"/>
          <w:szCs w:val="24"/>
        </w:rPr>
        <w:t>, USA</w:t>
      </w:r>
    </w:p>
    <w:p w:rsidR="00FE1FEC" w:rsidRPr="00296DF1" w:rsidRDefault="00FE1FEC" w:rsidP="00FE1FEC">
      <w:pPr>
        <w:widowControl w:val="0"/>
        <w:autoSpaceDE w:val="0"/>
        <w:autoSpaceDN w:val="0"/>
        <w:adjustRightInd w:val="0"/>
        <w:spacing w:line="480" w:lineRule="auto"/>
        <w:contextualSpacing/>
        <w:rPr>
          <w:rFonts w:ascii="Times New Roman" w:eastAsia="MS Mincho" w:hAnsi="Times New Roman" w:cs="Times New Roman"/>
          <w:sz w:val="24"/>
          <w:szCs w:val="24"/>
        </w:rPr>
      </w:pPr>
      <w:r>
        <w:rPr>
          <w:rFonts w:ascii="Times New Roman" w:eastAsia="Times New Roman" w:hAnsi="Times New Roman" w:cs="Times New Roman"/>
          <w:color w:val="000000"/>
          <w:sz w:val="24"/>
          <w:szCs w:val="24"/>
          <w:vertAlign w:val="superscript"/>
        </w:rPr>
        <w:t>2</w:t>
      </w:r>
      <w:r w:rsidRPr="00296DF1">
        <w:rPr>
          <w:rFonts w:ascii="Times New Roman" w:eastAsia="MS Mincho" w:hAnsi="Times New Roman" w:cs="Times New Roman"/>
          <w:sz w:val="24"/>
          <w:szCs w:val="24"/>
        </w:rPr>
        <w:t xml:space="preserve">Resident physician, University of Miami Department of </w:t>
      </w:r>
      <w:proofErr w:type="spellStart"/>
      <w:r w:rsidRPr="00296DF1">
        <w:rPr>
          <w:rFonts w:ascii="Times New Roman" w:eastAsia="MS Mincho" w:hAnsi="Times New Roman" w:cs="Times New Roman"/>
          <w:sz w:val="24"/>
          <w:szCs w:val="24"/>
        </w:rPr>
        <w:t>Orthopaedic</w:t>
      </w:r>
      <w:proofErr w:type="spellEnd"/>
      <w:r w:rsidRPr="00296DF1">
        <w:rPr>
          <w:rFonts w:ascii="Times New Roman" w:eastAsia="MS Mincho" w:hAnsi="Times New Roman" w:cs="Times New Roman"/>
          <w:sz w:val="24"/>
          <w:szCs w:val="24"/>
        </w:rPr>
        <w:t xml:space="preserve"> Surgery and Rehabilitation, Miami, FL, USA</w:t>
      </w:r>
    </w:p>
    <w:p w:rsidR="00FE1FEC" w:rsidRDefault="00FE1FEC" w:rsidP="00FE1FEC">
      <w:pPr>
        <w:spacing w:line="480" w:lineRule="auto"/>
        <w:contextualSpacing/>
        <w:rPr>
          <w:rFonts w:ascii="Times New Roman" w:hAnsi="Times New Roman" w:cs="Times New Roman"/>
          <w:sz w:val="24"/>
          <w:szCs w:val="24"/>
        </w:rPr>
      </w:pPr>
      <w:r>
        <w:rPr>
          <w:rFonts w:ascii="Times New Roman" w:eastAsia="Times New Roman" w:hAnsi="Times New Roman" w:cs="Times New Roman"/>
          <w:color w:val="000000"/>
          <w:sz w:val="24"/>
          <w:szCs w:val="24"/>
          <w:vertAlign w:val="superscript"/>
        </w:rPr>
        <w:t>3</w:t>
      </w:r>
      <w:r w:rsidRPr="00296DF1">
        <w:rPr>
          <w:rFonts w:ascii="Times New Roman" w:hAnsi="Times New Roman" w:cs="Times New Roman"/>
          <w:sz w:val="24"/>
          <w:szCs w:val="24"/>
        </w:rPr>
        <w:t xml:space="preserve">Assistant Professor of Clinical </w:t>
      </w:r>
      <w:proofErr w:type="spellStart"/>
      <w:r w:rsidRPr="00296DF1">
        <w:rPr>
          <w:rFonts w:ascii="Times New Roman" w:hAnsi="Times New Roman" w:cs="Times New Roman"/>
          <w:sz w:val="24"/>
          <w:szCs w:val="24"/>
        </w:rPr>
        <w:t>Orthopaedics</w:t>
      </w:r>
      <w:proofErr w:type="spellEnd"/>
      <w:r w:rsidRPr="00296DF1">
        <w:rPr>
          <w:rFonts w:ascii="Times New Roman" w:hAnsi="Times New Roman" w:cs="Times New Roman"/>
          <w:sz w:val="24"/>
          <w:szCs w:val="24"/>
        </w:rPr>
        <w:t>, Trauma Surgery, University of Miami/Jackson Memorial Hospital, Miami, FL, USA</w:t>
      </w:r>
    </w:p>
    <w:p w:rsidR="00FE1FEC" w:rsidRPr="00296DF1" w:rsidRDefault="00FE1FEC" w:rsidP="00FE1FEC">
      <w:pPr>
        <w:spacing w:line="480" w:lineRule="auto"/>
        <w:contextualSpacing/>
        <w:rPr>
          <w:rFonts w:ascii="Times New Roman" w:hAnsi="Times New Roman" w:cs="Times New Roman"/>
          <w:sz w:val="24"/>
          <w:szCs w:val="24"/>
        </w:rPr>
      </w:pPr>
      <w:r>
        <w:rPr>
          <w:rFonts w:ascii="Times New Roman" w:hAnsi="Times New Roman" w:cs="Times New Roman"/>
          <w:sz w:val="24"/>
          <w:szCs w:val="24"/>
        </w:rPr>
        <w:t>Matthew J Best</w:t>
      </w:r>
      <w:r>
        <w:rPr>
          <w:rFonts w:ascii="Times New Roman" w:hAnsi="Times New Roman" w:cs="Times New Roman"/>
          <w:sz w:val="24"/>
          <w:szCs w:val="24"/>
        </w:rPr>
        <w:t>, MD,</w:t>
      </w:r>
      <w:bookmarkStart w:id="0" w:name="_GoBack"/>
      <w:bookmarkEnd w:id="0"/>
      <w:r>
        <w:rPr>
          <w:rFonts w:ascii="Times New Roman" w:hAnsi="Times New Roman" w:cs="Times New Roman"/>
          <w:sz w:val="24"/>
          <w:szCs w:val="24"/>
        </w:rPr>
        <w:t xml:space="preserve">  phone: 267-221-7227, </w:t>
      </w:r>
      <w:r>
        <w:rPr>
          <w:rFonts w:ascii="Times New Roman" w:hAnsi="Times New Roman" w:cs="Times New Roman"/>
          <w:sz w:val="24"/>
          <w:szCs w:val="24"/>
        </w:rPr>
        <w:t>mbest8@jhmi.edu</w:t>
      </w:r>
    </w:p>
    <w:p w:rsidR="00FE1FEC" w:rsidRPr="0033224F" w:rsidRDefault="00FE1FEC" w:rsidP="00FE1FEC">
      <w:pPr>
        <w:spacing w:line="480" w:lineRule="auto"/>
        <w:contextualSpacing/>
        <w:jc w:val="center"/>
        <w:rPr>
          <w:rFonts w:ascii="Times New Roman" w:hAnsi="Times New Roman" w:cs="Times New Roman"/>
          <w:b/>
          <w:sz w:val="24"/>
          <w:szCs w:val="24"/>
        </w:rPr>
      </w:pPr>
    </w:p>
    <w:p w:rsidR="00FE1FEC" w:rsidRPr="0033224F" w:rsidRDefault="00FE1FEC" w:rsidP="00FE1FEC">
      <w:pPr>
        <w:spacing w:line="480" w:lineRule="auto"/>
        <w:contextualSpacing/>
        <w:rPr>
          <w:rFonts w:ascii="Times New Roman" w:hAnsi="Times New Roman" w:cs="Times New Roman"/>
          <w:b/>
          <w:sz w:val="24"/>
          <w:szCs w:val="24"/>
          <w:u w:val="single"/>
        </w:rPr>
      </w:pPr>
      <w:r w:rsidRPr="0033224F">
        <w:rPr>
          <w:rFonts w:ascii="Times New Roman" w:hAnsi="Times New Roman" w:cs="Times New Roman"/>
          <w:b/>
          <w:sz w:val="24"/>
          <w:szCs w:val="24"/>
          <w:u w:val="single"/>
        </w:rPr>
        <w:t>Abstract</w:t>
      </w:r>
    </w:p>
    <w:p w:rsidR="00FE1FEC" w:rsidRPr="0033224F" w:rsidRDefault="00FE1FEC" w:rsidP="00FE1FEC">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Background</w:t>
      </w:r>
      <w:r w:rsidRPr="0033224F">
        <w:rPr>
          <w:rFonts w:ascii="Times New Roman" w:hAnsi="Times New Roman" w:cs="Times New Roman"/>
          <w:b/>
          <w:sz w:val="24"/>
          <w:szCs w:val="24"/>
        </w:rPr>
        <w:t xml:space="preserve">: </w:t>
      </w:r>
      <w:r w:rsidRPr="0033224F">
        <w:rPr>
          <w:rFonts w:ascii="Times New Roman" w:hAnsi="Times New Roman" w:cs="Times New Roman"/>
          <w:sz w:val="24"/>
          <w:szCs w:val="24"/>
        </w:rPr>
        <w:t xml:space="preserve">The incidence of acetabular fractures </w:t>
      </w:r>
      <w:r>
        <w:rPr>
          <w:rFonts w:ascii="Times New Roman" w:hAnsi="Times New Roman" w:cs="Times New Roman"/>
          <w:sz w:val="24"/>
          <w:szCs w:val="24"/>
        </w:rPr>
        <w:t xml:space="preserve">and associated in-hospital complication rates </w:t>
      </w:r>
      <w:r w:rsidRPr="0033224F">
        <w:rPr>
          <w:rFonts w:ascii="Times New Roman" w:hAnsi="Times New Roman" w:cs="Times New Roman"/>
          <w:sz w:val="24"/>
          <w:szCs w:val="24"/>
        </w:rPr>
        <w:t xml:space="preserve">in the United States </w:t>
      </w:r>
      <w:r>
        <w:rPr>
          <w:rFonts w:ascii="Times New Roman" w:hAnsi="Times New Roman" w:cs="Times New Roman"/>
          <w:sz w:val="24"/>
          <w:szCs w:val="24"/>
        </w:rPr>
        <w:t>are</w:t>
      </w:r>
      <w:r w:rsidRPr="0033224F">
        <w:rPr>
          <w:rFonts w:ascii="Times New Roman" w:hAnsi="Times New Roman" w:cs="Times New Roman"/>
          <w:sz w:val="24"/>
          <w:szCs w:val="24"/>
        </w:rPr>
        <w:t xml:space="preserve"> poorly defined. Studies evaluating predictors of outcome for isolated acetabular fractures are weakly generalizable due to small sample sizes or inclusion of all types of pelvic fractures. This study sought to analyze trends of acetabular fractures </w:t>
      </w:r>
      <w:r>
        <w:rPr>
          <w:rFonts w:ascii="Times New Roman" w:hAnsi="Times New Roman" w:cs="Times New Roman"/>
          <w:sz w:val="24"/>
          <w:szCs w:val="24"/>
        </w:rPr>
        <w:t xml:space="preserve">and associated complications </w:t>
      </w:r>
      <w:r w:rsidRPr="0033224F">
        <w:rPr>
          <w:rFonts w:ascii="Times New Roman" w:hAnsi="Times New Roman" w:cs="Times New Roman"/>
          <w:sz w:val="24"/>
          <w:szCs w:val="24"/>
        </w:rPr>
        <w:t>in the United States using the largest and most recent national dataset available.</w:t>
      </w:r>
    </w:p>
    <w:p w:rsidR="00FE1FEC" w:rsidRPr="0033224F" w:rsidRDefault="00FE1FEC" w:rsidP="00FE1FEC">
      <w:pPr>
        <w:spacing w:line="480" w:lineRule="auto"/>
        <w:contextualSpacing/>
        <w:rPr>
          <w:rFonts w:ascii="Times New Roman" w:hAnsi="Times New Roman" w:cs="Times New Roman"/>
          <w:sz w:val="24"/>
          <w:szCs w:val="24"/>
        </w:rPr>
      </w:pPr>
      <w:r w:rsidRPr="0033224F">
        <w:rPr>
          <w:rFonts w:ascii="Times New Roman" w:hAnsi="Times New Roman" w:cs="Times New Roman"/>
          <w:b/>
          <w:sz w:val="24"/>
          <w:szCs w:val="24"/>
        </w:rPr>
        <w:t xml:space="preserve">Methods: </w:t>
      </w:r>
      <w:r w:rsidRPr="0033224F">
        <w:rPr>
          <w:rFonts w:ascii="Times New Roman" w:hAnsi="Times New Roman" w:cs="Times New Roman"/>
          <w:sz w:val="24"/>
          <w:szCs w:val="24"/>
        </w:rPr>
        <w:t>The National Hospital Discharge Survey was queried to identify all patients admitted to U.S. hospitals with acetabular fractures between 1990 and 20</w:t>
      </w:r>
      <w:r>
        <w:rPr>
          <w:rFonts w:ascii="Times New Roman" w:hAnsi="Times New Roman" w:cs="Times New Roman"/>
          <w:sz w:val="24"/>
          <w:szCs w:val="24"/>
        </w:rPr>
        <w:t>10</w:t>
      </w:r>
      <w:r w:rsidRPr="0033224F">
        <w:rPr>
          <w:rFonts w:ascii="Times New Roman" w:hAnsi="Times New Roman" w:cs="Times New Roman"/>
          <w:sz w:val="24"/>
          <w:szCs w:val="24"/>
        </w:rPr>
        <w:t>. A cohort representative of 4</w:t>
      </w:r>
      <w:r>
        <w:rPr>
          <w:rFonts w:ascii="Times New Roman" w:hAnsi="Times New Roman" w:cs="Times New Roman"/>
          <w:sz w:val="24"/>
          <w:szCs w:val="24"/>
        </w:rPr>
        <w:t>97,389</w:t>
      </w:r>
      <w:r w:rsidRPr="0033224F">
        <w:rPr>
          <w:rFonts w:ascii="Times New Roman" w:hAnsi="Times New Roman" w:cs="Times New Roman"/>
          <w:sz w:val="24"/>
          <w:szCs w:val="24"/>
        </w:rPr>
        <w:t xml:space="preserve"> patients was identified and multivariable logistic regression was used to identify independent predictors of mortality, adverse events, requirement of blood transfusion, and</w:t>
      </w:r>
      <w:r>
        <w:rPr>
          <w:rFonts w:ascii="Times New Roman" w:hAnsi="Times New Roman" w:cs="Times New Roman"/>
          <w:sz w:val="24"/>
          <w:szCs w:val="24"/>
        </w:rPr>
        <w:t xml:space="preserve"> operative treatment with open reduction internal fixation</w:t>
      </w:r>
      <w:r w:rsidRPr="0033224F">
        <w:rPr>
          <w:rFonts w:ascii="Times New Roman" w:hAnsi="Times New Roman" w:cs="Times New Roman"/>
          <w:sz w:val="24"/>
          <w:szCs w:val="24"/>
        </w:rPr>
        <w:t xml:space="preserve">. </w:t>
      </w:r>
    </w:p>
    <w:p w:rsidR="00FE1FEC" w:rsidRPr="0033224F" w:rsidRDefault="00FE1FEC" w:rsidP="00FE1FEC">
      <w:pPr>
        <w:spacing w:line="480" w:lineRule="auto"/>
        <w:contextualSpacing/>
        <w:rPr>
          <w:rFonts w:ascii="Times New Roman" w:hAnsi="Times New Roman" w:cs="Times New Roman"/>
          <w:sz w:val="24"/>
          <w:szCs w:val="24"/>
        </w:rPr>
      </w:pPr>
      <w:r w:rsidRPr="0033224F">
        <w:rPr>
          <w:rFonts w:ascii="Times New Roman" w:hAnsi="Times New Roman" w:cs="Times New Roman"/>
          <w:b/>
          <w:sz w:val="24"/>
          <w:szCs w:val="24"/>
        </w:rPr>
        <w:lastRenderedPageBreak/>
        <w:t xml:space="preserve">Results: </w:t>
      </w:r>
      <w:r w:rsidRPr="0033224F">
        <w:rPr>
          <w:rFonts w:ascii="Times New Roman" w:hAnsi="Times New Roman" w:cs="Times New Roman"/>
          <w:sz w:val="24"/>
          <w:szCs w:val="24"/>
        </w:rPr>
        <w:t>Between 1990 and 20</w:t>
      </w:r>
      <w:r>
        <w:rPr>
          <w:rFonts w:ascii="Times New Roman" w:hAnsi="Times New Roman" w:cs="Times New Roman"/>
          <w:sz w:val="24"/>
          <w:szCs w:val="24"/>
        </w:rPr>
        <w:t>10</w:t>
      </w:r>
      <w:r w:rsidRPr="0033224F">
        <w:rPr>
          <w:rFonts w:ascii="Times New Roman" w:hAnsi="Times New Roman" w:cs="Times New Roman"/>
          <w:sz w:val="24"/>
          <w:szCs w:val="24"/>
        </w:rPr>
        <w:t xml:space="preserve">, the population-adjusted incidence of acetabular fractures increased from 7.8 to </w:t>
      </w:r>
      <w:r>
        <w:rPr>
          <w:rFonts w:ascii="Times New Roman" w:hAnsi="Times New Roman" w:cs="Times New Roman"/>
          <w:sz w:val="24"/>
          <w:szCs w:val="24"/>
        </w:rPr>
        <w:t>9.5</w:t>
      </w:r>
      <w:r w:rsidRPr="0033224F">
        <w:rPr>
          <w:rFonts w:ascii="Times New Roman" w:hAnsi="Times New Roman" w:cs="Times New Roman"/>
          <w:sz w:val="24"/>
          <w:szCs w:val="24"/>
        </w:rPr>
        <w:t>/100,000 capita</w:t>
      </w:r>
      <w:r>
        <w:rPr>
          <w:rFonts w:ascii="Times New Roman" w:hAnsi="Times New Roman" w:cs="Times New Roman"/>
          <w:sz w:val="24"/>
          <w:szCs w:val="24"/>
        </w:rPr>
        <w:t xml:space="preserve"> (p&lt;0.001)</w:t>
      </w:r>
      <w:r w:rsidRPr="0033224F">
        <w:rPr>
          <w:rFonts w:ascii="Times New Roman" w:hAnsi="Times New Roman" w:cs="Times New Roman"/>
          <w:sz w:val="24"/>
          <w:szCs w:val="24"/>
        </w:rPr>
        <w:t xml:space="preserve">. Mortality declined from 5.9% to </w:t>
      </w:r>
      <w:r>
        <w:rPr>
          <w:rFonts w:ascii="Times New Roman" w:hAnsi="Times New Roman" w:cs="Times New Roman"/>
          <w:sz w:val="24"/>
          <w:szCs w:val="24"/>
        </w:rPr>
        <w:t>0.4</w:t>
      </w:r>
      <w:r w:rsidRPr="0033224F">
        <w:rPr>
          <w:rFonts w:ascii="Times New Roman" w:hAnsi="Times New Roman" w:cs="Times New Roman"/>
          <w:sz w:val="24"/>
          <w:szCs w:val="24"/>
        </w:rPr>
        <w:t>%</w:t>
      </w:r>
      <w:r>
        <w:rPr>
          <w:rFonts w:ascii="Times New Roman" w:hAnsi="Times New Roman" w:cs="Times New Roman"/>
          <w:sz w:val="24"/>
          <w:szCs w:val="24"/>
        </w:rPr>
        <w:t xml:space="preserve"> (p&lt;0.001)</w:t>
      </w:r>
      <w:r w:rsidRPr="0033224F">
        <w:rPr>
          <w:rFonts w:ascii="Times New Roman" w:hAnsi="Times New Roman" w:cs="Times New Roman"/>
          <w:sz w:val="24"/>
          <w:szCs w:val="24"/>
        </w:rPr>
        <w:t xml:space="preserve"> paralleling an increase in the proportion of patients treated with open reduction and internal fixation (12.6% to </w:t>
      </w:r>
      <w:r>
        <w:rPr>
          <w:rFonts w:ascii="Times New Roman" w:hAnsi="Times New Roman" w:cs="Times New Roman"/>
          <w:sz w:val="24"/>
          <w:szCs w:val="24"/>
        </w:rPr>
        <w:t>20.4</w:t>
      </w:r>
      <w:r w:rsidRPr="0033224F">
        <w:rPr>
          <w:rFonts w:ascii="Times New Roman" w:hAnsi="Times New Roman" w:cs="Times New Roman"/>
          <w:sz w:val="24"/>
          <w:szCs w:val="24"/>
        </w:rPr>
        <w:t>%</w:t>
      </w:r>
      <w:r>
        <w:rPr>
          <w:rFonts w:ascii="Times New Roman" w:hAnsi="Times New Roman" w:cs="Times New Roman"/>
          <w:sz w:val="24"/>
          <w:szCs w:val="24"/>
        </w:rPr>
        <w:t>, p&lt;0.001</w:t>
      </w:r>
      <w:r w:rsidRPr="0033224F">
        <w:rPr>
          <w:rFonts w:ascii="Times New Roman" w:hAnsi="Times New Roman" w:cs="Times New Roman"/>
          <w:sz w:val="24"/>
          <w:szCs w:val="24"/>
        </w:rPr>
        <w:t xml:space="preserve">), which was the variable associated with the lowest odds of mortality. Surgical intervention was associated with higher odds of adverse events and requirement for blood transfusion. The average in-hospital length of stay decreased from 17.0 days to </w:t>
      </w:r>
      <w:r>
        <w:rPr>
          <w:rFonts w:ascii="Times New Roman" w:hAnsi="Times New Roman" w:cs="Times New Roman"/>
          <w:sz w:val="24"/>
          <w:szCs w:val="24"/>
        </w:rPr>
        <w:t>10.3</w:t>
      </w:r>
      <w:r w:rsidRPr="0033224F">
        <w:rPr>
          <w:rFonts w:ascii="Times New Roman" w:hAnsi="Times New Roman" w:cs="Times New Roman"/>
          <w:sz w:val="24"/>
          <w:szCs w:val="24"/>
        </w:rPr>
        <w:t xml:space="preserve"> days</w:t>
      </w:r>
      <w:r>
        <w:rPr>
          <w:rFonts w:ascii="Times New Roman" w:hAnsi="Times New Roman" w:cs="Times New Roman"/>
          <w:sz w:val="24"/>
          <w:szCs w:val="24"/>
        </w:rPr>
        <w:t xml:space="preserve"> (p&lt;0.001)</w:t>
      </w:r>
      <w:r w:rsidRPr="0033224F">
        <w:rPr>
          <w:rFonts w:ascii="Times New Roman" w:hAnsi="Times New Roman" w:cs="Times New Roman"/>
          <w:sz w:val="24"/>
          <w:szCs w:val="24"/>
        </w:rPr>
        <w:t>.</w:t>
      </w:r>
    </w:p>
    <w:p w:rsidR="00FE1FEC" w:rsidRDefault="00FE1FEC" w:rsidP="00FE1FEC">
      <w:pPr>
        <w:spacing w:line="480" w:lineRule="auto"/>
        <w:contextualSpacing/>
        <w:rPr>
          <w:rFonts w:ascii="Times New Roman" w:hAnsi="Times New Roman" w:cs="Times New Roman"/>
          <w:sz w:val="24"/>
          <w:szCs w:val="24"/>
        </w:rPr>
      </w:pPr>
      <w:r w:rsidRPr="0033224F">
        <w:rPr>
          <w:rFonts w:ascii="Times New Roman" w:hAnsi="Times New Roman" w:cs="Times New Roman"/>
          <w:b/>
          <w:sz w:val="24"/>
          <w:szCs w:val="24"/>
        </w:rPr>
        <w:t xml:space="preserve">Conclusions: </w:t>
      </w:r>
      <w:r w:rsidRPr="0033224F">
        <w:rPr>
          <w:rFonts w:ascii="Times New Roman" w:hAnsi="Times New Roman" w:cs="Times New Roman"/>
          <w:sz w:val="24"/>
          <w:szCs w:val="24"/>
        </w:rPr>
        <w:t>This study provides the largest and most comprehensive epidemiologic analysis of acetabular fractures in the United States.  Knowledge of the increasing incidence of acetabular fractures and prognostic factors associated with poor outcomes may improve outcomes.</w:t>
      </w:r>
    </w:p>
    <w:p w:rsidR="00FE1FEC" w:rsidRPr="0033224F" w:rsidRDefault="00FE1FEC" w:rsidP="00FE1FEC">
      <w:pPr>
        <w:spacing w:line="480" w:lineRule="auto"/>
        <w:contextualSpacing/>
        <w:rPr>
          <w:rFonts w:ascii="Times New Roman" w:hAnsi="Times New Roman" w:cs="Times New Roman"/>
          <w:sz w:val="24"/>
          <w:szCs w:val="24"/>
        </w:rPr>
      </w:pPr>
      <w:r w:rsidRPr="00A345E7">
        <w:rPr>
          <w:rFonts w:ascii="Times New Roman" w:hAnsi="Times New Roman" w:cs="Times New Roman"/>
          <w:b/>
          <w:sz w:val="24"/>
          <w:szCs w:val="24"/>
        </w:rPr>
        <w:t>Level of Evidence</w:t>
      </w:r>
      <w:r>
        <w:rPr>
          <w:rFonts w:ascii="Times New Roman" w:hAnsi="Times New Roman" w:cs="Times New Roman"/>
          <w:sz w:val="24"/>
          <w:szCs w:val="24"/>
        </w:rPr>
        <w:t>: Level II, retrospective cohort design, prognosis study</w:t>
      </w:r>
    </w:p>
    <w:p w:rsidR="00FE1FEC" w:rsidRDefault="00FE1FEC" w:rsidP="00FE1FEC">
      <w:pPr>
        <w:spacing w:line="480" w:lineRule="auto"/>
        <w:contextualSpacing/>
        <w:rPr>
          <w:rFonts w:ascii="Times New Roman" w:hAnsi="Times New Roman" w:cs="Times New Roman"/>
          <w:sz w:val="24"/>
          <w:szCs w:val="24"/>
        </w:rPr>
      </w:pPr>
    </w:p>
    <w:p w:rsidR="00FE1FEC" w:rsidRPr="0033224F" w:rsidRDefault="00FE1FEC" w:rsidP="00FE1FEC">
      <w:pPr>
        <w:spacing w:line="480" w:lineRule="auto"/>
        <w:contextualSpacing/>
        <w:rPr>
          <w:rFonts w:ascii="Times New Roman" w:hAnsi="Times New Roman" w:cs="Times New Roman"/>
          <w:sz w:val="24"/>
          <w:szCs w:val="24"/>
        </w:rPr>
      </w:pPr>
      <w:r w:rsidRPr="00801683">
        <w:rPr>
          <w:rFonts w:ascii="Times New Roman" w:hAnsi="Times New Roman" w:cs="Times New Roman"/>
          <w:b/>
          <w:sz w:val="24"/>
          <w:szCs w:val="24"/>
          <w:u w:val="single"/>
        </w:rPr>
        <w:t>Keywords</w:t>
      </w:r>
      <w:r>
        <w:rPr>
          <w:rFonts w:ascii="Times New Roman" w:hAnsi="Times New Roman" w:cs="Times New Roman"/>
          <w:sz w:val="24"/>
          <w:szCs w:val="24"/>
        </w:rPr>
        <w:t>: acetabular fracture; epidemiology; open reduction internal fixation; mortality; transfusion; length of stay</w:t>
      </w:r>
    </w:p>
    <w:p w:rsidR="00577F3B" w:rsidRDefault="00577F3B"/>
    <w:sectPr w:rsidR="00577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FEC"/>
    <w:rsid w:val="00577F3B"/>
    <w:rsid w:val="006E5EC3"/>
    <w:rsid w:val="00B15108"/>
    <w:rsid w:val="00FE1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F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F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F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F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376</Words>
  <Characters>2215</Characters>
  <Application>Microsoft Office Word</Application>
  <DocSecurity>0</DocSecurity>
  <Lines>36</Lines>
  <Paragraphs>7</Paragraphs>
  <ScaleCrop>false</ScaleCrop>
  <HeadingPairs>
    <vt:vector size="2" baseType="variant">
      <vt:variant>
        <vt:lpstr>Title</vt:lpstr>
      </vt:variant>
      <vt:variant>
        <vt:i4>1</vt:i4>
      </vt:variant>
    </vt:vector>
  </HeadingPairs>
  <TitlesOfParts>
    <vt:vector size="1" baseType="lpstr">
      <vt:lpstr/>
    </vt:vector>
  </TitlesOfParts>
  <Company>Univeristy of Miami - Miller School of Medicine</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1</cp:revision>
  <dcterms:created xsi:type="dcterms:W3CDTF">2017-08-21T03:21:00Z</dcterms:created>
  <dcterms:modified xsi:type="dcterms:W3CDTF">2017-08-21T03:25:00Z</dcterms:modified>
</cp:coreProperties>
</file>