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665" w:rsidRPr="005974DB" w:rsidRDefault="001E7665" w:rsidP="001E7665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974DB">
        <w:rPr>
          <w:rFonts w:ascii="Times New Roman" w:hAnsi="Times New Roman" w:cs="Times New Roman"/>
          <w:sz w:val="28"/>
          <w:szCs w:val="28"/>
          <w:lang w:val="en-US"/>
        </w:rPr>
        <w:t>A. Kayafa</w:t>
      </w:r>
      <w:r w:rsidRPr="005974DB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1</w:t>
      </w:r>
      <w:r w:rsidRPr="005974DB">
        <w:rPr>
          <w:rFonts w:ascii="Times New Roman" w:hAnsi="Times New Roman" w:cs="Times New Roman"/>
          <w:sz w:val="28"/>
          <w:szCs w:val="28"/>
          <w:lang w:val="en-US"/>
        </w:rPr>
        <w:t>, S. Dudar</w:t>
      </w: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5974DB">
        <w:rPr>
          <w:rFonts w:ascii="Times New Roman" w:hAnsi="Times New Roman" w:cs="Times New Roman"/>
          <w:sz w:val="28"/>
          <w:szCs w:val="28"/>
          <w:lang w:val="en-US"/>
        </w:rPr>
        <w:t>, L. Kylymniuk</w:t>
      </w:r>
      <w:r w:rsidRPr="005974DB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1</w:t>
      </w:r>
      <w:r w:rsidRPr="005974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1E7665" w:rsidRPr="005974DB" w:rsidRDefault="001E7665" w:rsidP="001E7665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5974DB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1</w:t>
      </w:r>
      <w:proofErr w:type="gramEnd"/>
      <w:r w:rsidRPr="005974DB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 xml:space="preserve"> </w:t>
      </w:r>
      <w:r w:rsidRPr="005974DB">
        <w:rPr>
          <w:rFonts w:ascii="Times New Roman" w:hAnsi="Times New Roman" w:cs="Times New Roman"/>
          <w:sz w:val="28"/>
          <w:szCs w:val="28"/>
          <w:lang w:val="en-US"/>
        </w:rPr>
        <w:t xml:space="preserve">Department of Traumatology and </w:t>
      </w:r>
      <w:hyperlink r:id="rId4" w:tgtFrame="_blank" w:history="1">
        <w:r w:rsidRPr="001E766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 xml:space="preserve">Orthopaedics, </w:t>
        </w:r>
      </w:hyperlink>
      <w:r w:rsidRPr="005974DB">
        <w:rPr>
          <w:rFonts w:ascii="Times New Roman" w:hAnsi="Times New Roman" w:cs="Times New Roman"/>
          <w:sz w:val="28"/>
          <w:szCs w:val="28"/>
          <w:lang w:val="en-US"/>
        </w:rPr>
        <w:t xml:space="preserve">National </w:t>
      </w:r>
      <w:proofErr w:type="spellStart"/>
      <w:r w:rsidRPr="005974DB">
        <w:rPr>
          <w:rFonts w:ascii="Times New Roman" w:hAnsi="Times New Roman" w:cs="Times New Roman"/>
          <w:sz w:val="28"/>
          <w:szCs w:val="28"/>
          <w:lang w:val="en-US"/>
        </w:rPr>
        <w:t>Pirogov</w:t>
      </w:r>
      <w:proofErr w:type="spellEnd"/>
      <w:r w:rsidRPr="005974DB">
        <w:rPr>
          <w:rFonts w:ascii="Times New Roman" w:hAnsi="Times New Roman" w:cs="Times New Roman"/>
          <w:sz w:val="28"/>
          <w:szCs w:val="28"/>
          <w:lang w:val="en-US"/>
        </w:rPr>
        <w:t xml:space="preserve"> Memorial Medical University, Vinnytsia, Ukraine </w:t>
      </w:r>
    </w:p>
    <w:p w:rsidR="001E7665" w:rsidRDefault="001E7665" w:rsidP="001E7665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5974DB">
        <w:rPr>
          <w:rFonts w:ascii="Times New Roman" w:hAnsi="Times New Roman" w:cs="Times New Roman"/>
          <w:bCs/>
          <w:sz w:val="28"/>
          <w:szCs w:val="28"/>
          <w:lang w:val="en-US"/>
        </w:rPr>
        <w:t>Orthopedic</w:t>
      </w:r>
      <w:r w:rsidRPr="005974DB">
        <w:rPr>
          <w:rFonts w:ascii="Times New Roman" w:hAnsi="Times New Roman" w:cs="Times New Roman"/>
          <w:sz w:val="28"/>
          <w:szCs w:val="28"/>
          <w:lang w:val="en-US"/>
        </w:rPr>
        <w:t> and Trauma Center, </w:t>
      </w:r>
      <w:r w:rsidRPr="005974DB">
        <w:rPr>
          <w:rFonts w:ascii="Times New Roman" w:hAnsi="Times New Roman" w:cs="Times New Roman"/>
          <w:bCs/>
          <w:sz w:val="28"/>
          <w:szCs w:val="28"/>
          <w:lang w:val="en-US"/>
        </w:rPr>
        <w:t>Kiev Regional Clinical Hospital</w:t>
      </w:r>
      <w:r w:rsidRPr="005974DB">
        <w:rPr>
          <w:rFonts w:ascii="Times New Roman" w:hAnsi="Times New Roman" w:cs="Times New Roman"/>
          <w:sz w:val="28"/>
          <w:szCs w:val="28"/>
          <w:lang w:val="en-US"/>
        </w:rPr>
        <w:t>, </w:t>
      </w:r>
      <w:r w:rsidRPr="005974DB">
        <w:rPr>
          <w:rFonts w:ascii="Times New Roman" w:hAnsi="Times New Roman" w:cs="Times New Roman"/>
          <w:bCs/>
          <w:sz w:val="28"/>
          <w:szCs w:val="28"/>
          <w:lang w:val="en-US"/>
        </w:rPr>
        <w:t>Kiev</w:t>
      </w:r>
      <w:r w:rsidRPr="005974DB">
        <w:rPr>
          <w:rFonts w:ascii="Times New Roman" w:hAnsi="Times New Roman" w:cs="Times New Roman"/>
          <w:sz w:val="28"/>
          <w:szCs w:val="28"/>
          <w:lang w:val="en-US"/>
        </w:rPr>
        <w:t>, Ukraine</w:t>
      </w:r>
    </w:p>
    <w:p w:rsidR="001E7665" w:rsidRDefault="001E7665" w:rsidP="001E7665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C48CE" w:rsidRDefault="00E224A4" w:rsidP="001E76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r w:rsidRPr="00AF7625">
        <w:rPr>
          <w:rFonts w:ascii="Times New Roman" w:hAnsi="Times New Roman" w:cs="Times New Roman"/>
          <w:b/>
          <w:sz w:val="28"/>
          <w:szCs w:val="28"/>
          <w:lang w:val="en-US"/>
        </w:rPr>
        <w:t xml:space="preserve">Surgical Outcomes in Elderly Patients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with</w:t>
      </w:r>
      <w:r w:rsidRPr="00AF762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AF7625">
        <w:rPr>
          <w:rFonts w:ascii="Times New Roman" w:hAnsi="Times New Roman" w:cs="Times New Roman"/>
          <w:b/>
          <w:sz w:val="28"/>
          <w:szCs w:val="28"/>
          <w:lang w:val="en-US"/>
        </w:rPr>
        <w:t>Pertrochanteric</w:t>
      </w:r>
      <w:proofErr w:type="spellEnd"/>
      <w:r w:rsidR="001E766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and </w:t>
      </w:r>
      <w:r w:rsidRPr="00AF7625">
        <w:rPr>
          <w:rFonts w:ascii="Times New Roman" w:hAnsi="Times New Roman" w:cs="Times New Roman"/>
          <w:b/>
          <w:sz w:val="28"/>
          <w:szCs w:val="28"/>
          <w:lang w:val="en-US"/>
        </w:rPr>
        <w:t>Intertrochanteric Femoral Fractures</w:t>
      </w:r>
    </w:p>
    <w:bookmarkEnd w:id="0"/>
    <w:p w:rsidR="00E224A4" w:rsidRDefault="00E224A4" w:rsidP="00E224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F7625">
        <w:rPr>
          <w:rFonts w:ascii="Times New Roman" w:hAnsi="Times New Roman" w:cs="Times New Roman"/>
          <w:b/>
          <w:sz w:val="28"/>
          <w:szCs w:val="28"/>
          <w:lang w:val="en-US"/>
        </w:rPr>
        <w:t>Abstract</w:t>
      </w:r>
    </w:p>
    <w:p w:rsidR="00E224A4" w:rsidRDefault="00E224A4" w:rsidP="00E224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E39EB">
        <w:rPr>
          <w:rFonts w:ascii="Times New Roman" w:hAnsi="Times New Roman" w:cs="Times New Roman"/>
          <w:b/>
          <w:sz w:val="28"/>
          <w:szCs w:val="28"/>
          <w:lang w:val="en-US"/>
        </w:rPr>
        <w:t>Background.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F7625">
        <w:rPr>
          <w:rFonts w:ascii="Times New Roman" w:hAnsi="Times New Roman" w:cs="Times New Roman"/>
          <w:sz w:val="28"/>
          <w:szCs w:val="28"/>
          <w:lang w:val="en-US"/>
        </w:rPr>
        <w:t xml:space="preserve">Treatment strategies of </w:t>
      </w:r>
      <w:proofErr w:type="spellStart"/>
      <w:r w:rsidRPr="00AF7625">
        <w:rPr>
          <w:rFonts w:ascii="Times New Roman" w:hAnsi="Times New Roman" w:cs="Times New Roman"/>
          <w:sz w:val="28"/>
          <w:szCs w:val="28"/>
          <w:lang w:val="en-US"/>
        </w:rPr>
        <w:t>pertrochanteric</w:t>
      </w:r>
      <w:proofErr w:type="spellEnd"/>
      <w:r w:rsidRPr="00AF7625">
        <w:rPr>
          <w:rFonts w:ascii="Times New Roman" w:hAnsi="Times New Roman" w:cs="Times New Roman"/>
          <w:sz w:val="28"/>
          <w:szCs w:val="28"/>
          <w:lang w:val="en-US"/>
        </w:rPr>
        <w:t xml:space="preserve"> and intertrochanteric </w:t>
      </w:r>
      <w:r w:rsidR="00423074">
        <w:rPr>
          <w:rFonts w:ascii="Times New Roman" w:hAnsi="Times New Roman" w:cs="Times New Roman"/>
          <w:sz w:val="28"/>
          <w:szCs w:val="28"/>
          <w:lang w:val="en-US"/>
        </w:rPr>
        <w:t xml:space="preserve">femoral </w:t>
      </w:r>
      <w:r w:rsidRPr="00AF7625">
        <w:rPr>
          <w:rFonts w:ascii="Times New Roman" w:hAnsi="Times New Roman" w:cs="Times New Roman"/>
          <w:sz w:val="28"/>
          <w:szCs w:val="28"/>
          <w:lang w:val="en-US"/>
        </w:rPr>
        <w:t xml:space="preserve">fractures in elderly people </w:t>
      </w:r>
      <w:r w:rsidR="00423074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AF7625">
        <w:rPr>
          <w:rFonts w:ascii="Times New Roman" w:hAnsi="Times New Roman" w:cs="Times New Roman"/>
          <w:sz w:val="28"/>
          <w:szCs w:val="28"/>
          <w:lang w:val="en-US"/>
        </w:rPr>
        <w:t xml:space="preserve"> an urgent and debatable problem of modern traumatology. Despite a large selection of developed surgical methods, published research papers covering the subject, the number of unsatisfactory long-term outcomes and mortality rates among elderly patients remain rather high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AF7625">
        <w:rPr>
          <w:rFonts w:ascii="Times New Roman" w:hAnsi="Times New Roman" w:cs="Times New Roman"/>
          <w:sz w:val="28"/>
          <w:szCs w:val="28"/>
          <w:lang w:val="en-US"/>
        </w:rPr>
        <w:t xml:space="preserve">This study </w:t>
      </w:r>
      <w:proofErr w:type="gramStart"/>
      <w:r w:rsidRPr="00AF7625">
        <w:rPr>
          <w:rFonts w:ascii="Times New Roman" w:hAnsi="Times New Roman" w:cs="Times New Roman"/>
          <w:sz w:val="28"/>
          <w:szCs w:val="28"/>
          <w:lang w:val="en-US"/>
        </w:rPr>
        <w:t>was performed</w:t>
      </w:r>
      <w:proofErr w:type="gramEnd"/>
      <w:r w:rsidRPr="00AF7625">
        <w:rPr>
          <w:rFonts w:ascii="Times New Roman" w:hAnsi="Times New Roman" w:cs="Times New Roman"/>
          <w:sz w:val="28"/>
          <w:szCs w:val="28"/>
          <w:lang w:val="en-US"/>
        </w:rPr>
        <w:t xml:space="preserve"> to evaluate and compare functional results of surgical treatment of </w:t>
      </w:r>
      <w:proofErr w:type="spellStart"/>
      <w:r w:rsidRPr="00AF7625">
        <w:rPr>
          <w:rFonts w:ascii="Times New Roman" w:hAnsi="Times New Roman" w:cs="Times New Roman"/>
          <w:sz w:val="28"/>
          <w:szCs w:val="28"/>
          <w:lang w:val="en-US"/>
        </w:rPr>
        <w:t>pertrochanteric</w:t>
      </w:r>
      <w:proofErr w:type="spellEnd"/>
      <w:r w:rsidRPr="00AF7625">
        <w:rPr>
          <w:rFonts w:ascii="Times New Roman" w:hAnsi="Times New Roman" w:cs="Times New Roman"/>
          <w:sz w:val="28"/>
          <w:szCs w:val="28"/>
          <w:lang w:val="en-US"/>
        </w:rPr>
        <w:t xml:space="preserve"> and intertrochanteric femoral fractures in elderly patients.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E224A4" w:rsidRPr="00AF7625" w:rsidRDefault="00E224A4" w:rsidP="00E224A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4"/>
          <w:lang w:val="en-US"/>
        </w:rPr>
      </w:pPr>
      <w:r w:rsidRPr="00AF7625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Aim. </w:t>
      </w:r>
      <w:r w:rsidRPr="00AF7625">
        <w:rPr>
          <w:rFonts w:ascii="Times New Roman" w:hAnsi="Times New Roman" w:cs="Times New Roman"/>
          <w:sz w:val="28"/>
          <w:szCs w:val="24"/>
          <w:lang w:val="en-US"/>
        </w:rPr>
        <w:t xml:space="preserve">The aim was to assess the </w:t>
      </w:r>
      <w:r w:rsidRPr="00AF7625">
        <w:rPr>
          <w:rFonts w:ascii="Times New Roman" w:hAnsi="Times New Roman" w:cs="Times New Roman"/>
          <w:sz w:val="28"/>
          <w:szCs w:val="28"/>
          <w:lang w:val="en-US"/>
        </w:rPr>
        <w:t xml:space="preserve">long-term outcomes </w:t>
      </w:r>
      <w:r w:rsidRPr="00AF7625">
        <w:rPr>
          <w:rFonts w:ascii="Times New Roman" w:hAnsi="Times New Roman" w:cs="Times New Roman"/>
          <w:sz w:val="28"/>
          <w:szCs w:val="24"/>
          <w:lang w:val="en-US"/>
        </w:rPr>
        <w:t xml:space="preserve">of operative treatment among patients with previous </w:t>
      </w:r>
      <w:proofErr w:type="spellStart"/>
      <w:r w:rsidRPr="00AF7625">
        <w:rPr>
          <w:rFonts w:ascii="Times New Roman" w:hAnsi="Times New Roman" w:cs="Times New Roman"/>
          <w:sz w:val="28"/>
          <w:szCs w:val="28"/>
          <w:lang w:val="en-US"/>
        </w:rPr>
        <w:t>pertrochanteric</w:t>
      </w:r>
      <w:proofErr w:type="spellEnd"/>
      <w:r w:rsidRPr="00AF7625">
        <w:rPr>
          <w:rFonts w:ascii="Times New Roman" w:hAnsi="Times New Roman" w:cs="Times New Roman"/>
          <w:sz w:val="28"/>
          <w:szCs w:val="28"/>
          <w:lang w:val="en-US"/>
        </w:rPr>
        <w:t xml:space="preserve"> and intertrochanteric fractures of the hip.</w:t>
      </w:r>
    </w:p>
    <w:p w:rsidR="00E224A4" w:rsidRPr="00AF7625" w:rsidRDefault="00E224A4" w:rsidP="00E224A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AF7625">
        <w:rPr>
          <w:rFonts w:ascii="Times New Roman" w:hAnsi="Times New Roman" w:cs="Times New Roman"/>
          <w:b/>
          <w:sz w:val="28"/>
          <w:szCs w:val="28"/>
          <w:lang w:val="en-US"/>
        </w:rPr>
        <w:t>Methods:</w:t>
      </w:r>
      <w:r w:rsidRPr="00AF7625">
        <w:rPr>
          <w:rFonts w:ascii="Times New Roman" w:hAnsi="Times New Roman" w:cs="Times New Roman"/>
          <w:sz w:val="28"/>
          <w:szCs w:val="28"/>
          <w:lang w:val="en-US"/>
        </w:rPr>
        <w:t xml:space="preserve"> treatment outcomes of 144 elderly patients with </w:t>
      </w:r>
      <w:proofErr w:type="spellStart"/>
      <w:r w:rsidRPr="00AF7625">
        <w:rPr>
          <w:rFonts w:ascii="Times New Roman" w:hAnsi="Times New Roman" w:cs="Times New Roman"/>
          <w:sz w:val="28"/>
          <w:szCs w:val="28"/>
          <w:lang w:val="en-US"/>
        </w:rPr>
        <w:t>pertrochanteric</w:t>
      </w:r>
      <w:proofErr w:type="spellEnd"/>
      <w:r w:rsidRPr="00AF7625">
        <w:rPr>
          <w:rFonts w:ascii="Times New Roman" w:hAnsi="Times New Roman" w:cs="Times New Roman"/>
          <w:sz w:val="28"/>
          <w:szCs w:val="28"/>
          <w:lang w:val="en-US"/>
        </w:rPr>
        <w:t xml:space="preserve"> and intertrochanteric femoral fractures, treated from 2011 to 2016 </w:t>
      </w:r>
      <w:proofErr w:type="gramStart"/>
      <w:r w:rsidRPr="00AF7625">
        <w:rPr>
          <w:rFonts w:ascii="Times New Roman" w:hAnsi="Times New Roman" w:cs="Times New Roman"/>
          <w:sz w:val="28"/>
          <w:szCs w:val="28"/>
          <w:lang w:val="en-US"/>
        </w:rPr>
        <w:t>were retrospectively reviewed</w:t>
      </w:r>
      <w:proofErr w:type="gramEnd"/>
      <w:r w:rsidRPr="00AF762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AF7625">
        <w:rPr>
          <w:rFonts w:ascii="Times New Roman" w:hAnsi="Times New Roman" w:cs="Times New Roman"/>
          <w:bCs/>
          <w:sz w:val="28"/>
          <w:szCs w:val="24"/>
          <w:lang w:val="en-US"/>
        </w:rPr>
        <w:t xml:space="preserve">There were 42 (29.2%) males and 102 (70.8%) females. The mean age was 73.2±8.1 years (range, 61-94). The causes of injuries in most cases were low energy trauma 121 (84.0%), followed by road traffic accident 16 (11.1%) and industrial injuries 7 (4.9%). All patients </w:t>
      </w:r>
      <w:proofErr w:type="gramStart"/>
      <w:r w:rsidRPr="00AF7625">
        <w:rPr>
          <w:rFonts w:ascii="Times New Roman" w:hAnsi="Times New Roman" w:cs="Times New Roman"/>
          <w:bCs/>
          <w:sz w:val="28"/>
          <w:szCs w:val="24"/>
          <w:lang w:val="en-US"/>
        </w:rPr>
        <w:t>were divided</w:t>
      </w:r>
      <w:proofErr w:type="gramEnd"/>
      <w:r w:rsidRPr="00AF7625">
        <w:rPr>
          <w:rFonts w:ascii="Times New Roman" w:hAnsi="Times New Roman" w:cs="Times New Roman"/>
          <w:bCs/>
          <w:sz w:val="28"/>
          <w:szCs w:val="24"/>
          <w:lang w:val="en-US"/>
        </w:rPr>
        <w:t xml:space="preserve"> into two groups depending on the type of surgical intervention: the first group consisted of 93 (64.6%) patients who carried out using internal fixation fractures (IF-group), the second – 51 (35.4%), who performed the hip replacement (HR-group). Additionally, an intragroup analysis </w:t>
      </w:r>
      <w:proofErr w:type="gramStart"/>
      <w:r w:rsidRPr="00AF7625">
        <w:rPr>
          <w:rFonts w:ascii="Times New Roman" w:hAnsi="Times New Roman" w:cs="Times New Roman"/>
          <w:bCs/>
          <w:sz w:val="28"/>
          <w:szCs w:val="24"/>
          <w:lang w:val="en-US"/>
        </w:rPr>
        <w:t>was performed</w:t>
      </w:r>
      <w:proofErr w:type="gramEnd"/>
      <w:r w:rsidRPr="00AF7625">
        <w:rPr>
          <w:rFonts w:ascii="Times New Roman" w:hAnsi="Times New Roman" w:cs="Times New Roman"/>
          <w:bCs/>
          <w:sz w:val="28"/>
          <w:szCs w:val="24"/>
          <w:lang w:val="en-US"/>
        </w:rPr>
        <w:t xml:space="preserve"> taking into account the type of used </w:t>
      </w:r>
      <w:proofErr w:type="spellStart"/>
      <w:r w:rsidRPr="00AF7625">
        <w:rPr>
          <w:rFonts w:ascii="Times New Roman" w:hAnsi="Times New Roman" w:cs="Times New Roman"/>
          <w:bCs/>
          <w:sz w:val="28"/>
          <w:szCs w:val="24"/>
          <w:lang w:val="en-US"/>
        </w:rPr>
        <w:t>orthopaedic</w:t>
      </w:r>
      <w:proofErr w:type="spellEnd"/>
      <w:r w:rsidRPr="00AF7625">
        <w:rPr>
          <w:rFonts w:ascii="Times New Roman" w:hAnsi="Times New Roman" w:cs="Times New Roman"/>
          <w:bCs/>
          <w:sz w:val="28"/>
          <w:szCs w:val="24"/>
          <w:lang w:val="en-US"/>
        </w:rPr>
        <w:t xml:space="preserve"> implant. In </w:t>
      </w:r>
      <w:proofErr w:type="gramStart"/>
      <w:r w:rsidRPr="00AF7625">
        <w:rPr>
          <w:rFonts w:ascii="Times New Roman" w:hAnsi="Times New Roman" w:cs="Times New Roman"/>
          <w:bCs/>
          <w:sz w:val="28"/>
          <w:szCs w:val="24"/>
          <w:lang w:val="en-US"/>
        </w:rPr>
        <w:t>IF-group</w:t>
      </w:r>
      <w:proofErr w:type="gramEnd"/>
      <w:r w:rsidRPr="00AF7625">
        <w:rPr>
          <w:rFonts w:ascii="Times New Roman" w:hAnsi="Times New Roman" w:cs="Times New Roman"/>
          <w:bCs/>
          <w:sz w:val="28"/>
          <w:szCs w:val="24"/>
          <w:lang w:val="en-US"/>
        </w:rPr>
        <w:t xml:space="preserve"> the following implants were used for internal fixation: 30 (32.3%) patients had Dynamic </w:t>
      </w:r>
      <w:r w:rsidRPr="00AF7625">
        <w:rPr>
          <w:rFonts w:ascii="Times New Roman" w:hAnsi="Times New Roman" w:cs="Times New Roman"/>
          <w:bCs/>
          <w:sz w:val="28"/>
          <w:szCs w:val="24"/>
          <w:lang w:val="en-US"/>
        </w:rPr>
        <w:lastRenderedPageBreak/>
        <w:t xml:space="preserve">Hip Screws (DHS), 30 (32.3%) had the Locking Compression Plates (LCP), Angled Blade Plates (ABP) was performed for 17 (18.2%) patients and Proximal Femoral Nails (PFN) – for 16 (17.2%). In HR-group total hip replacement (THR) was performed for 19 (37.3%) patients, bipolar hip replacement (BHR) for 19 (37.3%) and 13 (25.4%) patients had unipolar hip replacement (UHR). For the assessment of the results of hip surgery, we used Harris Hip Score. </w:t>
      </w:r>
      <w:r w:rsidRPr="00AF7625">
        <w:rPr>
          <w:rFonts w:ascii="Times New Roman" w:hAnsi="Times New Roman"/>
          <w:sz w:val="28"/>
          <w:szCs w:val="28"/>
          <w:lang w:val="en-US"/>
        </w:rPr>
        <w:t xml:space="preserve">In addition, some X-ray criteria such as </w:t>
      </w:r>
      <w:r w:rsidRPr="00AF7625">
        <w:rPr>
          <w:rFonts w:ascii="Times New Roman" w:hAnsi="Times New Roman" w:cs="Times New Roman"/>
          <w:bCs/>
          <w:sz w:val="28"/>
          <w:szCs w:val="24"/>
          <w:lang w:val="en-US"/>
        </w:rPr>
        <w:t>morphological cortical index</w:t>
      </w:r>
      <w:r w:rsidRPr="00AF7625">
        <w:rPr>
          <w:rFonts w:ascii="Times New Roman" w:hAnsi="Times New Roman"/>
          <w:sz w:val="28"/>
          <w:szCs w:val="28"/>
          <w:lang w:val="en-US"/>
        </w:rPr>
        <w:t xml:space="preserve">, Singh’s index </w:t>
      </w:r>
      <w:proofErr w:type="gramStart"/>
      <w:r w:rsidRPr="00AF7625">
        <w:rPr>
          <w:rFonts w:ascii="Times New Roman" w:hAnsi="Times New Roman"/>
          <w:sz w:val="28"/>
          <w:szCs w:val="28"/>
          <w:lang w:val="en-US"/>
        </w:rPr>
        <w:t>were taken</w:t>
      </w:r>
      <w:proofErr w:type="gramEnd"/>
      <w:r w:rsidRPr="00AF7625">
        <w:rPr>
          <w:rFonts w:ascii="Times New Roman" w:hAnsi="Times New Roman"/>
          <w:sz w:val="28"/>
          <w:szCs w:val="28"/>
          <w:lang w:val="en-US"/>
        </w:rPr>
        <w:t xml:space="preserve"> into account. The stage of osteoarthritis </w:t>
      </w:r>
      <w:proofErr w:type="gramStart"/>
      <w:r w:rsidRPr="00AF7625">
        <w:rPr>
          <w:rFonts w:ascii="Times New Roman" w:hAnsi="Times New Roman"/>
          <w:sz w:val="28"/>
          <w:szCs w:val="28"/>
          <w:lang w:val="en-US"/>
        </w:rPr>
        <w:t>was evaluated</w:t>
      </w:r>
      <w:proofErr w:type="gramEnd"/>
      <w:r w:rsidRPr="00AF7625">
        <w:rPr>
          <w:rFonts w:ascii="Times New Roman" w:hAnsi="Times New Roman"/>
          <w:sz w:val="28"/>
          <w:szCs w:val="28"/>
          <w:lang w:val="en-US"/>
        </w:rPr>
        <w:t xml:space="preserve"> according to the </w:t>
      </w:r>
      <w:proofErr w:type="spellStart"/>
      <w:r w:rsidRPr="00AF7625">
        <w:rPr>
          <w:rFonts w:ascii="Times New Roman" w:hAnsi="Times New Roman"/>
          <w:sz w:val="28"/>
          <w:szCs w:val="28"/>
          <w:lang w:val="en-US"/>
        </w:rPr>
        <w:t>Kellgren</w:t>
      </w:r>
      <w:proofErr w:type="spellEnd"/>
      <w:r w:rsidRPr="00AF7625">
        <w:rPr>
          <w:rFonts w:ascii="Times New Roman" w:hAnsi="Times New Roman"/>
          <w:sz w:val="28"/>
          <w:szCs w:val="28"/>
          <w:lang w:val="en-US"/>
        </w:rPr>
        <w:t xml:space="preserve">-Lawrence classification. The type of fracture </w:t>
      </w:r>
      <w:proofErr w:type="gramStart"/>
      <w:r w:rsidRPr="00AF7625">
        <w:rPr>
          <w:rFonts w:ascii="Times New Roman" w:hAnsi="Times New Roman"/>
          <w:sz w:val="28"/>
          <w:szCs w:val="28"/>
          <w:lang w:val="en-US"/>
        </w:rPr>
        <w:t>was determined</w:t>
      </w:r>
      <w:proofErr w:type="gramEnd"/>
      <w:r w:rsidRPr="00AF7625">
        <w:rPr>
          <w:rFonts w:ascii="Times New Roman" w:hAnsi="Times New Roman"/>
          <w:sz w:val="28"/>
          <w:szCs w:val="28"/>
          <w:lang w:val="en-US"/>
        </w:rPr>
        <w:t xml:space="preserve"> by AO/OTA classification system. All patients had surgery in the same hospital and received typical inpatient rehabilitation. Data </w:t>
      </w:r>
      <w:proofErr w:type="gramStart"/>
      <w:r w:rsidRPr="00AF7625">
        <w:rPr>
          <w:rFonts w:ascii="Times New Roman" w:hAnsi="Times New Roman"/>
          <w:sz w:val="28"/>
          <w:szCs w:val="28"/>
          <w:lang w:val="en-US"/>
        </w:rPr>
        <w:t>were analyzed</w:t>
      </w:r>
      <w:proofErr w:type="gramEnd"/>
      <w:r w:rsidRPr="00AF7625">
        <w:rPr>
          <w:rFonts w:ascii="Times New Roman" w:hAnsi="Times New Roman"/>
          <w:sz w:val="28"/>
          <w:szCs w:val="28"/>
          <w:lang w:val="en-US"/>
        </w:rPr>
        <w:t xml:space="preserve"> using Predictive Analytics </w:t>
      </w:r>
      <w:proofErr w:type="spellStart"/>
      <w:r w:rsidRPr="00AF7625">
        <w:rPr>
          <w:rFonts w:ascii="Times New Roman" w:hAnsi="Times New Roman"/>
          <w:sz w:val="28"/>
          <w:szCs w:val="28"/>
          <w:lang w:val="en-US"/>
        </w:rPr>
        <w:t>SoftWare</w:t>
      </w:r>
      <w:proofErr w:type="spellEnd"/>
      <w:r w:rsidRPr="00AF7625">
        <w:rPr>
          <w:rFonts w:ascii="Times New Roman" w:hAnsi="Times New Roman"/>
          <w:sz w:val="28"/>
          <w:szCs w:val="28"/>
          <w:lang w:val="en-US"/>
        </w:rPr>
        <w:t xml:space="preserve"> Statistics</w:t>
      </w:r>
      <w:r w:rsidRPr="00AF7625">
        <w:rPr>
          <w:rFonts w:ascii="Times New Roman" w:hAnsi="Times New Roman"/>
          <w:i/>
          <w:sz w:val="28"/>
          <w:szCs w:val="28"/>
          <w:lang w:val="en-US"/>
        </w:rPr>
        <w:t>.</w:t>
      </w:r>
      <w:r w:rsidRPr="00AF7625">
        <w:rPr>
          <w:rFonts w:ascii="Times New Roman" w:hAnsi="Times New Roman"/>
          <w:sz w:val="28"/>
          <w:szCs w:val="28"/>
          <w:lang w:val="en-US"/>
        </w:rPr>
        <w:t xml:space="preserve"> P </w:t>
      </w:r>
      <w:r w:rsidRPr="00AF7625">
        <w:rPr>
          <w:rFonts w:ascii="Times New Roman" w:hAnsi="Times New Roman" w:cs="Times New Roman"/>
          <w:sz w:val="28"/>
          <w:szCs w:val="28"/>
          <w:lang w:val="en-US"/>
        </w:rPr>
        <w:t xml:space="preserve">&lt; 0.05 </w:t>
      </w:r>
      <w:proofErr w:type="gramStart"/>
      <w:r w:rsidRPr="00AF7625">
        <w:rPr>
          <w:rFonts w:ascii="Times New Roman" w:hAnsi="Times New Roman" w:cs="Times New Roman"/>
          <w:sz w:val="28"/>
          <w:szCs w:val="28"/>
          <w:lang w:val="en-US"/>
        </w:rPr>
        <w:t>was considered</w:t>
      </w:r>
      <w:proofErr w:type="gramEnd"/>
      <w:r w:rsidRPr="00AF7625">
        <w:rPr>
          <w:rFonts w:ascii="Times New Roman" w:hAnsi="Times New Roman" w:cs="Times New Roman"/>
          <w:sz w:val="28"/>
          <w:szCs w:val="28"/>
          <w:lang w:val="en-US"/>
        </w:rPr>
        <w:t xml:space="preserve"> as statistically significant.</w:t>
      </w:r>
    </w:p>
    <w:p w:rsidR="00423074" w:rsidRDefault="00E224A4" w:rsidP="00423074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AF7625">
        <w:rPr>
          <w:rFonts w:ascii="Times New Roman" w:hAnsi="Times New Roman"/>
          <w:b/>
          <w:sz w:val="28"/>
          <w:szCs w:val="28"/>
          <w:lang w:val="en-US"/>
        </w:rPr>
        <w:t>Results.</w:t>
      </w:r>
      <w:r w:rsidRPr="00AF7625">
        <w:rPr>
          <w:rFonts w:ascii="Times New Roman" w:hAnsi="Times New Roman"/>
          <w:sz w:val="28"/>
          <w:szCs w:val="28"/>
          <w:lang w:val="en-US"/>
        </w:rPr>
        <w:t xml:space="preserve"> Hip fracture patients treated with internal fixation showed worse results than the hip replacement groups according to all criteria of the Harris Hip Scale (p</w:t>
      </w:r>
      <w:r w:rsidRPr="00AF7625">
        <w:rPr>
          <w:rFonts w:ascii="Times New Roman" w:hAnsi="Times New Roman" w:cs="Times New Roman"/>
          <w:sz w:val="28"/>
          <w:szCs w:val="28"/>
          <w:lang w:val="en-US"/>
        </w:rPr>
        <w:t>&lt;0.05</w:t>
      </w:r>
      <w:r w:rsidRPr="00AF7625">
        <w:rPr>
          <w:rFonts w:ascii="Times New Roman" w:hAnsi="Times New Roman"/>
          <w:sz w:val="28"/>
          <w:szCs w:val="28"/>
          <w:lang w:val="en-US"/>
        </w:rPr>
        <w:t xml:space="preserve">). Excellent and good results were set in half part of the study group 72 (50.0%). In the HR-group excellent results were recorded in 27 (53.0%) patients, good – in 12 (23.5%), fair in </w:t>
      </w:r>
      <w:proofErr w:type="gramStart"/>
      <w:r w:rsidRPr="00AF7625">
        <w:rPr>
          <w:rFonts w:ascii="Times New Roman" w:hAnsi="Times New Roman"/>
          <w:sz w:val="28"/>
          <w:szCs w:val="28"/>
          <w:lang w:val="en-US"/>
        </w:rPr>
        <w:t>9</w:t>
      </w:r>
      <w:proofErr w:type="gramEnd"/>
      <w:r w:rsidRPr="00AF7625">
        <w:rPr>
          <w:rFonts w:ascii="Times New Roman" w:hAnsi="Times New Roman"/>
          <w:sz w:val="28"/>
          <w:szCs w:val="28"/>
          <w:lang w:val="en-US"/>
        </w:rPr>
        <w:t xml:space="preserve"> (17.6%) and in 3 (5.9%) patients had poor results. In the IF-group the vast majority of patients 45 (48.4%) had poor results, 15 (16.1%) – fair hip status, 20 (21.5%) patients showed good and 13 - (14.0%) excellent results.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F7625">
        <w:rPr>
          <w:rFonts w:ascii="Times New Roman" w:hAnsi="Times New Roman"/>
          <w:sz w:val="28"/>
          <w:szCs w:val="28"/>
          <w:lang w:val="en-US"/>
        </w:rPr>
        <w:t xml:space="preserve">The type of hip replacement also significantly influences the results of treatment. Thus, in patients who underwent THR the rates was significantly higher: excellent results were recorded in 16 (84.2%) </w:t>
      </w:r>
      <w:proofErr w:type="gramStart"/>
      <w:r w:rsidRPr="00AF7625">
        <w:rPr>
          <w:rFonts w:ascii="Times New Roman" w:hAnsi="Times New Roman"/>
          <w:sz w:val="28"/>
          <w:szCs w:val="28"/>
          <w:lang w:val="en-US"/>
        </w:rPr>
        <w:t>patients,</w:t>
      </w:r>
      <w:proofErr w:type="gramEnd"/>
      <w:r w:rsidRPr="00AF7625">
        <w:rPr>
          <w:rFonts w:ascii="Times New Roman" w:hAnsi="Times New Roman"/>
          <w:sz w:val="28"/>
          <w:szCs w:val="28"/>
          <w:lang w:val="en-US"/>
        </w:rPr>
        <w:t xml:space="preserve"> and good in the rest 3 (15.8%). In patients who performed BHR, the vast majority of patients had an excellent 11 (57.9%) and a good </w:t>
      </w:r>
      <w:proofErr w:type="gramStart"/>
      <w:r w:rsidRPr="00AF7625">
        <w:rPr>
          <w:rFonts w:ascii="Times New Roman" w:hAnsi="Times New Roman"/>
          <w:sz w:val="28"/>
          <w:szCs w:val="28"/>
          <w:lang w:val="en-US"/>
        </w:rPr>
        <w:t>3</w:t>
      </w:r>
      <w:proofErr w:type="gramEnd"/>
      <w:r w:rsidRPr="00AF7625">
        <w:rPr>
          <w:rFonts w:ascii="Times New Roman" w:hAnsi="Times New Roman"/>
          <w:sz w:val="28"/>
          <w:szCs w:val="28"/>
          <w:lang w:val="en-US"/>
        </w:rPr>
        <w:t xml:space="preserve"> (15.8%) results. Fair results were observed in </w:t>
      </w:r>
      <w:proofErr w:type="gramStart"/>
      <w:r w:rsidRPr="00AF7625">
        <w:rPr>
          <w:rFonts w:ascii="Times New Roman" w:hAnsi="Times New Roman"/>
          <w:sz w:val="28"/>
          <w:szCs w:val="28"/>
          <w:lang w:val="en-US"/>
        </w:rPr>
        <w:t>4</w:t>
      </w:r>
      <w:proofErr w:type="gramEnd"/>
      <w:r w:rsidRPr="00AF7625">
        <w:rPr>
          <w:rFonts w:ascii="Times New Roman" w:hAnsi="Times New Roman"/>
          <w:sz w:val="28"/>
          <w:szCs w:val="28"/>
          <w:lang w:val="en-US"/>
        </w:rPr>
        <w:t xml:space="preserve"> (21.0%) patients and in 1 (5.3%) cases the poor result was fixed. In the group of patients who had UHR, good results was founded in </w:t>
      </w:r>
      <w:proofErr w:type="gramStart"/>
      <w:r w:rsidRPr="00AF7625">
        <w:rPr>
          <w:rFonts w:ascii="Times New Roman" w:hAnsi="Times New Roman"/>
          <w:sz w:val="28"/>
          <w:szCs w:val="28"/>
          <w:lang w:val="en-US"/>
        </w:rPr>
        <w:t>6</w:t>
      </w:r>
      <w:proofErr w:type="gramEnd"/>
      <w:r w:rsidRPr="00AF7625">
        <w:rPr>
          <w:rFonts w:ascii="Times New Roman" w:hAnsi="Times New Roman"/>
          <w:sz w:val="28"/>
          <w:szCs w:val="28"/>
          <w:lang w:val="en-US"/>
        </w:rPr>
        <w:t xml:space="preserve"> (46.1%) patients, fair in 5 (38.5%) and in the remaining 2 (15.4%) the results was poor.</w:t>
      </w:r>
      <w:r w:rsidR="00423074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23074" w:rsidRPr="00AF76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Having analyzed the Harris scale’s criteria in the IF-group, the best functional results </w:t>
      </w:r>
      <w:proofErr w:type="gramStart"/>
      <w:r w:rsidR="00423074" w:rsidRPr="00AF7625">
        <w:rPr>
          <w:rFonts w:ascii="Times New Roman" w:eastAsia="Calibri" w:hAnsi="Times New Roman" w:cs="Times New Roman"/>
          <w:sz w:val="28"/>
          <w:szCs w:val="28"/>
          <w:lang w:val="en-US"/>
        </w:rPr>
        <w:t>were established</w:t>
      </w:r>
      <w:proofErr w:type="gramEnd"/>
      <w:r w:rsidR="00423074" w:rsidRPr="00AF76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in patients</w:t>
      </w:r>
      <w:r w:rsidR="00423074" w:rsidRPr="00AF7625">
        <w:rPr>
          <w:lang w:val="en-US"/>
        </w:rPr>
        <w:t xml:space="preserve"> </w:t>
      </w:r>
      <w:r w:rsidR="00423074" w:rsidRPr="00AF76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who had their fractures fixation using by PFN or DHS and assessed as fair. In the groups where the ABP and LCP </w:t>
      </w:r>
      <w:proofErr w:type="gramStart"/>
      <w:r w:rsidR="00423074" w:rsidRPr="00AF7625">
        <w:rPr>
          <w:rFonts w:ascii="Times New Roman" w:eastAsia="Calibri" w:hAnsi="Times New Roman" w:cs="Times New Roman"/>
          <w:sz w:val="28"/>
          <w:szCs w:val="28"/>
          <w:lang w:val="en-US"/>
        </w:rPr>
        <w:t>was used</w:t>
      </w:r>
      <w:proofErr w:type="gramEnd"/>
      <w:r w:rsidR="00423074" w:rsidRPr="00AF7625">
        <w:rPr>
          <w:rFonts w:ascii="Times New Roman" w:eastAsia="Calibri" w:hAnsi="Times New Roman" w:cs="Times New Roman"/>
          <w:sz w:val="28"/>
          <w:szCs w:val="28"/>
          <w:lang w:val="en-US"/>
        </w:rPr>
        <w:t>, the treatment results were poor</w:t>
      </w:r>
      <w:r w:rsidR="00423074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r w:rsidR="00423074" w:rsidRPr="00AF76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Among the </w:t>
      </w:r>
      <w:r w:rsidR="00423074" w:rsidRPr="00AF7625">
        <w:rPr>
          <w:rFonts w:ascii="Times New Roman" w:eastAsia="Calibri" w:hAnsi="Times New Roman" w:cs="Times New Roman"/>
          <w:sz w:val="28"/>
          <w:szCs w:val="28"/>
          <w:lang w:val="en-US"/>
        </w:rPr>
        <w:lastRenderedPageBreak/>
        <w:t xml:space="preserve">patients in the group where DHS was used to fix the fracture, the vast majority of patients 12 (40.0%) had the poor results, 5 (16.7%) – fair, </w:t>
      </w:r>
      <w:proofErr w:type="gramStart"/>
      <w:r w:rsidR="00423074" w:rsidRPr="00AF7625">
        <w:rPr>
          <w:rFonts w:ascii="Times New Roman" w:eastAsia="Calibri" w:hAnsi="Times New Roman" w:cs="Times New Roman"/>
          <w:sz w:val="28"/>
          <w:szCs w:val="28"/>
          <w:lang w:val="en-US"/>
        </w:rPr>
        <w:t>7</w:t>
      </w:r>
      <w:proofErr w:type="gramEnd"/>
      <w:r w:rsidR="00423074" w:rsidRPr="00AF76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(23.3%) patients had good and 6 (20.0%) – excellent results. In half of the patients in the group where the fracture </w:t>
      </w:r>
      <w:proofErr w:type="gramStart"/>
      <w:r w:rsidR="00423074" w:rsidRPr="00AF7625">
        <w:rPr>
          <w:rFonts w:ascii="Times New Roman" w:eastAsia="Calibri" w:hAnsi="Times New Roman" w:cs="Times New Roman"/>
          <w:sz w:val="28"/>
          <w:szCs w:val="28"/>
          <w:lang w:val="en-US"/>
        </w:rPr>
        <w:t>was</w:t>
      </w:r>
      <w:proofErr w:type="gramEnd"/>
      <w:r w:rsidR="00423074" w:rsidRPr="00AF76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recorded using LCP poor results were observed 15 (50.0%). In </w:t>
      </w:r>
      <w:proofErr w:type="gramStart"/>
      <w:r w:rsidR="00423074" w:rsidRPr="00AF7625">
        <w:rPr>
          <w:rFonts w:ascii="Times New Roman" w:eastAsia="Calibri" w:hAnsi="Times New Roman" w:cs="Times New Roman"/>
          <w:sz w:val="28"/>
          <w:szCs w:val="28"/>
          <w:lang w:val="en-US"/>
        </w:rPr>
        <w:t>6</w:t>
      </w:r>
      <w:proofErr w:type="gramEnd"/>
      <w:r w:rsidR="00423074" w:rsidRPr="00AF76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(20.0%) patients in this group was found fair results and in the same number 6 (20.0%) – excellent, in the remaining 3 (10.0%) patients had good results. In the group where the ABP was used excellent results was not observed in any patient, the vast majority of patients 12 (70.6%) had poor results, the remaining 5 (29.4%) – </w:t>
      </w:r>
      <w:proofErr w:type="gramStart"/>
      <w:r w:rsidR="00423074" w:rsidRPr="00AF7625">
        <w:rPr>
          <w:rFonts w:ascii="Times New Roman" w:eastAsia="Calibri" w:hAnsi="Times New Roman" w:cs="Times New Roman"/>
          <w:sz w:val="28"/>
          <w:szCs w:val="28"/>
          <w:lang w:val="en-US"/>
        </w:rPr>
        <w:t>good</w:t>
      </w:r>
      <w:proofErr w:type="gramEnd"/>
      <w:r w:rsidR="00423074" w:rsidRPr="00AF7625">
        <w:rPr>
          <w:rFonts w:ascii="Times New Roman" w:eastAsia="Calibri" w:hAnsi="Times New Roman" w:cs="Times New Roman"/>
          <w:sz w:val="28"/>
          <w:szCs w:val="28"/>
          <w:lang w:val="en-US"/>
        </w:rPr>
        <w:t>. In the group where PFN was used, excellent results were observed in only 1 (6.3%) patient, good in 5 (31.2%), and fair hip status were found in 4 (25.0%) patients, the highest proportion of patients in this group had poor results 6 (37.5%).</w:t>
      </w:r>
    </w:p>
    <w:p w:rsidR="00423074" w:rsidRPr="00AF7625" w:rsidRDefault="00423074" w:rsidP="004230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F7625">
        <w:rPr>
          <w:rFonts w:ascii="Times New Roman" w:hAnsi="Times New Roman" w:cs="Times New Roman"/>
          <w:sz w:val="28"/>
          <w:szCs w:val="28"/>
          <w:lang w:val="en-US"/>
        </w:rPr>
        <w:t>In addition to the type of used fixator, it was determined that the unmodified factors were absorbed into long-term treatment outcomes in older patients in whole group. It was established that the older patient (r = -0.37, p&lt;0.05), the higher the degree of osteoporosis (r = -0.25, p&lt;0.05) in the preoperative period, prolonged preoperative preparation (r = -0.31, p&lt;0.05), as well as pronounced osteoarthritis changes in the hip joint (r = -0.62, p&lt;0.05), the worse the distant results of the functional activity of patients. In addition, the inverse correlation relationship indicates that the difficulty of the fracture also significantly affects the long-term results of treatment (r = -0.20, p&lt;0.05).</w:t>
      </w:r>
    </w:p>
    <w:p w:rsidR="00423074" w:rsidRPr="00AF7625" w:rsidRDefault="00E224A4" w:rsidP="00E224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F7625">
        <w:rPr>
          <w:rFonts w:ascii="Times New Roman" w:hAnsi="Times New Roman"/>
          <w:b/>
          <w:sz w:val="28"/>
          <w:szCs w:val="28"/>
          <w:lang w:val="en-US"/>
        </w:rPr>
        <w:t>Conclusion:</w:t>
      </w:r>
      <w:r w:rsidRPr="00AF762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F7625">
        <w:rPr>
          <w:rFonts w:ascii="Times New Roman" w:hAnsi="Times New Roman" w:cs="Times New Roman"/>
          <w:sz w:val="28"/>
          <w:szCs w:val="28"/>
          <w:lang w:val="en-US"/>
        </w:rPr>
        <w:t xml:space="preserve">hip </w:t>
      </w:r>
      <w:r w:rsidR="001E7665">
        <w:rPr>
          <w:rFonts w:ascii="Times New Roman" w:hAnsi="Times New Roman" w:cs="Times New Roman"/>
          <w:sz w:val="28"/>
          <w:szCs w:val="28"/>
          <w:lang w:val="en-US"/>
        </w:rPr>
        <w:t>replacement</w:t>
      </w:r>
      <w:r w:rsidRPr="00AF7625">
        <w:rPr>
          <w:rFonts w:ascii="Times New Roman" w:hAnsi="Times New Roman" w:cs="Times New Roman"/>
          <w:sz w:val="28"/>
          <w:szCs w:val="28"/>
          <w:lang w:val="en-US"/>
        </w:rPr>
        <w:t xml:space="preserve"> for </w:t>
      </w:r>
      <w:proofErr w:type="spellStart"/>
      <w:r w:rsidRPr="00AF7625">
        <w:rPr>
          <w:rFonts w:ascii="Times New Roman" w:hAnsi="Times New Roman" w:cs="Times New Roman"/>
          <w:sz w:val="28"/>
          <w:szCs w:val="28"/>
          <w:lang w:val="en-US"/>
        </w:rPr>
        <w:t>pertrochanteric</w:t>
      </w:r>
      <w:proofErr w:type="spellEnd"/>
      <w:r w:rsidRPr="00AF7625">
        <w:rPr>
          <w:rFonts w:ascii="Times New Roman" w:hAnsi="Times New Roman" w:cs="Times New Roman"/>
          <w:sz w:val="28"/>
          <w:szCs w:val="28"/>
          <w:lang w:val="en-US"/>
        </w:rPr>
        <w:t xml:space="preserve"> and intertrochanteric femoral fractures is the method of choice for people of older age group, as it provides early mobilization and quick recovery movement patterns.</w:t>
      </w:r>
      <w:r w:rsidR="004230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23074" w:rsidRPr="00AF7625">
        <w:rPr>
          <w:rFonts w:ascii="Times New Roman" w:hAnsi="Times New Roman" w:cs="Times New Roman"/>
          <w:sz w:val="28"/>
          <w:szCs w:val="28"/>
          <w:lang w:val="en-US"/>
        </w:rPr>
        <w:t>In a satisfactory state of the cavity, the bipolar hip replacement should be preferred, which, with a small traumatic effect, provides rapid functional recovery of the patients. In the presence of degenerative changes in the hip joint, a total hip replacement should be remains as a main method.</w:t>
      </w:r>
    </w:p>
    <w:sectPr w:rsidR="00423074" w:rsidRPr="00AF76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4A4"/>
    <w:rsid w:val="001E7665"/>
    <w:rsid w:val="00423074"/>
    <w:rsid w:val="009C48CE"/>
    <w:rsid w:val="00E2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21C745-44BA-4211-BA83-40E1879E4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76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mapo.edu.ua/index.php/en/surgical-faculty/department-of-orthopedics-and-traumatology-no-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988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ASUS_Eee</dc:creator>
  <cp:keywords/>
  <dc:description/>
  <cp:lastModifiedBy>ASUS_Eee</cp:lastModifiedBy>
  <cp:revision>1</cp:revision>
  <dcterms:created xsi:type="dcterms:W3CDTF">2017-08-13T09:30:00Z</dcterms:created>
  <dcterms:modified xsi:type="dcterms:W3CDTF">2017-08-13T09:55:00Z</dcterms:modified>
</cp:coreProperties>
</file>