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Por omisión A"/>
        <w:spacing w:after="240"/>
        <w:rPr>
          <w:rFonts w:ascii="Times" w:hAnsi="Times"/>
          <w:b w:val="1"/>
          <w:bCs w:val="1"/>
          <w:sz w:val="40"/>
          <w:szCs w:val="40"/>
        </w:rPr>
      </w:pPr>
    </w:p>
    <w:p>
      <w:pPr>
        <w:pStyle w:val="Por omisión A"/>
        <w:spacing w:after="240"/>
        <w:rPr>
          <w:rFonts w:ascii="Times" w:cs="Times" w:hAnsi="Times" w:eastAsia="Times"/>
          <w:b w:val="1"/>
          <w:bCs w:val="1"/>
          <w:sz w:val="40"/>
          <w:szCs w:val="40"/>
        </w:rPr>
      </w:pPr>
      <w:r>
        <w:rPr>
          <w:rFonts w:ascii="Times" w:hAnsi="Times"/>
          <w:b w:val="1"/>
          <w:bCs w:val="1"/>
          <w:sz w:val="40"/>
          <w:szCs w:val="40"/>
          <w:rtl w:val="0"/>
          <w:lang w:val="es-ES_tradnl"/>
        </w:rPr>
        <w:t>Indications, early and midterm results and complication rate of Primary Rotating Hinge Knee Arthroplasty</w:t>
      </w:r>
    </w:p>
    <w:p>
      <w:pPr>
        <w:pStyle w:val="Por omisión"/>
        <w:bidi w:val="0"/>
        <w:spacing w:after="140"/>
        <w:ind w:left="0" w:right="0" w:firstLine="0"/>
        <w:jc w:val="left"/>
        <w:rPr>
          <w:rFonts w:ascii="Times" w:cs="Times" w:hAnsi="Times" w:eastAsia="Times"/>
          <w:sz w:val="8"/>
          <w:szCs w:val="8"/>
          <w:rtl w:val="0"/>
        </w:rPr>
      </w:pPr>
    </w:p>
    <w:p>
      <w:pPr>
        <w:pStyle w:val="Por omisión"/>
        <w:bidi w:val="0"/>
        <w:spacing w:after="20"/>
        <w:ind w:left="0" w:right="0" w:firstLine="0"/>
        <w:jc w:val="left"/>
        <w:rPr>
          <w:rFonts w:ascii="Times" w:cs="Times" w:hAnsi="Times" w:eastAsia="Times"/>
          <w:sz w:val="26"/>
          <w:szCs w:val="26"/>
          <w:rtl w:val="0"/>
        </w:rPr>
      </w:pPr>
      <w:r>
        <w:rPr>
          <w:rFonts w:ascii="Times" w:hAnsi="Times"/>
          <w:sz w:val="26"/>
          <w:szCs w:val="26"/>
          <w:rtl w:val="0"/>
          <w:lang w:val="es-ES_tradnl"/>
        </w:rPr>
        <w:t>David S</w:t>
      </w:r>
      <w:r>
        <w:rPr>
          <w:rFonts w:ascii="Times" w:hAnsi="Times" w:hint="default"/>
          <w:sz w:val="26"/>
          <w:szCs w:val="26"/>
          <w:rtl w:val="0"/>
          <w:lang w:val="es-ES_tradnl"/>
        </w:rPr>
        <w:t>á</w:t>
      </w:r>
      <w:r>
        <w:rPr>
          <w:rFonts w:ascii="Times" w:hAnsi="Times"/>
          <w:sz w:val="26"/>
          <w:szCs w:val="26"/>
          <w:rtl w:val="0"/>
          <w:lang w:val="es-ES_tradnl"/>
        </w:rPr>
        <w:t>ez Mart</w:t>
      </w:r>
      <w:r>
        <w:rPr>
          <w:rFonts w:ascii="Times" w:hAnsi="Times" w:hint="default"/>
          <w:sz w:val="26"/>
          <w:szCs w:val="26"/>
          <w:rtl w:val="0"/>
          <w:lang w:val="es-ES_tradnl"/>
        </w:rPr>
        <w:t>í</w:t>
      </w:r>
      <w:r>
        <w:rPr>
          <w:rFonts w:ascii="Times" w:hAnsi="Times"/>
          <w:sz w:val="26"/>
          <w:szCs w:val="26"/>
          <w:rtl w:val="0"/>
          <w:lang w:val="es-ES_tradnl"/>
        </w:rPr>
        <w:t>nez</w:t>
      </w:r>
      <w:r>
        <w:rPr>
          <w:rFonts w:ascii="Times" w:hAnsi="Times"/>
          <w:sz w:val="26"/>
          <w:szCs w:val="26"/>
          <w:rtl w:val="0"/>
          <w:lang w:val="it-IT"/>
        </w:rPr>
        <w:t>, Natalia Mart</w:t>
      </w:r>
      <w:r>
        <w:rPr>
          <w:rFonts w:ascii="Times" w:hAnsi="Times" w:hint="default"/>
          <w:sz w:val="26"/>
          <w:szCs w:val="26"/>
          <w:rtl w:val="0"/>
        </w:rPr>
        <w:t>í</w:t>
      </w:r>
      <w:r>
        <w:rPr>
          <w:rFonts w:ascii="Times" w:hAnsi="Times"/>
          <w:sz w:val="26"/>
          <w:szCs w:val="26"/>
          <w:rtl w:val="0"/>
          <w:lang w:val="es-ES_tradnl"/>
        </w:rPr>
        <w:t xml:space="preserve">nez Catalan, </w:t>
      </w:r>
      <w:r>
        <w:rPr>
          <w:rFonts w:ascii="Times" w:hAnsi="Times"/>
          <w:sz w:val="26"/>
          <w:szCs w:val="26"/>
          <w:rtl w:val="0"/>
          <w:lang w:val="es-ES_tradnl"/>
        </w:rPr>
        <w:t>Felipe L</w:t>
      </w:r>
      <w:r>
        <w:rPr>
          <w:rFonts w:ascii="Times" w:hAnsi="Times" w:hint="default"/>
          <w:sz w:val="26"/>
          <w:szCs w:val="26"/>
          <w:rtl w:val="0"/>
          <w:lang w:val="es-ES_tradnl"/>
        </w:rPr>
        <w:t>ó</w:t>
      </w:r>
      <w:r>
        <w:rPr>
          <w:rFonts w:ascii="Times" w:hAnsi="Times"/>
          <w:sz w:val="26"/>
          <w:szCs w:val="26"/>
          <w:rtl w:val="0"/>
          <w:lang w:val="es-ES_tradnl"/>
        </w:rPr>
        <w:t>pez-Oliva</w:t>
      </w:r>
      <w:r>
        <w:rPr>
          <w:rFonts w:ascii="Times" w:hAnsi="Times"/>
          <w:sz w:val="26"/>
          <w:szCs w:val="26"/>
          <w:rtl w:val="0"/>
        </w:rPr>
        <w:t xml:space="preserve">, </w:t>
      </w:r>
      <w:r>
        <w:rPr>
          <w:rFonts w:ascii="Times" w:hAnsi="Times"/>
          <w:sz w:val="26"/>
          <w:szCs w:val="26"/>
          <w:rtl w:val="0"/>
          <w:lang w:val="es-ES_tradnl"/>
        </w:rPr>
        <w:t>Emilio Calvo Crespo</w:t>
      </w:r>
      <w:r>
        <w:rPr>
          <w:rFonts w:ascii="Times" w:hAnsi="Times"/>
          <w:sz w:val="26"/>
          <w:szCs w:val="26"/>
          <w:rtl w:val="0"/>
        </w:rPr>
        <w:t xml:space="preserve">. </w:t>
      </w:r>
    </w:p>
    <w:p>
      <w:pPr>
        <w:pStyle w:val="Por omisión"/>
        <w:bidi w:val="0"/>
        <w:spacing w:after="20"/>
        <w:ind w:left="0" w:right="0" w:firstLine="0"/>
        <w:jc w:val="left"/>
        <w:rPr>
          <w:rFonts w:ascii="Times" w:cs="Times" w:hAnsi="Times" w:eastAsia="Times"/>
          <w:sz w:val="26"/>
          <w:szCs w:val="26"/>
          <w:rtl w:val="0"/>
        </w:rPr>
      </w:pPr>
      <w:r>
        <w:rPr>
          <w:rFonts w:ascii="Times" w:hAnsi="Times"/>
          <w:sz w:val="26"/>
          <w:szCs w:val="26"/>
          <w:rtl w:val="0"/>
          <w:lang w:val="es-ES_tradnl"/>
        </w:rPr>
        <w:t>Orthopedic Surgery Department</w:t>
      </w:r>
    </w:p>
    <w:p>
      <w:pPr>
        <w:pStyle w:val="Por omisión"/>
        <w:bidi w:val="0"/>
        <w:spacing w:after="20"/>
        <w:ind w:left="0" w:right="0" w:firstLine="0"/>
        <w:jc w:val="left"/>
        <w:rPr>
          <w:rFonts w:ascii="Times" w:cs="Times" w:hAnsi="Times" w:eastAsia="Times"/>
          <w:sz w:val="26"/>
          <w:szCs w:val="26"/>
          <w:rtl w:val="0"/>
        </w:rPr>
      </w:pPr>
      <w:r>
        <w:rPr>
          <w:rFonts w:ascii="Times" w:hAnsi="Times"/>
          <w:sz w:val="26"/>
          <w:szCs w:val="26"/>
          <w:rtl w:val="0"/>
          <w:lang w:val="es-ES_tradnl"/>
        </w:rPr>
        <w:t>Fundaci</w:t>
      </w:r>
      <w:r>
        <w:rPr>
          <w:rFonts w:ascii="Times" w:hAnsi="Times" w:hint="default"/>
          <w:sz w:val="26"/>
          <w:szCs w:val="26"/>
          <w:rtl w:val="0"/>
          <w:lang w:val="es-ES_tradnl"/>
        </w:rPr>
        <w:t>ó</w:t>
      </w:r>
      <w:r>
        <w:rPr>
          <w:rFonts w:ascii="Times" w:hAnsi="Times"/>
          <w:sz w:val="26"/>
          <w:szCs w:val="26"/>
          <w:rtl w:val="0"/>
          <w:lang w:val="es-ES_tradnl"/>
        </w:rPr>
        <w:t>n Jimenez Diaz</w:t>
      </w:r>
    </w:p>
    <w:p>
      <w:pPr>
        <w:pStyle w:val="Por omisión"/>
        <w:bidi w:val="0"/>
        <w:spacing w:after="20"/>
        <w:ind w:left="0" w:right="0" w:firstLine="0"/>
        <w:jc w:val="left"/>
        <w:rPr>
          <w:rFonts w:ascii="Times" w:cs="Times" w:hAnsi="Times" w:eastAsia="Times"/>
          <w:sz w:val="26"/>
          <w:szCs w:val="26"/>
          <w:rtl w:val="0"/>
        </w:rPr>
      </w:pPr>
      <w:r>
        <w:rPr>
          <w:rFonts w:ascii="Times" w:hAnsi="Times"/>
          <w:sz w:val="26"/>
          <w:szCs w:val="26"/>
          <w:rtl w:val="0"/>
          <w:lang w:val="es-ES_tradnl"/>
        </w:rPr>
        <w:t xml:space="preserve">Madrid </w:t>
      </w:r>
    </w:p>
    <w:p>
      <w:pPr>
        <w:pStyle w:val="Por omisión"/>
        <w:bidi w:val="0"/>
        <w:spacing w:after="20"/>
        <w:ind w:left="0" w:right="0" w:firstLine="0"/>
        <w:jc w:val="left"/>
        <w:rPr>
          <w:rFonts w:ascii="Times" w:cs="Times" w:hAnsi="Times" w:eastAsia="Times"/>
          <w:sz w:val="26"/>
          <w:szCs w:val="26"/>
          <w:rtl w:val="0"/>
        </w:rPr>
      </w:pPr>
      <w:r>
        <w:rPr>
          <w:rFonts w:ascii="Times" w:hAnsi="Times"/>
          <w:sz w:val="26"/>
          <w:szCs w:val="26"/>
          <w:rtl w:val="0"/>
          <w:lang w:val="es-ES_tradnl"/>
        </w:rPr>
        <w:t>Spain</w:t>
      </w:r>
      <w:r>
        <w:rPr>
          <w:rFonts w:ascii="Times" w:hAnsi="Times"/>
          <w:sz w:val="26"/>
          <w:szCs w:val="26"/>
          <w:rtl w:val="0"/>
        </w:rPr>
        <w:t xml:space="preserve"> </w:t>
      </w:r>
    </w:p>
    <w:p>
      <w:pPr>
        <w:pStyle w:val="Por omisión"/>
        <w:bidi w:val="0"/>
        <w:spacing w:after="240"/>
        <w:ind w:left="0" w:right="0" w:firstLine="0"/>
        <w:jc w:val="left"/>
        <w:rPr>
          <w:rFonts w:ascii="Times" w:cs="Times" w:hAnsi="Times" w:eastAsia="Times"/>
          <w:sz w:val="26"/>
          <w:szCs w:val="26"/>
          <w:rtl w:val="0"/>
        </w:rPr>
      </w:pPr>
    </w:p>
    <w:p>
      <w:pPr>
        <w:pStyle w:val="Por omisión"/>
        <w:bidi w:val="0"/>
        <w:spacing w:after="240"/>
        <w:ind w:left="0" w:right="0" w:firstLine="0"/>
        <w:jc w:val="left"/>
        <w:rPr>
          <w:rFonts w:ascii="Times" w:cs="Times" w:hAnsi="Times" w:eastAsia="Times"/>
          <w:sz w:val="26"/>
          <w:szCs w:val="26"/>
          <w:rtl w:val="0"/>
        </w:rPr>
      </w:pPr>
    </w:p>
    <w:p>
      <w:pPr>
        <w:pStyle w:val="Por omisión A"/>
        <w:spacing w:after="240"/>
        <w:rPr>
          <w:rStyle w:val="Ninguno"/>
          <w:rFonts w:ascii="Times" w:cs="Times" w:hAnsi="Times" w:eastAsia="Times"/>
          <w:b w:val="1"/>
          <w:bCs w:val="1"/>
          <w:sz w:val="28"/>
          <w:szCs w:val="28"/>
          <w:lang w:val="es-ES_tradnl"/>
        </w:rPr>
      </w:pPr>
      <w:r>
        <w:rPr>
          <w:rFonts w:ascii="Times" w:hAnsi="Times"/>
          <w:b w:val="1"/>
          <w:bCs w:val="1"/>
          <w:sz w:val="28"/>
          <w:szCs w:val="28"/>
          <w:rtl w:val="0"/>
          <w:lang w:val="es-ES_tradnl"/>
        </w:rPr>
        <w:t>INTRODUC</w:t>
      </w:r>
      <w:r>
        <w:rPr>
          <w:rFonts w:ascii="Times" w:hAnsi="Times"/>
          <w:b w:val="1"/>
          <w:bCs w:val="1"/>
          <w:sz w:val="28"/>
          <w:szCs w:val="28"/>
          <w:rtl w:val="0"/>
          <w:lang w:val="es-ES_tradnl"/>
        </w:rPr>
        <w:t>TIO</w:t>
      </w:r>
      <w:r>
        <w:rPr>
          <w:rFonts w:ascii="Times" w:hAnsi="Times"/>
          <w:b w:val="1"/>
          <w:bCs w:val="1"/>
          <w:sz w:val="28"/>
          <w:szCs w:val="28"/>
          <w:rtl w:val="0"/>
          <w:lang w:val="es-ES_tradnl"/>
        </w:rPr>
        <w:t>N</w:t>
      </w:r>
    </w:p>
    <w:p>
      <w:pPr>
        <w:pStyle w:val="Por omisión A"/>
        <w:spacing w:after="240"/>
        <w:rPr>
          <w:rStyle w:val="Ninguno"/>
          <w:rFonts w:ascii="Times" w:cs="Times" w:hAnsi="Times" w:eastAsia="Times"/>
          <w:sz w:val="26"/>
          <w:szCs w:val="26"/>
          <w:lang w:val="es-ES_tradnl"/>
        </w:rPr>
      </w:pPr>
      <w:r>
        <w:rPr>
          <w:rStyle w:val="Ninguno"/>
          <w:rFonts w:ascii="Times" w:hAnsi="Times"/>
          <w:sz w:val="26"/>
          <w:szCs w:val="26"/>
          <w:rtl w:val="0"/>
          <w:lang w:val="es-ES_tradnl"/>
        </w:rPr>
        <w:t xml:space="preserve">Primary Rotating Hinge Knee Artrhplasty has limited indications, as severe low extremity deformities, tumors, fractures and ligament compromise. Just a few recent papers study survivorship of primary rotating hinge knee arthroplasty. </w:t>
      </w:r>
    </w:p>
    <w:p>
      <w:pPr>
        <w:pStyle w:val="Por omisión A"/>
        <w:spacing w:after="240"/>
        <w:rPr>
          <w:rFonts w:ascii="Times" w:cs="Times" w:hAnsi="Times" w:eastAsia="Times"/>
          <w:sz w:val="26"/>
          <w:szCs w:val="26"/>
        </w:rPr>
      </w:pPr>
    </w:p>
    <w:p>
      <w:pPr>
        <w:pStyle w:val="Por omisión A"/>
        <w:spacing w:after="240"/>
        <w:rPr>
          <w:rFonts w:ascii="Times" w:cs="Times" w:hAnsi="Times" w:eastAsia="Times"/>
          <w:b w:val="1"/>
          <w:bCs w:val="1"/>
          <w:sz w:val="28"/>
          <w:szCs w:val="28"/>
        </w:rPr>
      </w:pPr>
      <w:r>
        <w:rPr>
          <w:rFonts w:ascii="Times" w:hAnsi="Times"/>
          <w:b w:val="1"/>
          <w:bCs w:val="1"/>
          <w:sz w:val="28"/>
          <w:szCs w:val="28"/>
          <w:rtl w:val="0"/>
          <w:lang w:val="es-ES_tradnl"/>
        </w:rPr>
        <w:t>OBJETIV</w:t>
      </w:r>
      <w:r>
        <w:rPr>
          <w:rFonts w:ascii="Times" w:hAnsi="Times"/>
          <w:b w:val="1"/>
          <w:bCs w:val="1"/>
          <w:sz w:val="28"/>
          <w:szCs w:val="28"/>
          <w:rtl w:val="0"/>
          <w:lang w:val="es-ES_tradnl"/>
        </w:rPr>
        <w:t>E</w:t>
      </w:r>
    </w:p>
    <w:p>
      <w:pPr>
        <w:pStyle w:val="Por omisión A"/>
        <w:spacing w:after="240"/>
        <w:rPr>
          <w:rFonts w:ascii="Times" w:cs="Times" w:hAnsi="Times" w:eastAsia="Times"/>
          <w:sz w:val="26"/>
          <w:szCs w:val="26"/>
        </w:rPr>
      </w:pPr>
      <w:r>
        <w:rPr>
          <w:rFonts w:ascii="Times" w:hAnsi="Times"/>
          <w:sz w:val="26"/>
          <w:szCs w:val="26"/>
          <w:rtl w:val="0"/>
          <w:lang w:val="es-ES_tradnl"/>
        </w:rPr>
        <w:t>We share our experience using primary rotating hinge knee arthroplasty (endomodel Link), indications, complications and short and medium term results.</w:t>
      </w:r>
    </w:p>
    <w:p>
      <w:pPr>
        <w:pStyle w:val="Por omisión A"/>
        <w:spacing w:after="240"/>
        <w:rPr>
          <w:rFonts w:ascii="Times" w:cs="Times" w:hAnsi="Times" w:eastAsia="Times"/>
          <w:sz w:val="26"/>
          <w:szCs w:val="26"/>
        </w:rPr>
      </w:pPr>
    </w:p>
    <w:p>
      <w:pPr>
        <w:pStyle w:val="Por omisión A"/>
        <w:spacing w:after="240"/>
        <w:rPr>
          <w:rFonts w:ascii="Times" w:cs="Times" w:hAnsi="Times" w:eastAsia="Times"/>
          <w:b w:val="1"/>
          <w:bCs w:val="1"/>
          <w:sz w:val="28"/>
          <w:szCs w:val="28"/>
        </w:rPr>
      </w:pPr>
      <w:r>
        <w:rPr>
          <w:rFonts w:ascii="Times" w:hAnsi="Times"/>
          <w:b w:val="1"/>
          <w:bCs w:val="1"/>
          <w:sz w:val="28"/>
          <w:szCs w:val="28"/>
          <w:rtl w:val="0"/>
          <w:lang w:val="es-ES_tradnl"/>
        </w:rPr>
        <w:t>OUR SERIE</w:t>
      </w:r>
    </w:p>
    <w:p>
      <w:pPr>
        <w:pStyle w:val="Por omisión A"/>
        <w:spacing w:after="240"/>
        <w:rPr>
          <w:rFonts w:ascii="Times" w:cs="Times" w:hAnsi="Times" w:eastAsia="Times"/>
          <w:sz w:val="26"/>
          <w:szCs w:val="26"/>
        </w:rPr>
      </w:pPr>
      <w:r>
        <w:rPr>
          <w:rFonts w:ascii="Times" w:hAnsi="Times"/>
          <w:sz w:val="26"/>
          <w:szCs w:val="26"/>
          <w:rtl w:val="0"/>
          <w:lang w:val="es-ES_tradnl"/>
        </w:rPr>
        <w:t xml:space="preserve">Our serie is 25 patients (8 male and 17 women) 67 years old age (37-90), surgery between 2014 and 2016 </w:t>
      </w:r>
    </w:p>
    <w:p>
      <w:pPr>
        <w:pStyle w:val="Por omisión A"/>
        <w:spacing w:after="240"/>
        <w:rPr>
          <w:rFonts w:ascii="Times" w:cs="Times" w:hAnsi="Times" w:eastAsia="Times"/>
          <w:sz w:val="26"/>
          <w:szCs w:val="26"/>
        </w:rPr>
      </w:pPr>
      <w:r>
        <w:rPr>
          <w:rFonts w:ascii="Times" w:hAnsi="Times"/>
          <w:sz w:val="26"/>
          <w:szCs w:val="26"/>
          <w:rtl w:val="0"/>
          <w:lang w:val="es-ES_tradnl"/>
        </w:rPr>
        <w:t>We evaluated type of implant (monobloc or modular), use of augments, patella replacement, complications, KSS score and new surgeries.</w:t>
      </w:r>
    </w:p>
    <w:p>
      <w:pPr>
        <w:pStyle w:val="Por omisión A"/>
        <w:spacing w:after="240"/>
        <w:rPr>
          <w:rFonts w:ascii="Times" w:cs="Times" w:hAnsi="Times" w:eastAsia="Times"/>
          <w:sz w:val="26"/>
          <w:szCs w:val="26"/>
        </w:rPr>
      </w:pPr>
    </w:p>
    <w:p>
      <w:pPr>
        <w:pStyle w:val="Por omisión A"/>
        <w:spacing w:after="240"/>
        <w:rPr>
          <w:rFonts w:ascii="Times" w:cs="Times" w:hAnsi="Times" w:eastAsia="Times"/>
          <w:b w:val="1"/>
          <w:bCs w:val="1"/>
          <w:sz w:val="28"/>
          <w:szCs w:val="28"/>
        </w:rPr>
      </w:pPr>
      <w:r>
        <w:rPr>
          <w:rFonts w:ascii="Times" w:hAnsi="Times"/>
          <w:b w:val="1"/>
          <w:bCs w:val="1"/>
          <w:sz w:val="28"/>
          <w:szCs w:val="28"/>
          <w:rtl w:val="0"/>
          <w:lang w:val="es-ES_tradnl"/>
        </w:rPr>
        <w:t>RESULTS</w:t>
      </w:r>
    </w:p>
    <w:p>
      <w:pPr>
        <w:pStyle w:val="Por omisión A"/>
        <w:spacing w:after="240"/>
        <w:rPr>
          <w:rFonts w:ascii="Times" w:cs="Times" w:hAnsi="Times" w:eastAsia="Times"/>
          <w:sz w:val="26"/>
          <w:szCs w:val="26"/>
        </w:rPr>
      </w:pPr>
      <w:r>
        <w:rPr>
          <w:rFonts w:ascii="Times" w:hAnsi="Times"/>
          <w:sz w:val="26"/>
          <w:szCs w:val="26"/>
          <w:rtl w:val="0"/>
          <w:lang w:val="es-ES_tradnl"/>
        </w:rPr>
        <w:t>14 of 25 cases the indication was severe deformity or ligament instability, 4 tumors, 3 distal femur fractures and 4 other indications.</w:t>
      </w:r>
    </w:p>
    <w:p>
      <w:pPr>
        <w:pStyle w:val="Por omisión A"/>
        <w:spacing w:after="240"/>
        <w:rPr>
          <w:rFonts w:ascii="Times" w:cs="Times" w:hAnsi="Times" w:eastAsia="Times"/>
          <w:sz w:val="26"/>
          <w:szCs w:val="26"/>
        </w:rPr>
      </w:pPr>
      <w:r>
        <w:rPr>
          <w:rFonts w:ascii="Times" w:hAnsi="Times"/>
          <w:sz w:val="26"/>
          <w:szCs w:val="26"/>
          <w:rtl w:val="0"/>
          <w:lang w:val="es-ES_tradnl"/>
        </w:rPr>
        <w:t>Our medium time of study was 16 months (from 5-26 months)</w:t>
      </w:r>
    </w:p>
    <w:p>
      <w:pPr>
        <w:pStyle w:val="Por omisión A"/>
        <w:spacing w:after="240"/>
        <w:rPr>
          <w:rFonts w:ascii="Times" w:cs="Times" w:hAnsi="Times" w:eastAsia="Times"/>
          <w:sz w:val="26"/>
          <w:szCs w:val="26"/>
        </w:rPr>
      </w:pPr>
      <w:r>
        <w:rPr>
          <w:rFonts w:ascii="Times" w:hAnsi="Times"/>
          <w:sz w:val="26"/>
          <w:szCs w:val="26"/>
          <w:rtl w:val="0"/>
          <w:lang w:val="es-ES_tradnl"/>
        </w:rPr>
        <w:t>60% of cases had no complications with good KSS results. We report 3 acute infections, 3 aseptic loosening, 2 mechanical failures and 1 transient perineal nerve disfunction</w:t>
      </w:r>
    </w:p>
    <w:p>
      <w:pPr>
        <w:pStyle w:val="Por omisión A"/>
        <w:spacing w:after="240"/>
        <w:rPr>
          <w:rFonts w:ascii="Times" w:cs="Times" w:hAnsi="Times" w:eastAsia="Times"/>
          <w:b w:val="1"/>
          <w:bCs w:val="1"/>
          <w:sz w:val="28"/>
          <w:szCs w:val="28"/>
        </w:rPr>
      </w:pPr>
      <w:r>
        <w:rPr>
          <w:rFonts w:ascii="Times" w:hAnsi="Times"/>
          <w:b w:val="1"/>
          <w:bCs w:val="1"/>
          <w:sz w:val="28"/>
          <w:szCs w:val="28"/>
          <w:rtl w:val="0"/>
          <w:lang w:val="es-ES_tradnl"/>
        </w:rPr>
        <w:t>CONCLUSION</w:t>
      </w:r>
      <w:r>
        <w:rPr>
          <w:rFonts w:ascii="Times" w:hAnsi="Times"/>
          <w:b w:val="1"/>
          <w:bCs w:val="1"/>
          <w:sz w:val="28"/>
          <w:szCs w:val="28"/>
          <w:rtl w:val="0"/>
          <w:lang w:val="es-ES_tradnl"/>
        </w:rPr>
        <w:t>S</w:t>
      </w:r>
    </w:p>
    <w:p>
      <w:pPr>
        <w:pStyle w:val="Por omisión A"/>
        <w:spacing w:after="240"/>
        <w:rPr>
          <w:rFonts w:ascii="Times" w:cs="Times" w:hAnsi="Times" w:eastAsia="Times"/>
          <w:sz w:val="26"/>
          <w:szCs w:val="26"/>
        </w:rPr>
      </w:pPr>
    </w:p>
    <w:p>
      <w:pPr>
        <w:pStyle w:val="Por omisión A"/>
        <w:spacing w:after="240"/>
      </w:pPr>
      <w:r>
        <w:rPr>
          <w:rFonts w:ascii="Times" w:hAnsi="Times"/>
          <w:sz w:val="26"/>
          <w:szCs w:val="26"/>
          <w:rtl w:val="0"/>
          <w:lang w:val="es-ES_tradnl"/>
        </w:rPr>
        <w:t>Primary indication for rotating hinge knee arthroplasty should be established with caution, because of complication rate that in our serie is similar to few previous papers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Cabecera y pi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Por omisión A">
    <w:name w:val="Por omisión A"/>
    <w:next w:val="Por omisión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s-ES_tradnl"/>
    </w:rPr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character" w:styleId="Ninguno">
    <w:name w:val="Ninguno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