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8B47B" w14:textId="7675AFF9" w:rsidR="00E11AC2" w:rsidRPr="00E11AC2" w:rsidRDefault="00E11AC2" w:rsidP="00E11AC2">
      <w:pPr>
        <w:pStyle w:val="Ttulo1"/>
        <w:spacing w:before="170"/>
        <w:ind w:left="0"/>
        <w:jc w:val="both"/>
        <w:rPr>
          <w:color w:val="337AB7"/>
          <w:sz w:val="38"/>
          <w:szCs w:val="38"/>
          <w:lang w:val="pt-US"/>
        </w:rPr>
      </w:pPr>
      <w:r w:rsidRPr="00E11AC2">
        <w:rPr>
          <w:color w:val="337AB7"/>
          <w:sz w:val="38"/>
          <w:szCs w:val="38"/>
        </w:rPr>
        <w:t xml:space="preserve">Type III open metacarpal shaft fracture with </w:t>
      </w:r>
      <w:r w:rsidRPr="00E11AC2">
        <w:rPr>
          <w:color w:val="337AB7"/>
          <w:sz w:val="38"/>
          <w:szCs w:val="38"/>
          <w:lang w:val="pt-US"/>
        </w:rPr>
        <w:t xml:space="preserve">segmental bone loss: Usage of iliac crest bone grafting as a viable reconstructive option </w:t>
      </w:r>
      <w:r w:rsidRPr="00E11AC2">
        <w:rPr>
          <w:color w:val="337AB7"/>
          <w:sz w:val="38"/>
          <w:szCs w:val="38"/>
          <w:lang w:val="pt-US"/>
        </w:rPr>
        <w:t>–</w:t>
      </w:r>
      <w:r w:rsidRPr="00E11AC2">
        <w:rPr>
          <w:color w:val="337AB7"/>
          <w:sz w:val="38"/>
          <w:szCs w:val="38"/>
          <w:lang w:val="pt-US"/>
        </w:rPr>
        <w:t xml:space="preserve"> A case report</w:t>
      </w:r>
    </w:p>
    <w:p w14:paraId="7DC47536" w14:textId="77777777" w:rsidR="00E11AC2" w:rsidRDefault="00E11AC2" w:rsidP="00E11AC2">
      <w:pPr>
        <w:pStyle w:val="NormalWeb"/>
        <w:spacing w:before="0" w:beforeAutospacing="0" w:after="0" w:afterAutospacing="0"/>
        <w:rPr>
          <w:rFonts w:ascii="Arial" w:hAnsi="Arial" w:cs="Arial"/>
          <w:sz w:val="18"/>
          <w:szCs w:val="18"/>
          <w:lang w:val="pt-BR"/>
        </w:rPr>
      </w:pPr>
    </w:p>
    <w:p w14:paraId="7F33EBF1" w14:textId="7C2A5543" w:rsidR="00E11AC2" w:rsidRPr="00E11AC2" w:rsidRDefault="00E60BCE" w:rsidP="00E11AC2">
      <w:pPr>
        <w:pStyle w:val="NormalWeb"/>
        <w:spacing w:before="0" w:beforeAutospacing="0" w:after="0" w:afterAutospacing="0"/>
        <w:rPr>
          <w:rFonts w:ascii="Arial" w:hAnsi="Arial" w:cs="Arial"/>
          <w:color w:val="000000"/>
          <w:sz w:val="18"/>
          <w:szCs w:val="18"/>
          <w:lang w:val="pt-PT"/>
        </w:rPr>
      </w:pPr>
      <w:r w:rsidRPr="00E60BCE">
        <w:rPr>
          <w:rFonts w:ascii="Arial" w:hAnsi="Arial" w:cs="Arial"/>
          <w:i/>
          <w:iCs/>
          <w:sz w:val="18"/>
          <w:szCs w:val="18"/>
          <w:lang w:val="pt-BR"/>
        </w:rPr>
        <w:t xml:space="preserve">José Miguel Costa, Andréia Moreira, João Quelhas, José Machado, Pedro Mendes Santos, Patrícia Martins, Ricardo Vila Real, Unidade Local de </w:t>
      </w:r>
      <w:proofErr w:type="spellStart"/>
      <w:r w:rsidRPr="00E60BCE">
        <w:rPr>
          <w:rFonts w:ascii="Arial" w:hAnsi="Arial" w:cs="Arial"/>
          <w:i/>
          <w:iCs/>
          <w:sz w:val="18"/>
          <w:szCs w:val="18"/>
          <w:lang w:val="pt-BR"/>
        </w:rPr>
        <w:t>Saúde</w:t>
      </w:r>
      <w:proofErr w:type="spellEnd"/>
      <w:r w:rsidRPr="00E60BCE">
        <w:rPr>
          <w:rFonts w:ascii="Arial" w:hAnsi="Arial" w:cs="Arial"/>
          <w:i/>
          <w:iCs/>
          <w:sz w:val="18"/>
          <w:szCs w:val="18"/>
          <w:lang w:val="pt-BR"/>
        </w:rPr>
        <w:t xml:space="preserve"> de Matosinhos, Hospital Pedro Hispano, Matosinhos, Porto, Portugal</w:t>
      </w:r>
      <w:r w:rsidR="00E11AC2" w:rsidRPr="00E11AC2">
        <w:rPr>
          <w:rFonts w:ascii="Arial" w:hAnsi="Arial" w:cs="Arial"/>
          <w:i/>
          <w:iCs/>
          <w:color w:val="000000"/>
          <w:sz w:val="18"/>
          <w:szCs w:val="18"/>
        </w:rPr>
        <w:t>Unidade Local de Saúde de Matosinhos, Hospital Pedro Hispano,</w:t>
      </w:r>
      <w:r w:rsidR="00E11AC2">
        <w:rPr>
          <w:rFonts w:ascii="Arial" w:hAnsi="Arial" w:cs="Arial"/>
          <w:i/>
          <w:iCs/>
          <w:color w:val="000000"/>
          <w:sz w:val="18"/>
          <w:szCs w:val="18"/>
          <w:lang w:val="pt-PT"/>
        </w:rPr>
        <w:t xml:space="preserve"> Porto, Portugal</w:t>
      </w:r>
    </w:p>
    <w:p w14:paraId="1B5C2EB3" w14:textId="77777777" w:rsidR="00AE3E37" w:rsidRPr="00E11AC2" w:rsidRDefault="00AE3E37">
      <w:pPr>
        <w:pStyle w:val="Corpodetexto"/>
        <w:spacing w:before="3"/>
        <w:rPr>
          <w:rFonts w:ascii="Arial"/>
          <w:sz w:val="21"/>
          <w:lang w:val="pt-BR"/>
        </w:rPr>
      </w:pPr>
    </w:p>
    <w:p w14:paraId="3A7843C6" w14:textId="77777777" w:rsidR="00AE3E37" w:rsidRPr="00E11AC2" w:rsidRDefault="00AE3E37">
      <w:pPr>
        <w:rPr>
          <w:rFonts w:ascii="Arial"/>
          <w:sz w:val="21"/>
          <w:lang w:val="pt-BR"/>
        </w:rPr>
        <w:sectPr w:rsidR="00AE3E37" w:rsidRPr="00E11AC2">
          <w:headerReference w:type="default" r:id="rId7"/>
          <w:footerReference w:type="default" r:id="rId8"/>
          <w:type w:val="continuous"/>
          <w:pgSz w:w="11910" w:h="16840"/>
          <w:pgMar w:top="1740" w:right="600" w:bottom="840" w:left="620" w:header="541" w:footer="642" w:gutter="0"/>
          <w:cols w:space="720"/>
        </w:sectPr>
      </w:pPr>
    </w:p>
    <w:p w14:paraId="32CCC5FE" w14:textId="6E71B8EE" w:rsidR="00AE3E37" w:rsidRDefault="00A9710C">
      <w:pPr>
        <w:pStyle w:val="Ttulo3"/>
        <w:spacing w:before="147"/>
        <w:jc w:val="both"/>
      </w:pPr>
      <w:r>
        <w:rPr>
          <w:color w:val="BF5A14"/>
        </w:rPr>
        <w:t>Abstrac</w:t>
      </w:r>
      <w:r w:rsidR="00E11AC2">
        <w:rPr>
          <w:color w:val="BF5A14"/>
        </w:rPr>
        <w:t>t</w:t>
      </w:r>
    </w:p>
    <w:p w14:paraId="534B14B8" w14:textId="0CE17DDE" w:rsidR="008834B0" w:rsidRPr="008834B0" w:rsidRDefault="00E60BCE" w:rsidP="00E60BCE">
      <w:pPr>
        <w:pStyle w:val="Ttulo3"/>
        <w:spacing w:before="74"/>
        <w:jc w:val="both"/>
        <w:rPr>
          <w:b w:val="0"/>
        </w:rPr>
      </w:pPr>
      <w:r w:rsidRPr="00E60BCE">
        <w:rPr>
          <w:rFonts w:ascii="Tw Cen MT" w:eastAsia="Tw Cen MT" w:hAnsi="Tw Cen MT" w:cs="Tw Cen MT"/>
          <w:b w:val="0"/>
          <w:bCs w:val="0"/>
          <w:sz w:val="18"/>
          <w:szCs w:val="18"/>
        </w:rPr>
        <w:t xml:space="preserve">Problem Statement: Open metacarpal fractures can be associated with segmental bone loss, particularly those produced by traumatic events with mechanical cutting devices. We present a case of a Type III open metacarpal shaft fracture with segmental bone loss caused by an electric circular saw. Zone IV injury of the medial dorsal aspect of the left hand with severe soft tissue defects were evident during initial evaluation. The first stage surgical procedure revealed a complete section of the extensor </w:t>
      </w:r>
      <w:proofErr w:type="spellStart"/>
      <w:r w:rsidRPr="00E60BCE">
        <w:rPr>
          <w:rFonts w:ascii="Tw Cen MT" w:eastAsia="Tw Cen MT" w:hAnsi="Tw Cen MT" w:cs="Tw Cen MT"/>
          <w:b w:val="0"/>
          <w:bCs w:val="0"/>
          <w:sz w:val="18"/>
          <w:szCs w:val="18"/>
        </w:rPr>
        <w:t>digiti</w:t>
      </w:r>
      <w:proofErr w:type="spellEnd"/>
      <w:r w:rsidRPr="00E60BCE">
        <w:rPr>
          <w:rFonts w:ascii="Tw Cen MT" w:eastAsia="Tw Cen MT" w:hAnsi="Tw Cen MT" w:cs="Tw Cen MT"/>
          <w:b w:val="0"/>
          <w:bCs w:val="0"/>
          <w:sz w:val="18"/>
          <w:szCs w:val="18"/>
        </w:rPr>
        <w:t xml:space="preserve"> </w:t>
      </w:r>
      <w:proofErr w:type="spellStart"/>
      <w:r w:rsidRPr="00E60BCE">
        <w:rPr>
          <w:rFonts w:ascii="Tw Cen MT" w:eastAsia="Tw Cen MT" w:hAnsi="Tw Cen MT" w:cs="Tw Cen MT"/>
          <w:b w:val="0"/>
          <w:bCs w:val="0"/>
          <w:sz w:val="18"/>
          <w:szCs w:val="18"/>
        </w:rPr>
        <w:t>minimi</w:t>
      </w:r>
      <w:proofErr w:type="spellEnd"/>
      <w:r w:rsidRPr="00E60BCE">
        <w:rPr>
          <w:rFonts w:ascii="Tw Cen MT" w:eastAsia="Tw Cen MT" w:hAnsi="Tw Cen MT" w:cs="Tw Cen MT"/>
          <w:b w:val="0"/>
          <w:bCs w:val="0"/>
          <w:sz w:val="18"/>
          <w:szCs w:val="18"/>
        </w:rPr>
        <w:t xml:space="preserve"> (EDM) and of the radial artery associated with an open fracture of the fifth metacarpal. Radiographs showed a highly comminuted fracture of the fifth metacarpal associated with segmental bone loss. Due to high risk of infection and lack of soft tissue viability, radical debridement and fracture fixation with K-wire was done </w:t>
      </w:r>
      <w:proofErr w:type="gramStart"/>
      <w:r w:rsidRPr="00E60BCE">
        <w:rPr>
          <w:rFonts w:ascii="Tw Cen MT" w:eastAsia="Tw Cen MT" w:hAnsi="Tw Cen MT" w:cs="Tw Cen MT"/>
          <w:b w:val="0"/>
          <w:bCs w:val="0"/>
          <w:sz w:val="18"/>
          <w:szCs w:val="18"/>
        </w:rPr>
        <w:t>in order to</w:t>
      </w:r>
      <w:proofErr w:type="gramEnd"/>
      <w:r w:rsidRPr="00E60BCE">
        <w:rPr>
          <w:rFonts w:ascii="Tw Cen MT" w:eastAsia="Tw Cen MT" w:hAnsi="Tw Cen MT" w:cs="Tw Cen MT"/>
          <w:b w:val="0"/>
          <w:bCs w:val="0"/>
          <w:sz w:val="18"/>
          <w:szCs w:val="18"/>
        </w:rPr>
        <w:t xml:space="preserve"> preserve the metacarpal length. Three weeks later, as a second stage procedure, autologous iliac crest </w:t>
      </w:r>
      <w:proofErr w:type="spellStart"/>
      <w:r w:rsidRPr="00E60BCE">
        <w:rPr>
          <w:rFonts w:ascii="Tw Cen MT" w:eastAsia="Tw Cen MT" w:hAnsi="Tw Cen MT" w:cs="Tw Cen MT"/>
          <w:b w:val="0"/>
          <w:bCs w:val="0"/>
          <w:sz w:val="18"/>
          <w:szCs w:val="18"/>
        </w:rPr>
        <w:t>corticocancellous</w:t>
      </w:r>
      <w:proofErr w:type="spellEnd"/>
      <w:r w:rsidRPr="00E60BCE">
        <w:rPr>
          <w:rFonts w:ascii="Tw Cen MT" w:eastAsia="Tw Cen MT" w:hAnsi="Tw Cen MT" w:cs="Tw Cen MT"/>
          <w:b w:val="0"/>
          <w:bCs w:val="0"/>
          <w:sz w:val="18"/>
          <w:szCs w:val="18"/>
        </w:rPr>
        <w:t xml:space="preserve"> bone graft was harvested and was included in the open reduction and internal fixation of the fifth metacarpal bone defect using a compression plate. Tenodesis of the EDM to the </w:t>
      </w:r>
      <w:r w:rsidR="0034141A" w:rsidRPr="0034141A">
        <w:rPr>
          <w:rFonts w:ascii="Tw Cen MT" w:eastAsia="Tw Cen MT" w:hAnsi="Tw Cen MT" w:cs="Tw Cen MT"/>
          <w:b w:val="0"/>
          <w:bCs w:val="0"/>
          <w:sz w:val="18"/>
          <w:szCs w:val="18"/>
        </w:rPr>
        <w:t>extensor digitorum communis</w:t>
      </w:r>
      <w:r w:rsidR="0034141A">
        <w:rPr>
          <w:rFonts w:ascii="Tw Cen MT" w:eastAsia="Tw Cen MT" w:hAnsi="Tw Cen MT" w:cs="Tw Cen MT"/>
          <w:b w:val="0"/>
          <w:bCs w:val="0"/>
          <w:sz w:val="18"/>
          <w:szCs w:val="18"/>
        </w:rPr>
        <w:t xml:space="preserve"> (</w:t>
      </w:r>
      <w:r w:rsidRPr="00E60BCE">
        <w:rPr>
          <w:rFonts w:ascii="Tw Cen MT" w:eastAsia="Tw Cen MT" w:hAnsi="Tw Cen MT" w:cs="Tw Cen MT"/>
          <w:b w:val="0"/>
          <w:bCs w:val="0"/>
          <w:sz w:val="18"/>
          <w:szCs w:val="18"/>
        </w:rPr>
        <w:t>EDC</w:t>
      </w:r>
      <w:r w:rsidR="0034141A">
        <w:rPr>
          <w:rFonts w:ascii="Tw Cen MT" w:eastAsia="Tw Cen MT" w:hAnsi="Tw Cen MT" w:cs="Tw Cen MT"/>
          <w:b w:val="0"/>
          <w:bCs w:val="0"/>
          <w:sz w:val="18"/>
          <w:szCs w:val="18"/>
        </w:rPr>
        <w:t>)</w:t>
      </w:r>
      <w:r w:rsidRPr="00E60BCE">
        <w:rPr>
          <w:rFonts w:ascii="Tw Cen MT" w:eastAsia="Tw Cen MT" w:hAnsi="Tw Cen MT" w:cs="Tw Cen MT"/>
          <w:b w:val="0"/>
          <w:bCs w:val="0"/>
          <w:sz w:val="18"/>
          <w:szCs w:val="18"/>
        </w:rPr>
        <w:t xml:space="preserve"> was also done. Six months later, callus formation was observed in a follow-up CT scan and the patient revealed limited fifth finger flexion with maintained strength, exhibiting no limitations in his daily activities. Conclusion &amp; Significance: In complex metacarpal fractures with segmental bone loss, early bone grafting and internal fixation are crucial for restoring the normal integrity of the skeleton. Overall intrinsic muscle function is preserved, promoting better outcomes of active range of motion, grip strength and decreased morbidity often associated with these devastating injuries. This type of fracture can raise questions about the indications and treatment options available, when is the best time for bone grafting and what are the complications of iliac bone grafting for metacarpal defects.</w:t>
      </w:r>
      <w:r w:rsidR="00A9710C">
        <w:rPr>
          <w:b w:val="0"/>
        </w:rPr>
        <w:br w:type="column"/>
      </w:r>
      <w:r w:rsidR="00A9710C">
        <w:rPr>
          <w:color w:val="BF5A14"/>
        </w:rPr>
        <w:t>Image</w:t>
      </w:r>
      <w:r w:rsidR="00A9710C">
        <w:rPr>
          <w:noProof/>
          <w:lang w:val="en-IN" w:eastAsia="en-IN"/>
        </w:rPr>
        <w:drawing>
          <wp:anchor distT="0" distB="0" distL="0" distR="0" simplePos="0" relativeHeight="251658240" behindDoc="0" locked="0" layoutInCell="1" allowOverlap="1" wp14:anchorId="52E44590" wp14:editId="59B3D1E9">
            <wp:simplePos x="0" y="0"/>
            <wp:positionH relativeFrom="page">
              <wp:posOffset>3872230</wp:posOffset>
            </wp:positionH>
            <wp:positionV relativeFrom="paragraph">
              <wp:posOffset>254635</wp:posOffset>
            </wp:positionV>
            <wp:extent cx="3235325" cy="1383030"/>
            <wp:effectExtent l="0" t="0" r="3175" b="127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5325" cy="1383030"/>
                    </a:xfrm>
                    <a:prstGeom prst="rect">
                      <a:avLst/>
                    </a:prstGeom>
                  </pic:spPr>
                </pic:pic>
              </a:graphicData>
            </a:graphic>
            <wp14:sizeRelV relativeFrom="margin">
              <wp14:pctHeight>0</wp14:pctHeight>
            </wp14:sizeRelV>
          </wp:anchor>
        </w:drawing>
      </w:r>
      <w:r w:rsidR="005973B9">
        <w:rPr>
          <w:color w:val="BF5A14"/>
        </w:rPr>
        <w:br/>
      </w:r>
    </w:p>
    <w:p w14:paraId="00670EA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1F2B61A" w14:textId="77777777" w:rsidR="00E60BCE" w:rsidRDefault="00D62425">
      <w:pPr>
        <w:pStyle w:val="Corpodetexto"/>
        <w:rPr>
          <w:rFonts w:ascii="Calibri"/>
          <w:sz w:val="20"/>
        </w:rPr>
      </w:pPr>
      <w:r>
        <w:rPr>
          <w:rFonts w:ascii="Calibri"/>
          <w:sz w:val="20"/>
        </w:rPr>
        <w:t xml:space="preserve">                </w:t>
      </w:r>
    </w:p>
    <w:p w14:paraId="0CA99627" w14:textId="32DF0C96" w:rsidR="00AE3E37" w:rsidRPr="00D62425" w:rsidRDefault="00D62425">
      <w:pPr>
        <w:pStyle w:val="Corpodetexto"/>
        <w:rPr>
          <w:rFonts w:ascii="Calibri"/>
          <w:b/>
          <w:sz w:val="20"/>
        </w:rPr>
      </w:pPr>
      <w:r>
        <w:rPr>
          <w:rFonts w:ascii="Calibri"/>
          <w:sz w:val="20"/>
        </w:rPr>
        <w:t xml:space="preserve"> </w:t>
      </w:r>
      <w:r w:rsidRPr="00D62425">
        <w:rPr>
          <w:rFonts w:ascii="Calibri"/>
          <w:b/>
          <w:sz w:val="20"/>
        </w:rPr>
        <w:t>Photograph</w:t>
      </w:r>
    </w:p>
    <w:p w14:paraId="60F21136"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2B196113" wp14:editId="07ADD18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5D5AA6"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18B31EE"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324CB1D1" wp14:editId="434E5D1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407428B" w14:textId="1191463D" w:rsidR="00AE3E37" w:rsidRDefault="00E60BCE">
      <w:pPr>
        <w:spacing w:before="41" w:line="154" w:lineRule="exact"/>
        <w:ind w:left="213" w:right="231"/>
        <w:jc w:val="both"/>
        <w:rPr>
          <w:rFonts w:ascii="Arial"/>
          <w:sz w:val="14"/>
        </w:rPr>
      </w:pPr>
      <w:r>
        <w:rPr>
          <w:rFonts w:ascii="Arial" w:hAnsi="Arial" w:cs="Arial"/>
          <w:color w:val="000000"/>
          <w:sz w:val="14"/>
          <w:szCs w:val="14"/>
        </w:rPr>
        <w:t xml:space="preserve">I’m a </w:t>
      </w:r>
      <w:r>
        <w:rPr>
          <w:rFonts w:ascii="Arial" w:hAnsi="Arial" w:cs="Arial"/>
          <w:color w:val="000000"/>
          <w:sz w:val="14"/>
          <w:szCs w:val="14"/>
        </w:rPr>
        <w:t>first-year</w:t>
      </w:r>
      <w:r>
        <w:rPr>
          <w:rFonts w:ascii="Arial" w:hAnsi="Arial" w:cs="Arial"/>
          <w:color w:val="000000"/>
          <w:sz w:val="14"/>
          <w:szCs w:val="14"/>
        </w:rPr>
        <w:t xml:space="preserve"> orthopedic resident in </w:t>
      </w:r>
      <w:proofErr w:type="spellStart"/>
      <w:r>
        <w:rPr>
          <w:rFonts w:ascii="Arial" w:hAnsi="Arial" w:cs="Arial"/>
          <w:color w:val="000000"/>
          <w:sz w:val="14"/>
          <w:szCs w:val="14"/>
        </w:rPr>
        <w:t>Unidade</w:t>
      </w:r>
      <w:proofErr w:type="spellEnd"/>
      <w:r>
        <w:rPr>
          <w:rFonts w:ascii="Arial" w:hAnsi="Arial" w:cs="Arial"/>
          <w:color w:val="000000"/>
          <w:sz w:val="14"/>
          <w:szCs w:val="14"/>
        </w:rPr>
        <w:t xml:space="preserve"> Local de </w:t>
      </w:r>
      <w:proofErr w:type="spellStart"/>
      <w:r>
        <w:rPr>
          <w:rFonts w:ascii="Arial" w:hAnsi="Arial" w:cs="Arial"/>
          <w:color w:val="000000"/>
          <w:sz w:val="14"/>
          <w:szCs w:val="14"/>
        </w:rPr>
        <w:t>Saúde</w:t>
      </w:r>
      <w:proofErr w:type="spellEnd"/>
      <w:r>
        <w:rPr>
          <w:rFonts w:ascii="Arial" w:hAnsi="Arial" w:cs="Arial"/>
          <w:color w:val="000000"/>
          <w:sz w:val="14"/>
          <w:szCs w:val="14"/>
        </w:rPr>
        <w:t xml:space="preserve"> in </w:t>
      </w:r>
      <w:proofErr w:type="spellStart"/>
      <w:r>
        <w:rPr>
          <w:rFonts w:ascii="Arial" w:hAnsi="Arial" w:cs="Arial"/>
          <w:color w:val="000000"/>
          <w:sz w:val="14"/>
          <w:szCs w:val="14"/>
        </w:rPr>
        <w:t>Matosinhos</w:t>
      </w:r>
      <w:proofErr w:type="spellEnd"/>
      <w:r>
        <w:rPr>
          <w:rFonts w:ascii="Arial" w:hAnsi="Arial" w:cs="Arial"/>
          <w:color w:val="000000"/>
          <w:sz w:val="14"/>
          <w:szCs w:val="14"/>
        </w:rPr>
        <w:t xml:space="preserve">, Porto, Portugal with interest in </w:t>
      </w:r>
      <w:proofErr w:type="spellStart"/>
      <w:r>
        <w:rPr>
          <w:rFonts w:ascii="Arial" w:hAnsi="Arial" w:cs="Arial"/>
          <w:color w:val="000000"/>
          <w:sz w:val="14"/>
          <w:szCs w:val="14"/>
        </w:rPr>
        <w:t>Orthopaedic</w:t>
      </w:r>
      <w:proofErr w:type="spellEnd"/>
      <w:r>
        <w:rPr>
          <w:rFonts w:ascii="Arial" w:hAnsi="Arial" w:cs="Arial"/>
          <w:color w:val="000000"/>
          <w:sz w:val="14"/>
          <w:szCs w:val="14"/>
        </w:rPr>
        <w:t xml:space="preserve"> Traumatology, </w:t>
      </w:r>
      <w:proofErr w:type="spellStart"/>
      <w:r>
        <w:rPr>
          <w:rFonts w:ascii="Arial" w:hAnsi="Arial" w:cs="Arial"/>
          <w:color w:val="000000"/>
          <w:sz w:val="14"/>
          <w:szCs w:val="14"/>
        </w:rPr>
        <w:t>specially</w:t>
      </w:r>
      <w:proofErr w:type="spellEnd"/>
      <w:r>
        <w:rPr>
          <w:rFonts w:ascii="Arial" w:hAnsi="Arial" w:cs="Arial"/>
          <w:color w:val="000000"/>
          <w:sz w:val="14"/>
          <w:szCs w:val="14"/>
        </w:rPr>
        <w:t xml:space="preserve"> in hand trauma.</w:t>
      </w:r>
    </w:p>
    <w:p w14:paraId="7590821E" w14:textId="415D627F" w:rsidR="00AE3E37" w:rsidRDefault="00A9710C">
      <w:pPr>
        <w:spacing w:before="62"/>
        <w:ind w:left="4217" w:right="4235"/>
        <w:jc w:val="center"/>
        <w:rPr>
          <w:rFonts w:ascii="Arial"/>
          <w:sz w:val="14"/>
        </w:rPr>
      </w:pPr>
      <w:r>
        <w:rPr>
          <w:rFonts w:ascii="Arial"/>
          <w:sz w:val="14"/>
        </w:rPr>
        <w:t>Ema</w:t>
      </w:r>
      <w:r w:rsidR="00E60BCE">
        <w:rPr>
          <w:rFonts w:ascii="Arial"/>
          <w:sz w:val="14"/>
        </w:rPr>
        <w:t xml:space="preserve">il: </w:t>
      </w:r>
      <w:r w:rsidR="00E60BCE">
        <w:rPr>
          <w:rFonts w:ascii="Arial" w:hAnsi="Arial" w:cs="Arial"/>
          <w:color w:val="000000"/>
          <w:sz w:val="14"/>
          <w:szCs w:val="14"/>
        </w:rPr>
        <w:t>josemiguelssacosta@gmail.com</w:t>
      </w:r>
    </w:p>
    <w:p w14:paraId="43DCBEDF" w14:textId="77777777"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0571899" wp14:editId="1857711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4EB0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0693422A" w14:textId="77777777" w:rsidR="00AE3E37" w:rsidRDefault="00AE3E37">
      <w:pPr>
        <w:pStyle w:val="Corpodetexto"/>
        <w:rPr>
          <w:rFonts w:ascii="Arial"/>
          <w:sz w:val="20"/>
        </w:rPr>
      </w:pPr>
    </w:p>
    <w:p w14:paraId="5A5DEDDE" w14:textId="77777777" w:rsidR="00AE3E37" w:rsidRDefault="00AE3E37">
      <w:pPr>
        <w:pStyle w:val="Corpodetexto"/>
        <w:rPr>
          <w:rFonts w:ascii="Arial"/>
          <w:sz w:val="20"/>
        </w:rPr>
      </w:pPr>
    </w:p>
    <w:p w14:paraId="607B48B8" w14:textId="77777777" w:rsidR="00AE3E37" w:rsidRDefault="00AE3E37">
      <w:pPr>
        <w:pStyle w:val="Corpodetexto"/>
        <w:spacing w:before="7"/>
        <w:rPr>
          <w:rFonts w:ascii="Arial"/>
          <w:sz w:val="29"/>
        </w:rPr>
      </w:pPr>
    </w:p>
    <w:p w14:paraId="74A1AA56" w14:textId="77777777" w:rsidR="00AE3E37" w:rsidRPr="00B21A57" w:rsidRDefault="00A9710C">
      <w:pPr>
        <w:spacing w:before="39"/>
        <w:ind w:left="100"/>
        <w:rPr>
          <w:rFonts w:ascii="Minion Pro"/>
          <w:b/>
          <w:sz w:val="20"/>
        </w:rPr>
      </w:pPr>
      <w:r w:rsidRPr="00B21A57">
        <w:rPr>
          <w:rFonts w:ascii="Minion Pro"/>
          <w:b/>
          <w:sz w:val="20"/>
        </w:rPr>
        <w:t>Notes/Comments:</w:t>
      </w:r>
    </w:p>
    <w:p w14:paraId="791089D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A8607C2"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3DF05" w14:textId="77777777" w:rsidR="009C37A1" w:rsidRDefault="009C37A1">
      <w:r>
        <w:separator/>
      </w:r>
    </w:p>
  </w:endnote>
  <w:endnote w:type="continuationSeparator" w:id="0">
    <w:p w14:paraId="4B2E20D1" w14:textId="77777777" w:rsidR="009C37A1" w:rsidRDefault="009C3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6F8C5"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EB71389" wp14:editId="007558F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059E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94AAC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B7138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065059E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94AAC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0E1FE3A" wp14:editId="68E2C76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6C65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535AB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1FE3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10E6C65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535AB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F08483E" wp14:editId="5BC84CE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5D8C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0EADF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8483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355D8C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0EADF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1A8EA" w14:textId="77777777" w:rsidR="009C37A1" w:rsidRDefault="009C37A1">
      <w:r>
        <w:separator/>
      </w:r>
    </w:p>
  </w:footnote>
  <w:footnote w:type="continuationSeparator" w:id="0">
    <w:p w14:paraId="2C411819" w14:textId="77777777" w:rsidR="009C37A1" w:rsidRDefault="009C3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5E0E6"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3FD7F5E" wp14:editId="1F0C0D7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A7C8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FD7F5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2E3A7C8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C6C8F27" wp14:editId="5BBCA29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C92D7"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19F53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C8F2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007C92D7"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19F53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711686159">
    <w:abstractNumId w:val="0"/>
  </w:num>
  <w:num w:numId="2" w16cid:durableId="800422838">
    <w:abstractNumId w:val="1"/>
  </w:num>
  <w:num w:numId="3" w16cid:durableId="91227995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4141A"/>
    <w:rsid w:val="003B76D9"/>
    <w:rsid w:val="00404E5B"/>
    <w:rsid w:val="00414F7B"/>
    <w:rsid w:val="004355DC"/>
    <w:rsid w:val="004749B4"/>
    <w:rsid w:val="00494130"/>
    <w:rsid w:val="004F3523"/>
    <w:rsid w:val="005973B9"/>
    <w:rsid w:val="005B3A56"/>
    <w:rsid w:val="006060CE"/>
    <w:rsid w:val="0063497F"/>
    <w:rsid w:val="0078738A"/>
    <w:rsid w:val="00873DF0"/>
    <w:rsid w:val="008756E6"/>
    <w:rsid w:val="008834B0"/>
    <w:rsid w:val="009B2D44"/>
    <w:rsid w:val="009C37A1"/>
    <w:rsid w:val="00A07E82"/>
    <w:rsid w:val="00A9710C"/>
    <w:rsid w:val="00AC4F15"/>
    <w:rsid w:val="00AE3E37"/>
    <w:rsid w:val="00B21A57"/>
    <w:rsid w:val="00BA6D6F"/>
    <w:rsid w:val="00C33602"/>
    <w:rsid w:val="00CD6F55"/>
    <w:rsid w:val="00D52977"/>
    <w:rsid w:val="00D62425"/>
    <w:rsid w:val="00DE3104"/>
    <w:rsid w:val="00E11AC2"/>
    <w:rsid w:val="00E60BCE"/>
    <w:rsid w:val="00F36617"/>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314BB1"/>
  <w15:docId w15:val="{3978628F-DC1F-2645-8EBE-4EDA84E8E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ter"/>
    <w:uiPriority w:val="99"/>
    <w:unhideWhenUsed/>
    <w:rsid w:val="005B3A56"/>
    <w:pPr>
      <w:tabs>
        <w:tab w:val="center" w:pos="4513"/>
        <w:tab w:val="right" w:pos="9026"/>
      </w:tabs>
    </w:pPr>
  </w:style>
  <w:style w:type="character" w:customStyle="1" w:styleId="CabealhoCarter">
    <w:name w:val="Cabeçalho Cará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ter"/>
    <w:uiPriority w:val="99"/>
    <w:unhideWhenUsed/>
    <w:rsid w:val="005B3A56"/>
    <w:pPr>
      <w:tabs>
        <w:tab w:val="center" w:pos="4513"/>
        <w:tab w:val="right" w:pos="9026"/>
      </w:tabs>
    </w:pPr>
  </w:style>
  <w:style w:type="character" w:customStyle="1" w:styleId="RodapCarter">
    <w:name w:val="Rodapé Cará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ter"/>
    <w:uiPriority w:val="99"/>
    <w:semiHidden/>
    <w:unhideWhenUsed/>
    <w:rsid w:val="004F3523"/>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F3523"/>
    <w:rPr>
      <w:rFonts w:ascii="Tahoma" w:eastAsia="Tw Cen MT" w:hAnsi="Tahoma" w:cs="Tahoma"/>
      <w:sz w:val="16"/>
      <w:szCs w:val="16"/>
    </w:rPr>
  </w:style>
  <w:style w:type="character" w:styleId="Hiperligao">
    <w:name w:val="Hyperlink"/>
    <w:basedOn w:val="Tipodeletrapredefinidodopargrafo"/>
    <w:uiPriority w:val="99"/>
    <w:unhideWhenUsed/>
    <w:rsid w:val="008756E6"/>
    <w:rPr>
      <w:color w:val="0000FF" w:themeColor="hyperlink"/>
      <w:u w:val="single"/>
    </w:rPr>
  </w:style>
  <w:style w:type="character" w:customStyle="1" w:styleId="CorpodetextoCarter">
    <w:name w:val="Corpo de texto Caráter"/>
    <w:basedOn w:val="Tipodeletrapredefinidodopargrafo"/>
    <w:link w:val="Corpodetexto"/>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E11AC2"/>
    <w:pPr>
      <w:widowControl/>
      <w:spacing w:before="100" w:beforeAutospacing="1" w:after="100" w:afterAutospacing="1"/>
    </w:pPr>
    <w:rPr>
      <w:rFonts w:ascii="Times New Roman" w:eastAsia="Times New Roman" w:hAnsi="Times New Roman" w:cs="Times New Roman"/>
      <w:sz w:val="24"/>
      <w:szCs w:val="24"/>
      <w:lang w:val="pt-US"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82384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24663949">
      <w:bodyDiv w:val="1"/>
      <w:marLeft w:val="0"/>
      <w:marRight w:val="0"/>
      <w:marTop w:val="0"/>
      <w:marBottom w:val="0"/>
      <w:divBdr>
        <w:top w:val="none" w:sz="0" w:space="0" w:color="auto"/>
        <w:left w:val="none" w:sz="0" w:space="0" w:color="auto"/>
        <w:bottom w:val="none" w:sz="0" w:space="0" w:color="auto"/>
        <w:right w:val="none" w:sz="0" w:space="0" w:color="auto"/>
      </w:divBdr>
    </w:div>
    <w:div w:id="1287352830">
      <w:bodyDiv w:val="1"/>
      <w:marLeft w:val="0"/>
      <w:marRight w:val="0"/>
      <w:marTop w:val="0"/>
      <w:marBottom w:val="0"/>
      <w:divBdr>
        <w:top w:val="none" w:sz="0" w:space="0" w:color="auto"/>
        <w:left w:val="none" w:sz="0" w:space="0" w:color="auto"/>
        <w:bottom w:val="none" w:sz="0" w:space="0" w:color="auto"/>
        <w:right w:val="none" w:sz="0" w:space="0" w:color="auto"/>
      </w:divBdr>
    </w:div>
    <w:div w:id="133583991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866101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431</Words>
  <Characters>2331</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A2015213</cp:lastModifiedBy>
  <cp:revision>3</cp:revision>
  <dcterms:created xsi:type="dcterms:W3CDTF">2023-02-09T21:52:00Z</dcterms:created>
  <dcterms:modified xsi:type="dcterms:W3CDTF">2023-02-09T21:55:00Z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