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856" w:rsidRPr="00D30856" w:rsidRDefault="00D30856" w:rsidP="00D30856">
      <w:pPr>
        <w:spacing w:line="480" w:lineRule="auto"/>
        <w:jc w:val="both"/>
        <w:rPr>
          <w:rFonts w:asciiTheme="majorBidi" w:hAnsiTheme="majorBidi" w:cstheme="majorBidi"/>
          <w:b/>
          <w:bCs/>
          <w:sz w:val="24"/>
          <w:szCs w:val="24"/>
        </w:rPr>
      </w:pPr>
      <w:r w:rsidRPr="00D30856">
        <w:rPr>
          <w:rFonts w:asciiTheme="majorBidi" w:hAnsiTheme="majorBidi" w:cstheme="majorBidi"/>
          <w:b/>
          <w:bCs/>
          <w:sz w:val="24"/>
          <w:szCs w:val="24"/>
        </w:rPr>
        <w:t>Abstract</w:t>
      </w:r>
      <w:r>
        <w:rPr>
          <w:rFonts w:asciiTheme="majorBidi" w:hAnsiTheme="majorBidi" w:cstheme="majorBidi"/>
          <w:b/>
          <w:bCs/>
          <w:sz w:val="24"/>
          <w:szCs w:val="24"/>
        </w:rPr>
        <w:t>:</w:t>
      </w:r>
      <w:r w:rsidRPr="00D30856">
        <w:rPr>
          <w:rFonts w:asciiTheme="majorBidi" w:hAnsiTheme="majorBidi" w:cstheme="majorBidi"/>
          <w:b/>
          <w:bCs/>
          <w:sz w:val="24"/>
          <w:szCs w:val="24"/>
        </w:rPr>
        <w:t xml:space="preserve"> </w:t>
      </w:r>
    </w:p>
    <w:p w:rsidR="00D30856" w:rsidRPr="00D30856" w:rsidRDefault="00D30856" w:rsidP="00D30856">
      <w:pPr>
        <w:spacing w:line="480" w:lineRule="auto"/>
        <w:jc w:val="both"/>
        <w:rPr>
          <w:rFonts w:asciiTheme="majorBidi" w:hAnsiTheme="majorBidi" w:cstheme="majorBidi"/>
          <w:sz w:val="24"/>
          <w:szCs w:val="24"/>
        </w:rPr>
      </w:pPr>
      <w:r w:rsidRPr="00D30856">
        <w:rPr>
          <w:rFonts w:asciiTheme="majorBidi" w:hAnsiTheme="majorBidi" w:cstheme="majorBidi"/>
          <w:sz w:val="24"/>
          <w:szCs w:val="24"/>
        </w:rPr>
        <w:t xml:space="preserve">Modeling of land use and land cover (LULC) is a very important tool, particularly in the agricultural field: it allows us to know the potential changes in land area in the future and to con-sider developments in order to prevent probable risks. The idea is to give a representation of probable future situations based on certain assumptions. The objective of this study is to make </w:t>
      </w:r>
      <w:proofErr w:type="spellStart"/>
      <w:r w:rsidRPr="00D30856">
        <w:rPr>
          <w:rFonts w:asciiTheme="majorBidi" w:hAnsiTheme="majorBidi" w:cstheme="majorBidi"/>
          <w:sz w:val="24"/>
          <w:szCs w:val="24"/>
        </w:rPr>
        <w:t>fu-ture</w:t>
      </w:r>
      <w:proofErr w:type="spellEnd"/>
      <w:r w:rsidRPr="00D30856">
        <w:rPr>
          <w:rFonts w:asciiTheme="majorBidi" w:hAnsiTheme="majorBidi" w:cstheme="majorBidi"/>
          <w:sz w:val="24"/>
          <w:szCs w:val="24"/>
        </w:rPr>
        <w:t xml:space="preserve"> predictions in land use and land cover in the watershed "9th April 1947", in the years 2028, 2038 and 2050. Then, the maps obtained with the climate predictions will be integrated into an agro-hydrological model to know the water yield, the sediment yield and the water balance of the studied area by 2050.The future land use and land cover (LULC) scenarios were created using a CA-Markov forecasting model. The results of the simulation of the LULC changes were </w:t>
      </w:r>
      <w:proofErr w:type="spellStart"/>
      <w:r w:rsidRPr="00D30856">
        <w:rPr>
          <w:rFonts w:asciiTheme="majorBidi" w:hAnsiTheme="majorBidi" w:cstheme="majorBidi"/>
          <w:sz w:val="24"/>
          <w:szCs w:val="24"/>
        </w:rPr>
        <w:t>consid-ered</w:t>
      </w:r>
      <w:proofErr w:type="spellEnd"/>
      <w:r w:rsidRPr="00D30856">
        <w:rPr>
          <w:rFonts w:asciiTheme="majorBidi" w:hAnsiTheme="majorBidi" w:cstheme="majorBidi"/>
          <w:sz w:val="24"/>
          <w:szCs w:val="24"/>
        </w:rPr>
        <w:t xml:space="preserve"> satisfactory, as shown by the values obtained from the kappa indices for agreement (</w:t>
      </w:r>
      <w:proofErr w:type="spellStart"/>
      <w:r w:rsidRPr="00D30856">
        <w:rPr>
          <w:rFonts w:asciiTheme="majorBidi" w:hAnsiTheme="majorBidi" w:cstheme="majorBidi"/>
          <w:sz w:val="24"/>
          <w:szCs w:val="24"/>
        </w:rPr>
        <w:t>κstand-ard</w:t>
      </w:r>
      <w:proofErr w:type="spellEnd"/>
      <w:r w:rsidRPr="00D30856">
        <w:rPr>
          <w:rFonts w:asciiTheme="majorBidi" w:hAnsiTheme="majorBidi" w:cstheme="majorBidi"/>
          <w:sz w:val="24"/>
          <w:szCs w:val="24"/>
        </w:rPr>
        <w:t>) = 0.73, kappa for lack of information (</w:t>
      </w:r>
      <w:proofErr w:type="spellStart"/>
      <w:r w:rsidRPr="00D30856">
        <w:rPr>
          <w:rFonts w:asciiTheme="majorBidi" w:hAnsiTheme="majorBidi" w:cstheme="majorBidi"/>
          <w:sz w:val="24"/>
          <w:szCs w:val="24"/>
        </w:rPr>
        <w:t>κno</w:t>
      </w:r>
      <w:proofErr w:type="spellEnd"/>
      <w:r w:rsidRPr="00D30856">
        <w:rPr>
          <w:rFonts w:asciiTheme="majorBidi" w:hAnsiTheme="majorBidi" w:cstheme="majorBidi"/>
          <w:sz w:val="24"/>
          <w:szCs w:val="24"/>
        </w:rPr>
        <w:t>) = 0.76 and kappa for location at grid cell level (</w:t>
      </w:r>
      <w:proofErr w:type="spellStart"/>
      <w:r w:rsidRPr="00D30856">
        <w:rPr>
          <w:rFonts w:asciiTheme="majorBidi" w:hAnsiTheme="majorBidi" w:cstheme="majorBidi"/>
          <w:sz w:val="24"/>
          <w:szCs w:val="24"/>
        </w:rPr>
        <w:t>κlocation</w:t>
      </w:r>
      <w:proofErr w:type="spellEnd"/>
      <w:r w:rsidRPr="00D30856">
        <w:rPr>
          <w:rFonts w:asciiTheme="majorBidi" w:hAnsiTheme="majorBidi" w:cstheme="majorBidi"/>
          <w:sz w:val="24"/>
          <w:szCs w:val="24"/>
        </w:rPr>
        <w:t>) = 0.80. Future scenarios modeled in LULC indicate a decrease in agricultural areas and wetlands, both of which can be seen as a warning of crop loss. There is, on the other hand, an in-crease in forest areas that could be an advantage for the biodiversity of the fauna and flora in the "April 9th 1947</w:t>
      </w:r>
      <w:r w:rsidRPr="00D30856">
        <w:rPr>
          <w:rFonts w:asciiTheme="majorBidi" w:hAnsiTheme="majorBidi" w:cstheme="majorBidi"/>
          <w:sz w:val="24"/>
          <w:szCs w:val="24"/>
        </w:rPr>
        <w:t>” watershed</w:t>
      </w:r>
      <w:r w:rsidRPr="00D30856">
        <w:rPr>
          <w:rFonts w:asciiTheme="majorBidi" w:hAnsiTheme="majorBidi" w:cstheme="majorBidi"/>
          <w:sz w:val="24"/>
          <w:szCs w:val="24"/>
        </w:rPr>
        <w:t>.</w:t>
      </w:r>
    </w:p>
    <w:p w:rsidR="00D30856" w:rsidRDefault="00D30856" w:rsidP="00D30856">
      <w:pPr>
        <w:spacing w:line="480" w:lineRule="auto"/>
        <w:jc w:val="both"/>
        <w:rPr>
          <w:rFonts w:asciiTheme="majorBidi" w:hAnsiTheme="majorBidi" w:cstheme="majorBidi"/>
          <w:sz w:val="24"/>
          <w:szCs w:val="24"/>
        </w:rPr>
      </w:pPr>
      <w:r w:rsidRPr="00D30856">
        <w:rPr>
          <w:rFonts w:asciiTheme="majorBidi" w:hAnsiTheme="majorBidi" w:cstheme="majorBidi"/>
          <w:b/>
          <w:bCs/>
          <w:sz w:val="24"/>
          <w:szCs w:val="24"/>
        </w:rPr>
        <w:t>Keywords:</w:t>
      </w:r>
      <w:r w:rsidRPr="00D30856">
        <w:rPr>
          <w:rFonts w:asciiTheme="majorBidi" w:hAnsiTheme="majorBidi" w:cstheme="majorBidi"/>
          <w:sz w:val="24"/>
          <w:szCs w:val="24"/>
        </w:rPr>
        <w:t xml:space="preserve"> Modeling; CA-Markov; LULC scenarios; Kappa indices; Mediterranean watershed; Northern Morocco.</w:t>
      </w:r>
      <w:r>
        <w:rPr>
          <w:rFonts w:asciiTheme="majorBidi" w:hAnsiTheme="majorBidi" w:cstheme="majorBidi"/>
          <w:sz w:val="24"/>
          <w:szCs w:val="24"/>
        </w:rPr>
        <w:br w:type="page"/>
      </w:r>
    </w:p>
    <w:p w:rsidR="006F65BF" w:rsidRDefault="00D30856" w:rsidP="00D30856">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Graphical A</w:t>
      </w:r>
      <w:r w:rsidRPr="00D30856">
        <w:rPr>
          <w:rFonts w:asciiTheme="majorBidi" w:hAnsiTheme="majorBidi" w:cstheme="majorBidi"/>
          <w:b/>
          <w:bCs/>
          <w:sz w:val="24"/>
          <w:szCs w:val="24"/>
        </w:rPr>
        <w:t>bstract</w:t>
      </w:r>
      <w:r>
        <w:rPr>
          <w:rFonts w:asciiTheme="majorBidi" w:hAnsiTheme="majorBidi" w:cstheme="majorBidi"/>
          <w:b/>
          <w:bCs/>
          <w:sz w:val="24"/>
          <w:szCs w:val="24"/>
        </w:rPr>
        <w:t>:</w:t>
      </w:r>
      <w:bookmarkStart w:id="0" w:name="_GoBack"/>
      <w:bookmarkEnd w:id="0"/>
    </w:p>
    <w:p w:rsidR="00D30856" w:rsidRPr="00D30856" w:rsidRDefault="00D30856" w:rsidP="00D30856">
      <w:pPr>
        <w:spacing w:line="480" w:lineRule="auto"/>
        <w:jc w:val="both"/>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extent cx="5972810" cy="4615180"/>
            <wp:effectExtent l="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al Abstract MDPI_page-0001-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72810" cy="4615180"/>
                    </a:xfrm>
                    <a:prstGeom prst="rect">
                      <a:avLst/>
                    </a:prstGeom>
                  </pic:spPr>
                </pic:pic>
              </a:graphicData>
            </a:graphic>
          </wp:inline>
        </w:drawing>
      </w:r>
    </w:p>
    <w:sectPr w:rsidR="00D30856" w:rsidRPr="00D3085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856"/>
    <w:rsid w:val="000275AF"/>
    <w:rsid w:val="00646824"/>
    <w:rsid w:val="00663343"/>
    <w:rsid w:val="00D30856"/>
    <w:rsid w:val="00EE12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49255"/>
  <w15:chartTrackingRefBased/>
  <w15:docId w15:val="{E0AB7423-5687-414A-8CEF-72B51E241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2023-06-14T15:35:00Z</dcterms:created>
  <dcterms:modified xsi:type="dcterms:W3CDTF">2023-06-14T15:43:00Z</dcterms:modified>
</cp:coreProperties>
</file>