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0CC" w:rsidRPr="005C00CC" w:rsidRDefault="005C00CC" w:rsidP="00D832AB">
      <w:pPr>
        <w:pStyle w:val="a3"/>
        <w:shd w:val="clear" w:color="auto" w:fill="FFFFFF"/>
        <w:ind w:firstLine="708"/>
        <w:jc w:val="center"/>
        <w:rPr>
          <w:color w:val="000000"/>
          <w:sz w:val="28"/>
          <w:szCs w:val="28"/>
          <w:lang w:val="en-US"/>
        </w:rPr>
      </w:pPr>
      <w:r w:rsidRPr="005C00CC">
        <w:rPr>
          <w:color w:val="000000"/>
          <w:sz w:val="28"/>
          <w:szCs w:val="28"/>
          <w:lang w:val="en-US"/>
        </w:rPr>
        <w:t>CLINICAL-EPIDEMIOLOGICAL ANALYSIS OF DATA OF HIV-INFECTED CHILDREN.</w:t>
      </w:r>
    </w:p>
    <w:p w:rsidR="00D832AB" w:rsidRPr="005C00CC" w:rsidRDefault="005C00CC" w:rsidP="00D832AB">
      <w:pPr>
        <w:pStyle w:val="a3"/>
        <w:shd w:val="clear" w:color="auto" w:fill="FFFFFF"/>
        <w:ind w:firstLine="708"/>
        <w:jc w:val="center"/>
        <w:rPr>
          <w:rFonts w:ascii="Arial" w:hAnsi="Arial" w:cs="Arial"/>
          <w:color w:val="000000"/>
          <w:sz w:val="23"/>
          <w:szCs w:val="23"/>
          <w:lang w:val="en-US"/>
        </w:rPr>
      </w:pPr>
      <w:r>
        <w:rPr>
          <w:color w:val="000000"/>
          <w:sz w:val="28"/>
          <w:szCs w:val="28"/>
          <w:lang w:val="en-US"/>
        </w:rPr>
        <w:t>Khudoykulova G.K.</w:t>
      </w:r>
      <w:r w:rsidR="00D832AB" w:rsidRPr="005C00CC">
        <w:rPr>
          <w:color w:val="000000"/>
          <w:sz w:val="28"/>
          <w:szCs w:val="28"/>
          <w:lang w:val="en-US"/>
        </w:rPr>
        <w:t xml:space="preserve">, </w:t>
      </w:r>
      <w:r>
        <w:rPr>
          <w:color w:val="000000"/>
          <w:sz w:val="28"/>
          <w:szCs w:val="28"/>
          <w:lang w:val="en-US"/>
        </w:rPr>
        <w:t>Rakhmatullaeva Sh.B.</w:t>
      </w:r>
    </w:p>
    <w:p w:rsidR="005C00CC" w:rsidRPr="005C00CC" w:rsidRDefault="005C00CC" w:rsidP="005C00CC">
      <w:pPr>
        <w:spacing w:line="36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C00C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Tashkent Medical Academy, Tashkent, Uzbekistan</w:t>
      </w:r>
    </w:p>
    <w:p w:rsidR="005C00CC" w:rsidRPr="005C00CC" w:rsidRDefault="005C00CC" w:rsidP="00D832AB">
      <w:pPr>
        <w:pStyle w:val="a3"/>
        <w:shd w:val="clear" w:color="auto" w:fill="FFFFFF"/>
        <w:ind w:firstLine="708"/>
        <w:jc w:val="both"/>
        <w:rPr>
          <w:sz w:val="28"/>
          <w:szCs w:val="28"/>
          <w:lang w:val="en-US"/>
        </w:rPr>
      </w:pPr>
      <w:r w:rsidRPr="005C00CC">
        <w:rPr>
          <w:sz w:val="28"/>
          <w:szCs w:val="28"/>
          <w:lang w:val="en-US"/>
        </w:rPr>
        <w:t>Despite the progress made in the study of clinic, pathogenesis and therapy of HIV infection, since its discovery in 1981 to the present time, the human immunodeficiency virus (HIV) is a global problem of humanity and one of the greatest and fearsome mysteries of nature.</w:t>
      </w:r>
    </w:p>
    <w:p w:rsidR="005C00CC" w:rsidRPr="005C00CC" w:rsidRDefault="005C00CC" w:rsidP="00D832AB">
      <w:pPr>
        <w:pStyle w:val="a3"/>
        <w:shd w:val="clear" w:color="auto" w:fill="FFFFFF"/>
        <w:ind w:firstLine="708"/>
        <w:jc w:val="both"/>
        <w:rPr>
          <w:color w:val="000000"/>
          <w:sz w:val="28"/>
          <w:szCs w:val="28"/>
          <w:lang w:val="uz-Cyrl-UZ"/>
        </w:rPr>
      </w:pPr>
      <w:r w:rsidRPr="005C00CC">
        <w:rPr>
          <w:color w:val="000000"/>
          <w:sz w:val="28"/>
          <w:szCs w:val="28"/>
          <w:lang w:val="uz-Cyrl-UZ"/>
        </w:rPr>
        <w:t xml:space="preserve">The study included </w:t>
      </w:r>
      <w:r>
        <w:rPr>
          <w:color w:val="000000"/>
          <w:sz w:val="28"/>
          <w:szCs w:val="28"/>
          <w:lang w:val="en-US"/>
        </w:rPr>
        <w:t xml:space="preserve"> </w:t>
      </w:r>
      <w:r w:rsidRPr="005C00CC">
        <w:rPr>
          <w:color w:val="000000"/>
          <w:sz w:val="28"/>
          <w:szCs w:val="28"/>
          <w:lang w:val="uz-Cyrl-UZ"/>
        </w:rPr>
        <w:t>60 children with HIV infection receiving antiretroviral therapy (</w:t>
      </w:r>
      <w:r>
        <w:rPr>
          <w:color w:val="000000"/>
          <w:sz w:val="28"/>
          <w:szCs w:val="28"/>
          <w:lang w:val="en-US"/>
        </w:rPr>
        <w:t>ART</w:t>
      </w:r>
      <w:r w:rsidRPr="005C00CC">
        <w:rPr>
          <w:color w:val="000000"/>
          <w:sz w:val="28"/>
          <w:szCs w:val="28"/>
          <w:lang w:val="uz-Cyrl-UZ"/>
        </w:rPr>
        <w:t xml:space="preserve">). The children were under medical surveillance in the Republican Center </w:t>
      </w:r>
      <w:r>
        <w:rPr>
          <w:color w:val="000000"/>
          <w:sz w:val="28"/>
          <w:szCs w:val="28"/>
          <w:lang w:val="en-US"/>
        </w:rPr>
        <w:t>for</w:t>
      </w:r>
      <w:r w:rsidRPr="005C00CC">
        <w:rPr>
          <w:color w:val="000000"/>
          <w:sz w:val="28"/>
          <w:szCs w:val="28"/>
          <w:lang w:val="uz-Cyrl-UZ"/>
        </w:rPr>
        <w:t xml:space="preserve"> AIDS</w:t>
      </w:r>
      <w:r>
        <w:rPr>
          <w:color w:val="000000"/>
          <w:sz w:val="28"/>
          <w:szCs w:val="28"/>
          <w:lang w:val="en-US"/>
        </w:rPr>
        <w:t xml:space="preserve"> Control</w:t>
      </w:r>
      <w:r w:rsidRPr="005C00CC">
        <w:rPr>
          <w:color w:val="000000"/>
          <w:sz w:val="28"/>
          <w:szCs w:val="28"/>
          <w:lang w:val="uz-Cyrl-UZ"/>
        </w:rPr>
        <w:t xml:space="preserve">. The diagnosis was established based on clinical and laboratory data in accordance with the order of MOH of </w:t>
      </w:r>
      <w:r>
        <w:rPr>
          <w:color w:val="000000"/>
          <w:sz w:val="28"/>
          <w:szCs w:val="28"/>
          <w:lang w:val="en-US"/>
        </w:rPr>
        <w:t xml:space="preserve">the Republic of Uzbekistan </w:t>
      </w:r>
      <w:r w:rsidRPr="005C00CC">
        <w:rPr>
          <w:color w:val="000000"/>
          <w:sz w:val="28"/>
          <w:szCs w:val="28"/>
          <w:lang w:val="uz-Cyrl-UZ"/>
        </w:rPr>
        <w:t xml:space="preserve">No. 81 </w:t>
      </w:r>
      <w:r>
        <w:rPr>
          <w:color w:val="000000"/>
          <w:sz w:val="28"/>
          <w:szCs w:val="28"/>
          <w:lang w:val="en-US"/>
        </w:rPr>
        <w:t>dated</w:t>
      </w:r>
      <w:r w:rsidRPr="005C00CC">
        <w:rPr>
          <w:color w:val="000000"/>
          <w:sz w:val="28"/>
          <w:szCs w:val="28"/>
          <w:lang w:val="uz-Cyrl-UZ"/>
        </w:rPr>
        <w:t xml:space="preserve"> 5.03.2015. Of enrolled children 61.6 </w:t>
      </w:r>
      <w:r>
        <w:rPr>
          <w:color w:val="000000"/>
          <w:sz w:val="28"/>
          <w:szCs w:val="28"/>
          <w:lang w:val="en-US"/>
        </w:rPr>
        <w:t>%</w:t>
      </w:r>
      <w:r w:rsidRPr="005C00CC">
        <w:rPr>
          <w:color w:val="000000"/>
          <w:sz w:val="28"/>
          <w:szCs w:val="28"/>
          <w:lang w:val="uz-Cyrl-UZ"/>
        </w:rPr>
        <w:t xml:space="preserve">t were boys (37 children) and 38.3% were girls (23 children). The average age of the patients was 12.2±1,9. Path of </w:t>
      </w:r>
      <w:r>
        <w:rPr>
          <w:color w:val="000000"/>
          <w:sz w:val="28"/>
          <w:szCs w:val="28"/>
          <w:lang w:val="en-US"/>
        </w:rPr>
        <w:t xml:space="preserve">infection </w:t>
      </w:r>
      <w:r w:rsidRPr="005C00CC">
        <w:rPr>
          <w:color w:val="000000"/>
          <w:sz w:val="28"/>
          <w:szCs w:val="28"/>
          <w:lang w:val="uz-Cyrl-UZ"/>
        </w:rPr>
        <w:t xml:space="preserve">transmission: perinatal in 35% (n-21), </w:t>
      </w:r>
      <w:r>
        <w:rPr>
          <w:color w:val="000000"/>
          <w:sz w:val="28"/>
          <w:szCs w:val="28"/>
          <w:lang w:val="en-US"/>
        </w:rPr>
        <w:t>parenteral</w:t>
      </w:r>
      <w:r w:rsidRPr="005C00CC">
        <w:rPr>
          <w:color w:val="000000"/>
          <w:sz w:val="28"/>
          <w:szCs w:val="28"/>
          <w:lang w:val="uz-Cyrl-UZ"/>
        </w:rPr>
        <w:t xml:space="preserve"> - </w:t>
      </w:r>
      <w:r>
        <w:rPr>
          <w:color w:val="000000"/>
          <w:sz w:val="28"/>
          <w:szCs w:val="28"/>
          <w:lang w:val="en-US"/>
        </w:rPr>
        <w:t>in</w:t>
      </w:r>
      <w:r w:rsidRPr="005C00CC">
        <w:rPr>
          <w:color w:val="000000"/>
          <w:sz w:val="28"/>
          <w:szCs w:val="28"/>
          <w:lang w:val="uz-Cyrl-UZ"/>
        </w:rPr>
        <w:t xml:space="preserve"> 31.6% (n-19), unknown source of infection-33,3% (n-20).</w:t>
      </w:r>
    </w:p>
    <w:p w:rsidR="005C00CC" w:rsidRPr="005C00CC" w:rsidRDefault="005C00CC" w:rsidP="00D832AB">
      <w:pPr>
        <w:pStyle w:val="a3"/>
        <w:shd w:val="clear" w:color="auto" w:fill="FFFFFF"/>
        <w:ind w:firstLine="708"/>
        <w:jc w:val="both"/>
        <w:rPr>
          <w:color w:val="000000"/>
          <w:sz w:val="28"/>
          <w:szCs w:val="28"/>
          <w:lang w:val="uz-Cyrl-UZ"/>
        </w:rPr>
      </w:pPr>
      <w:r w:rsidRPr="005C00CC">
        <w:rPr>
          <w:color w:val="000000"/>
          <w:sz w:val="28"/>
          <w:szCs w:val="28"/>
          <w:lang w:val="uz-Cyrl-UZ"/>
        </w:rPr>
        <w:t xml:space="preserve">In accordance with </w:t>
      </w:r>
      <w:r>
        <w:rPr>
          <w:color w:val="000000"/>
          <w:sz w:val="28"/>
          <w:szCs w:val="28"/>
          <w:lang w:val="en-US"/>
        </w:rPr>
        <w:t xml:space="preserve">WHO </w:t>
      </w:r>
      <w:r w:rsidRPr="005C00CC">
        <w:rPr>
          <w:color w:val="000000"/>
          <w:sz w:val="28"/>
          <w:szCs w:val="28"/>
          <w:lang w:val="uz-Cyrl-UZ"/>
        </w:rPr>
        <w:t xml:space="preserve">classification (2012), </w:t>
      </w:r>
      <w:r>
        <w:rPr>
          <w:color w:val="000000"/>
          <w:sz w:val="28"/>
          <w:szCs w:val="28"/>
          <w:lang w:val="en-US"/>
        </w:rPr>
        <w:t xml:space="preserve">the </w:t>
      </w:r>
      <w:r w:rsidRPr="005C00CC">
        <w:rPr>
          <w:color w:val="000000"/>
          <w:sz w:val="28"/>
          <w:szCs w:val="28"/>
          <w:lang w:val="uz-Cyrl-UZ"/>
        </w:rPr>
        <w:t>patients were distributed as follows: clinical stage II - 16 children, stage III-38 children and clinical stage</w:t>
      </w:r>
      <w:r>
        <w:rPr>
          <w:color w:val="000000"/>
          <w:sz w:val="28"/>
          <w:szCs w:val="28"/>
          <w:lang w:val="en-US"/>
        </w:rPr>
        <w:t xml:space="preserve"> </w:t>
      </w:r>
      <w:r w:rsidRPr="005C00CC">
        <w:rPr>
          <w:color w:val="000000"/>
          <w:sz w:val="28"/>
          <w:szCs w:val="28"/>
          <w:lang w:val="uz-Cyrl-UZ"/>
        </w:rPr>
        <w:t>IV -6 children. All the children were examined for the presence of secondary diseases that determine the stage of the disease. Thus, the lymphadenopathy was noted in 35% of cases, tuberculosis in 10%</w:t>
      </w:r>
      <w:r>
        <w:rPr>
          <w:color w:val="000000"/>
          <w:sz w:val="28"/>
          <w:szCs w:val="28"/>
          <w:lang w:val="en-US"/>
        </w:rPr>
        <w:t>,</w:t>
      </w:r>
      <w:r w:rsidRPr="005C00CC">
        <w:rPr>
          <w:color w:val="000000"/>
          <w:sz w:val="28"/>
          <w:szCs w:val="28"/>
          <w:lang w:val="uz-Cyrl-UZ"/>
        </w:rPr>
        <w:t xml:space="preserve"> herpetic infection in 11.6% of children, fungal infections-21,6%, recurrent disease of the upper respiratory tract-35%, chronic hepatitis in 10%</w:t>
      </w:r>
      <w:r>
        <w:rPr>
          <w:color w:val="000000"/>
          <w:sz w:val="28"/>
          <w:szCs w:val="28"/>
          <w:lang w:val="en-US"/>
        </w:rPr>
        <w:t>,</w:t>
      </w:r>
      <w:r w:rsidRPr="005C00CC">
        <w:rPr>
          <w:color w:val="000000"/>
          <w:sz w:val="28"/>
          <w:szCs w:val="28"/>
          <w:lang w:val="uz-Cyrl-UZ"/>
        </w:rPr>
        <w:t xml:space="preserve"> lymphoma </w:t>
      </w:r>
      <w:r>
        <w:rPr>
          <w:color w:val="000000"/>
          <w:sz w:val="28"/>
          <w:szCs w:val="28"/>
          <w:lang w:val="en-US"/>
        </w:rPr>
        <w:t xml:space="preserve">was </w:t>
      </w:r>
      <w:r w:rsidRPr="005C00CC">
        <w:rPr>
          <w:color w:val="000000"/>
          <w:sz w:val="28"/>
          <w:szCs w:val="28"/>
          <w:lang w:val="uz-Cyrl-UZ"/>
        </w:rPr>
        <w:t xml:space="preserve">diagnosed in 5% </w:t>
      </w:r>
      <w:r>
        <w:rPr>
          <w:color w:val="000000"/>
          <w:sz w:val="28"/>
          <w:szCs w:val="28"/>
          <w:lang w:val="en-US"/>
        </w:rPr>
        <w:t>and</w:t>
      </w:r>
      <w:r w:rsidRPr="005C00CC">
        <w:rPr>
          <w:color w:val="000000"/>
          <w:sz w:val="28"/>
          <w:szCs w:val="28"/>
          <w:lang w:val="uz-Cyrl-UZ"/>
        </w:rPr>
        <w:t xml:space="preserve"> hairy leukoplakia </w:t>
      </w:r>
      <w:r>
        <w:rPr>
          <w:color w:val="000000"/>
          <w:sz w:val="28"/>
          <w:szCs w:val="28"/>
          <w:lang w:val="en-US"/>
        </w:rPr>
        <w:t xml:space="preserve">- </w:t>
      </w:r>
      <w:r w:rsidRPr="005C00CC">
        <w:rPr>
          <w:color w:val="000000"/>
          <w:sz w:val="28"/>
          <w:szCs w:val="28"/>
          <w:lang w:val="uz-Cyrl-UZ"/>
        </w:rPr>
        <w:t>in 1.6% of cases.</w:t>
      </w:r>
    </w:p>
    <w:p w:rsidR="005C00CC" w:rsidRPr="005C00CC" w:rsidRDefault="005C00CC" w:rsidP="00D832AB">
      <w:pPr>
        <w:pStyle w:val="a3"/>
        <w:shd w:val="clear" w:color="auto" w:fill="FFFFFF"/>
        <w:ind w:firstLine="708"/>
        <w:jc w:val="both"/>
        <w:rPr>
          <w:color w:val="000000"/>
          <w:sz w:val="28"/>
          <w:szCs w:val="28"/>
          <w:lang w:val="uz-Cyrl-UZ"/>
        </w:rPr>
      </w:pPr>
      <w:r>
        <w:rPr>
          <w:color w:val="000000"/>
          <w:sz w:val="28"/>
          <w:szCs w:val="28"/>
          <w:lang w:val="en-US"/>
        </w:rPr>
        <w:t xml:space="preserve">According to the </w:t>
      </w:r>
      <w:r w:rsidRPr="005C00CC">
        <w:rPr>
          <w:color w:val="000000"/>
          <w:sz w:val="28"/>
          <w:szCs w:val="28"/>
          <w:lang w:val="uz-Cyrl-UZ"/>
        </w:rPr>
        <w:t>level of immunosuppression the patients were divided into three groups: group 1 (n=6)</w:t>
      </w:r>
      <w:r>
        <w:rPr>
          <w:color w:val="000000"/>
          <w:sz w:val="28"/>
          <w:szCs w:val="28"/>
          <w:lang w:val="en-US"/>
        </w:rPr>
        <w:t xml:space="preserve"> -</w:t>
      </w:r>
      <w:r w:rsidRPr="005C00CC">
        <w:rPr>
          <w:color w:val="000000"/>
          <w:sz w:val="28"/>
          <w:szCs w:val="28"/>
          <w:lang w:val="uz-Cyrl-UZ"/>
        </w:rPr>
        <w:t xml:space="preserve"> children with CD4 cell counts less than 200 per cubic mm</w:t>
      </w:r>
      <w:r>
        <w:rPr>
          <w:color w:val="000000"/>
          <w:sz w:val="28"/>
          <w:szCs w:val="28"/>
          <w:lang w:val="en-US"/>
        </w:rPr>
        <w:t xml:space="preserve"> - the</w:t>
      </w:r>
      <w:r w:rsidRPr="005C00CC">
        <w:rPr>
          <w:color w:val="000000"/>
          <w:sz w:val="28"/>
          <w:szCs w:val="28"/>
          <w:lang w:val="uz-Cyrl-UZ"/>
        </w:rPr>
        <w:t xml:space="preserve"> stage of severe immunosuppression according to </w:t>
      </w:r>
      <w:r>
        <w:rPr>
          <w:color w:val="000000"/>
          <w:sz w:val="28"/>
          <w:szCs w:val="28"/>
          <w:lang w:val="en-US"/>
        </w:rPr>
        <w:t xml:space="preserve">WHO </w:t>
      </w:r>
      <w:r w:rsidRPr="005C00CC">
        <w:rPr>
          <w:color w:val="000000"/>
          <w:sz w:val="28"/>
          <w:szCs w:val="28"/>
          <w:lang w:val="uz-Cyrl-UZ"/>
        </w:rPr>
        <w:t>classification. Group 2 (n= 21)</w:t>
      </w:r>
      <w:r>
        <w:rPr>
          <w:color w:val="000000"/>
          <w:sz w:val="28"/>
          <w:szCs w:val="28"/>
          <w:lang w:val="en-US"/>
        </w:rPr>
        <w:t xml:space="preserve"> - </w:t>
      </w:r>
      <w:r w:rsidRPr="005C00CC">
        <w:rPr>
          <w:color w:val="000000"/>
          <w:sz w:val="28"/>
          <w:szCs w:val="28"/>
          <w:lang w:val="uz-Cyrl-UZ"/>
        </w:rPr>
        <w:t>children with CD4 cell counts from 200 to 500 per cubic mm</w:t>
      </w:r>
      <w:r>
        <w:rPr>
          <w:color w:val="000000"/>
          <w:sz w:val="28"/>
          <w:szCs w:val="28"/>
          <w:lang w:val="en-US"/>
        </w:rPr>
        <w:t xml:space="preserve"> - the</w:t>
      </w:r>
      <w:r w:rsidRPr="005C00CC">
        <w:rPr>
          <w:color w:val="000000"/>
          <w:sz w:val="28"/>
          <w:szCs w:val="28"/>
          <w:lang w:val="uz-Cyrl-UZ"/>
        </w:rPr>
        <w:t xml:space="preserve"> stage</w:t>
      </w:r>
      <w:r>
        <w:rPr>
          <w:color w:val="000000"/>
          <w:sz w:val="28"/>
          <w:szCs w:val="28"/>
          <w:lang w:val="en-US"/>
        </w:rPr>
        <w:t xml:space="preserve"> of</w:t>
      </w:r>
      <w:r w:rsidRPr="005C00CC">
        <w:rPr>
          <w:color w:val="000000"/>
          <w:sz w:val="28"/>
          <w:szCs w:val="28"/>
          <w:lang w:val="uz-Cyrl-UZ"/>
        </w:rPr>
        <w:t xml:space="preserve"> moderate immunosuppression according to </w:t>
      </w:r>
      <w:r>
        <w:rPr>
          <w:color w:val="000000"/>
          <w:sz w:val="28"/>
          <w:szCs w:val="28"/>
          <w:lang w:val="en-US"/>
        </w:rPr>
        <w:t>WHO</w:t>
      </w:r>
      <w:r w:rsidRPr="005C00CC">
        <w:rPr>
          <w:color w:val="000000"/>
          <w:sz w:val="28"/>
          <w:szCs w:val="28"/>
          <w:lang w:val="uz-Cyrl-UZ"/>
        </w:rPr>
        <w:t xml:space="preserve"> classification. Finally, group 3 (n=33)- </w:t>
      </w:r>
      <w:r>
        <w:rPr>
          <w:color w:val="000000"/>
          <w:sz w:val="28"/>
          <w:szCs w:val="28"/>
          <w:lang w:val="en-US"/>
        </w:rPr>
        <w:t xml:space="preserve">children </w:t>
      </w:r>
      <w:r w:rsidRPr="005C00CC">
        <w:rPr>
          <w:color w:val="000000"/>
          <w:sz w:val="28"/>
          <w:szCs w:val="28"/>
          <w:lang w:val="uz-Cyrl-UZ"/>
        </w:rPr>
        <w:t xml:space="preserve">with CD4 cell counts of 500 and above </w:t>
      </w:r>
      <w:r>
        <w:rPr>
          <w:color w:val="000000"/>
          <w:sz w:val="28"/>
          <w:szCs w:val="28"/>
          <w:lang w:val="en-US"/>
        </w:rPr>
        <w:t>per</w:t>
      </w:r>
      <w:r w:rsidRPr="005C00CC">
        <w:rPr>
          <w:color w:val="000000"/>
          <w:sz w:val="28"/>
          <w:szCs w:val="28"/>
          <w:lang w:val="uz-Cyrl-UZ"/>
        </w:rPr>
        <w:t xml:space="preserve"> cubic mm.</w:t>
      </w:r>
    </w:p>
    <w:p w:rsidR="001127AF" w:rsidRPr="001127AF" w:rsidRDefault="001127AF" w:rsidP="00180453">
      <w:pPr>
        <w:pStyle w:val="a3"/>
        <w:shd w:val="clear" w:color="auto" w:fill="FFFFFF"/>
        <w:ind w:firstLine="708"/>
        <w:jc w:val="both"/>
        <w:rPr>
          <w:lang w:val="en-US"/>
        </w:rPr>
      </w:pPr>
      <w:r w:rsidRPr="001127AF">
        <w:rPr>
          <w:color w:val="000000"/>
          <w:sz w:val="28"/>
          <w:szCs w:val="28"/>
          <w:lang w:val="en-US"/>
        </w:rPr>
        <w:t>The studies revealed that more than</w:t>
      </w:r>
      <w:r>
        <w:rPr>
          <w:color w:val="000000"/>
          <w:sz w:val="28"/>
          <w:szCs w:val="28"/>
          <w:lang w:val="en-US"/>
        </w:rPr>
        <w:t xml:space="preserve"> in</w:t>
      </w:r>
      <w:r w:rsidRPr="001127AF">
        <w:rPr>
          <w:color w:val="000000"/>
          <w:sz w:val="28"/>
          <w:szCs w:val="28"/>
          <w:lang w:val="en-US"/>
        </w:rPr>
        <w:t xml:space="preserve"> half of patients in all groups generalized lymphadenopathy</w:t>
      </w:r>
      <w:r>
        <w:rPr>
          <w:color w:val="000000"/>
          <w:sz w:val="28"/>
          <w:szCs w:val="28"/>
          <w:lang w:val="en-US"/>
        </w:rPr>
        <w:t xml:space="preserve"> was revealed</w:t>
      </w:r>
      <w:r w:rsidRPr="001127AF">
        <w:rPr>
          <w:color w:val="000000"/>
          <w:sz w:val="28"/>
          <w:szCs w:val="28"/>
          <w:lang w:val="en-US"/>
        </w:rPr>
        <w:t>, but its frequency of occurrence decreased with the progression of immunosuppression. At the same time in group 3, children bacterial infection</w:t>
      </w:r>
      <w:r>
        <w:rPr>
          <w:color w:val="000000"/>
          <w:sz w:val="28"/>
          <w:szCs w:val="28"/>
          <w:lang w:val="en-US"/>
        </w:rPr>
        <w:t xml:space="preserve"> </w:t>
      </w:r>
      <w:r w:rsidRPr="001127AF">
        <w:rPr>
          <w:color w:val="000000"/>
          <w:sz w:val="28"/>
          <w:szCs w:val="28"/>
          <w:lang w:val="en-US"/>
        </w:rPr>
        <w:t>w</w:t>
      </w:r>
      <w:r>
        <w:rPr>
          <w:color w:val="000000"/>
          <w:sz w:val="28"/>
          <w:szCs w:val="28"/>
          <w:lang w:val="en-US"/>
        </w:rPr>
        <w:t>as</w:t>
      </w:r>
      <w:r w:rsidRPr="001127AF">
        <w:rPr>
          <w:color w:val="000000"/>
          <w:sz w:val="28"/>
          <w:szCs w:val="28"/>
          <w:lang w:val="en-US"/>
        </w:rPr>
        <w:t xml:space="preserve"> more often registered, and in  groups</w:t>
      </w:r>
      <w:r>
        <w:rPr>
          <w:color w:val="000000"/>
          <w:sz w:val="28"/>
          <w:szCs w:val="28"/>
          <w:lang w:val="en-US"/>
        </w:rPr>
        <w:t xml:space="preserve"> 1 and 2</w:t>
      </w:r>
      <w:r w:rsidRPr="001127AF">
        <w:rPr>
          <w:color w:val="000000"/>
          <w:sz w:val="28"/>
          <w:szCs w:val="28"/>
          <w:lang w:val="en-US"/>
        </w:rPr>
        <w:t>, along with bacterial</w:t>
      </w:r>
      <w:r>
        <w:rPr>
          <w:color w:val="000000"/>
          <w:sz w:val="28"/>
          <w:szCs w:val="28"/>
          <w:lang w:val="en-US"/>
        </w:rPr>
        <w:t xml:space="preserve"> infection</w:t>
      </w:r>
      <w:r w:rsidRPr="001127AF">
        <w:rPr>
          <w:color w:val="000000"/>
          <w:sz w:val="28"/>
          <w:szCs w:val="28"/>
          <w:lang w:val="en-US"/>
        </w:rPr>
        <w:t xml:space="preserve">, </w:t>
      </w:r>
      <w:r>
        <w:rPr>
          <w:color w:val="000000"/>
          <w:sz w:val="28"/>
          <w:szCs w:val="28"/>
          <w:lang w:val="en-US"/>
        </w:rPr>
        <w:t xml:space="preserve">the </w:t>
      </w:r>
      <w:r w:rsidRPr="001127AF">
        <w:rPr>
          <w:color w:val="000000"/>
          <w:sz w:val="28"/>
          <w:szCs w:val="28"/>
          <w:lang w:val="en-US"/>
        </w:rPr>
        <w:t>frequency of viral infections and candidiasis</w:t>
      </w:r>
      <w:r>
        <w:rPr>
          <w:color w:val="000000"/>
          <w:sz w:val="28"/>
          <w:szCs w:val="28"/>
          <w:lang w:val="en-US"/>
        </w:rPr>
        <w:t xml:space="preserve"> </w:t>
      </w:r>
      <w:r w:rsidRPr="001127AF">
        <w:rPr>
          <w:color w:val="000000"/>
          <w:sz w:val="28"/>
          <w:szCs w:val="28"/>
          <w:lang w:val="en-US"/>
        </w:rPr>
        <w:t>increased</w:t>
      </w:r>
      <w:r w:rsidRPr="001127AF">
        <w:rPr>
          <w:lang w:val="en-US"/>
        </w:rPr>
        <w:t>.</w:t>
      </w:r>
    </w:p>
    <w:sectPr w:rsidR="001127AF" w:rsidRPr="001127AF" w:rsidSect="00F249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A68D1"/>
    <w:rsid w:val="001127AF"/>
    <w:rsid w:val="00180453"/>
    <w:rsid w:val="005C00CC"/>
    <w:rsid w:val="008A68D1"/>
    <w:rsid w:val="00A32029"/>
    <w:rsid w:val="00B52839"/>
    <w:rsid w:val="00D832AB"/>
    <w:rsid w:val="00DA72DD"/>
    <w:rsid w:val="00E83CA7"/>
    <w:rsid w:val="00F249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9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832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832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65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383</Words>
  <Characters>2094</Characters>
  <Application>Microsoft Office Word</Application>
  <DocSecurity>0</DocSecurity>
  <Lines>37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Lyudmila</dc:creator>
  <cp:lastModifiedBy>1</cp:lastModifiedBy>
  <cp:revision>4</cp:revision>
  <dcterms:created xsi:type="dcterms:W3CDTF">2017-07-04T08:54:00Z</dcterms:created>
  <dcterms:modified xsi:type="dcterms:W3CDTF">2017-07-05T01:56:00Z</dcterms:modified>
</cp:coreProperties>
</file>