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0AB" w:rsidRDefault="00E050AB" w:rsidP="00E050AB">
      <w:pPr>
        <w:jc w:val="center"/>
      </w:pPr>
      <w:r w:rsidRPr="00573B9C">
        <w:t>“Emergency Management of SCD Pain Crises: Current Practices and Playing Variable</w:t>
      </w:r>
      <w:r>
        <w:t>s</w:t>
      </w:r>
      <w:r w:rsidRPr="00573B9C">
        <w:t>”</w:t>
      </w:r>
    </w:p>
    <w:p w:rsidR="00E050AB" w:rsidRPr="00E050AB" w:rsidRDefault="00E050AB" w:rsidP="00E050AB">
      <w:pPr>
        <w:jc w:val="center"/>
        <w:rPr>
          <w:rFonts w:ascii="Cambria" w:hAnsi="Cambria"/>
          <w:b/>
          <w:sz w:val="16"/>
          <w:u w:val="single"/>
        </w:rPr>
      </w:pPr>
      <w:r w:rsidRPr="00E050AB">
        <w:rPr>
          <w:sz w:val="20"/>
        </w:rPr>
        <w:t>Almuqamam M</w:t>
      </w:r>
      <w:r w:rsidRPr="00E050AB">
        <w:rPr>
          <w:sz w:val="20"/>
          <w:vertAlign w:val="superscript"/>
        </w:rPr>
        <w:t>1</w:t>
      </w:r>
      <w:r w:rsidRPr="00E050AB">
        <w:rPr>
          <w:sz w:val="20"/>
        </w:rPr>
        <w:t xml:space="preserve">, </w:t>
      </w:r>
      <w:r w:rsidRPr="00E050AB">
        <w:rPr>
          <w:rFonts w:ascii="Calibri" w:hAnsi="Calibri"/>
          <w:sz w:val="20"/>
        </w:rPr>
        <w:t>Diaz – Frias J</w:t>
      </w:r>
      <w:r w:rsidRPr="00E050AB">
        <w:rPr>
          <w:sz w:val="20"/>
          <w:vertAlign w:val="superscript"/>
        </w:rPr>
        <w:t>1</w:t>
      </w:r>
      <w:r w:rsidRPr="00E050AB">
        <w:rPr>
          <w:rFonts w:ascii="Calibri" w:hAnsi="Calibri"/>
          <w:sz w:val="20"/>
        </w:rPr>
        <w:t>, Malik M</w:t>
      </w:r>
      <w:r w:rsidRPr="00E050AB">
        <w:rPr>
          <w:sz w:val="20"/>
          <w:vertAlign w:val="superscript"/>
        </w:rPr>
        <w:t>1</w:t>
      </w:r>
      <w:r w:rsidRPr="00E050AB">
        <w:rPr>
          <w:rFonts w:ascii="Calibri" w:hAnsi="Calibri"/>
          <w:sz w:val="20"/>
        </w:rPr>
        <w:t>, Mohamed AA</w:t>
      </w:r>
      <w:r w:rsidRPr="00E050AB">
        <w:rPr>
          <w:rFonts w:ascii="Calibri" w:hAnsi="Calibri"/>
          <w:sz w:val="20"/>
          <w:vertAlign w:val="superscript"/>
        </w:rPr>
        <w:t>2</w:t>
      </w:r>
      <w:r w:rsidRPr="00E050AB">
        <w:rPr>
          <w:rFonts w:ascii="Calibri" w:hAnsi="Calibri"/>
          <w:sz w:val="20"/>
        </w:rPr>
        <w:t>, Sedrak A</w:t>
      </w:r>
      <w:r w:rsidRPr="00E050AB">
        <w:rPr>
          <w:rFonts w:ascii="Calibri" w:hAnsi="Calibri"/>
          <w:sz w:val="20"/>
          <w:vertAlign w:val="superscript"/>
        </w:rPr>
        <w:t>3</w:t>
      </w:r>
    </w:p>
    <w:p w:rsidR="00E050AB" w:rsidRDefault="00E050AB" w:rsidP="00E050AB">
      <w:pPr>
        <w:rPr>
          <w:rFonts w:ascii="Cambria" w:hAnsi="Cambria"/>
          <w:b/>
          <w:sz w:val="20"/>
          <w:u w:val="single"/>
        </w:rPr>
      </w:pPr>
    </w:p>
    <w:p w:rsidR="00E050AB" w:rsidRDefault="00E050AB" w:rsidP="00E050AB">
      <w:pPr>
        <w:rPr>
          <w:rFonts w:ascii="Cambria" w:hAnsi="Cambria"/>
          <w:b/>
          <w:sz w:val="20"/>
          <w:u w:val="single"/>
        </w:rPr>
      </w:pPr>
    </w:p>
    <w:p w:rsidR="00E050AB" w:rsidRDefault="00E050AB" w:rsidP="00E050AB">
      <w:pPr>
        <w:rPr>
          <w:rFonts w:ascii="Cambria" w:hAnsi="Cambria"/>
          <w:b/>
          <w:sz w:val="20"/>
          <w:u w:val="single"/>
        </w:rPr>
      </w:pPr>
    </w:p>
    <w:p w:rsidR="00E050AB" w:rsidRPr="000605A0" w:rsidRDefault="00E050AB" w:rsidP="00E050AB">
      <w:pPr>
        <w:rPr>
          <w:rFonts w:ascii="Cambria" w:hAnsi="Cambria"/>
          <w:sz w:val="20"/>
        </w:rPr>
      </w:pPr>
    </w:p>
    <w:p w:rsidR="00E050AB" w:rsidRPr="000605A0" w:rsidRDefault="00E050AB" w:rsidP="00E050AB">
      <w:pPr>
        <w:widowControl w:val="0"/>
        <w:autoSpaceDE w:val="0"/>
        <w:autoSpaceDN w:val="0"/>
        <w:adjustRightInd w:val="0"/>
        <w:rPr>
          <w:rFonts w:ascii="Cambria" w:hAnsi="Cambria"/>
          <w:sz w:val="20"/>
        </w:rPr>
      </w:pPr>
      <w:r>
        <w:rPr>
          <w:rFonts w:ascii="Calibri" w:hAnsi="Calibri"/>
          <w:b/>
          <w:sz w:val="20"/>
        </w:rPr>
        <w:t>Introduction/O</w:t>
      </w:r>
      <w:r w:rsidRPr="000605A0">
        <w:rPr>
          <w:rFonts w:ascii="Calibri" w:hAnsi="Calibri"/>
          <w:b/>
          <w:sz w:val="20"/>
        </w:rPr>
        <w:t xml:space="preserve">bjectives: </w:t>
      </w:r>
      <w:r>
        <w:rPr>
          <w:rFonts w:ascii="Cambria" w:hAnsi="Cambria"/>
          <w:sz w:val="20"/>
        </w:rPr>
        <w:t>Acute pain episode is a common reason for patients with sickle cell disease to present to the ER</w:t>
      </w:r>
      <w:r w:rsidRPr="000605A0">
        <w:rPr>
          <w:rFonts w:ascii="Cambria" w:hAnsi="Cambria"/>
          <w:sz w:val="20"/>
        </w:rPr>
        <w:t xml:space="preserve">. </w:t>
      </w:r>
      <w:r>
        <w:rPr>
          <w:rFonts w:ascii="Cambria" w:hAnsi="Cambria"/>
          <w:sz w:val="20"/>
        </w:rPr>
        <w:t>This</w:t>
      </w:r>
      <w:r w:rsidRPr="000605A0">
        <w:rPr>
          <w:rFonts w:ascii="Cambria" w:hAnsi="Cambria"/>
          <w:sz w:val="20"/>
        </w:rPr>
        <w:t xml:space="preserve"> study is designed to assess the role of multiple factors </w:t>
      </w:r>
      <w:r>
        <w:rPr>
          <w:rFonts w:ascii="Cambria" w:hAnsi="Cambria"/>
          <w:sz w:val="20"/>
        </w:rPr>
        <w:t>that might affect</w:t>
      </w:r>
      <w:r w:rsidRPr="000605A0">
        <w:rPr>
          <w:rFonts w:ascii="Cambria" w:hAnsi="Cambria"/>
          <w:sz w:val="20"/>
        </w:rPr>
        <w:t xml:space="preserve"> the time from ED triage to the administration of the first opiate </w:t>
      </w:r>
      <w:r>
        <w:rPr>
          <w:rFonts w:ascii="Cambria" w:hAnsi="Cambria"/>
          <w:sz w:val="20"/>
        </w:rPr>
        <w:t xml:space="preserve">pain medication and its dosage, to compare current practices </w:t>
      </w:r>
      <w:r w:rsidRPr="00EA3A42">
        <w:rPr>
          <w:rFonts w:ascii="Cambria" w:hAnsi="Cambria"/>
          <w:sz w:val="20"/>
        </w:rPr>
        <w:t>with the American Pain Socie</w:t>
      </w:r>
      <w:r>
        <w:rPr>
          <w:rFonts w:ascii="Cambria" w:hAnsi="Cambria"/>
          <w:sz w:val="20"/>
        </w:rPr>
        <w:t xml:space="preserve">ty Guideline for the Management </w:t>
      </w:r>
      <w:r w:rsidRPr="00EA3A42">
        <w:rPr>
          <w:rFonts w:ascii="Cambria" w:hAnsi="Cambria"/>
          <w:sz w:val="20"/>
        </w:rPr>
        <w:t>of Acute and Chronic Pain in Sickle-Cell Disease in the emergency department</w:t>
      </w:r>
      <w:r>
        <w:rPr>
          <w:rFonts w:ascii="Cambria" w:hAnsi="Cambria"/>
          <w:sz w:val="20"/>
        </w:rPr>
        <w:t>. By</w:t>
      </w:r>
      <w:r w:rsidRPr="000605A0">
        <w:rPr>
          <w:rFonts w:ascii="Cambria" w:hAnsi="Cambria"/>
          <w:sz w:val="20"/>
        </w:rPr>
        <w:t xml:space="preserve"> identifying and recognizing </w:t>
      </w:r>
      <w:r>
        <w:rPr>
          <w:rFonts w:ascii="Cambria" w:hAnsi="Cambria"/>
          <w:sz w:val="20"/>
        </w:rPr>
        <w:t>some of the</w:t>
      </w:r>
      <w:r w:rsidRPr="000605A0">
        <w:rPr>
          <w:rFonts w:ascii="Cambria" w:hAnsi="Cambria"/>
          <w:sz w:val="20"/>
        </w:rPr>
        <w:t xml:space="preserve"> factors that delay or affect the proper dosing of the pain medications, we aim to implement suitable and plausible changes to ensure better emergency care for these sickle cell disease patients. </w:t>
      </w:r>
    </w:p>
    <w:p w:rsidR="00E050AB" w:rsidRPr="000605A0" w:rsidRDefault="00E050AB" w:rsidP="00E050AB">
      <w:pPr>
        <w:rPr>
          <w:rFonts w:ascii="Calibri" w:hAnsi="Calibri"/>
          <w:b/>
          <w:sz w:val="20"/>
        </w:rPr>
      </w:pPr>
    </w:p>
    <w:p w:rsidR="00E050AB" w:rsidRPr="001E68F2" w:rsidRDefault="00E050AB" w:rsidP="00E050AB">
      <w:pPr>
        <w:rPr>
          <w:rFonts w:ascii="Cambria" w:hAnsi="Cambria"/>
          <w:sz w:val="20"/>
        </w:rPr>
      </w:pPr>
      <w:r w:rsidRPr="000605A0">
        <w:rPr>
          <w:rFonts w:ascii="Calibri" w:hAnsi="Calibri"/>
          <w:b/>
          <w:sz w:val="20"/>
        </w:rPr>
        <w:t xml:space="preserve">Methodology: </w:t>
      </w:r>
      <w:r>
        <w:rPr>
          <w:rFonts w:ascii="Cambria" w:hAnsi="Cambria"/>
          <w:sz w:val="20"/>
        </w:rPr>
        <w:t>T</w:t>
      </w:r>
      <w:r w:rsidRPr="000605A0">
        <w:rPr>
          <w:rFonts w:ascii="Cambria" w:hAnsi="Cambria"/>
          <w:sz w:val="20"/>
        </w:rPr>
        <w:t xml:space="preserve">his </w:t>
      </w:r>
      <w:r>
        <w:rPr>
          <w:rFonts w:ascii="Cambria" w:hAnsi="Cambria"/>
          <w:sz w:val="20"/>
        </w:rPr>
        <w:t>is</w:t>
      </w:r>
      <w:r w:rsidRPr="000605A0">
        <w:rPr>
          <w:rFonts w:ascii="Cambria" w:hAnsi="Cambria"/>
          <w:sz w:val="20"/>
        </w:rPr>
        <w:t xml:space="preserve"> a cross-sectional </w:t>
      </w:r>
      <w:r>
        <w:rPr>
          <w:rFonts w:ascii="Cambria" w:hAnsi="Cambria"/>
          <w:sz w:val="20"/>
        </w:rPr>
        <w:t>descriptive study that relied</w:t>
      </w:r>
      <w:r w:rsidRPr="000605A0">
        <w:rPr>
          <w:rFonts w:ascii="Cambria" w:hAnsi="Cambria"/>
          <w:sz w:val="20"/>
        </w:rPr>
        <w:t xml:space="preserve"> on collecting non-identifiable data from </w:t>
      </w:r>
      <w:r>
        <w:rPr>
          <w:rFonts w:ascii="Cambria" w:hAnsi="Cambria"/>
          <w:sz w:val="20"/>
        </w:rPr>
        <w:t>the</w:t>
      </w:r>
      <w:r w:rsidRPr="000605A0">
        <w:rPr>
          <w:rFonts w:ascii="Cambria" w:hAnsi="Cambria"/>
          <w:sz w:val="20"/>
        </w:rPr>
        <w:t xml:space="preserve"> local EMR to assess for possible relationship between the proposed set of factors/variables and the time </w:t>
      </w:r>
      <w:r>
        <w:rPr>
          <w:rFonts w:ascii="Cambria" w:hAnsi="Cambria"/>
          <w:sz w:val="20"/>
        </w:rPr>
        <w:t>to</w:t>
      </w:r>
      <w:r w:rsidRPr="000605A0">
        <w:rPr>
          <w:rFonts w:ascii="Cambria" w:hAnsi="Cambria"/>
          <w:sz w:val="20"/>
        </w:rPr>
        <w:t xml:space="preserve"> administration of the 1</w:t>
      </w:r>
      <w:r w:rsidRPr="000605A0">
        <w:rPr>
          <w:rFonts w:ascii="Cambria" w:hAnsi="Cambria"/>
          <w:sz w:val="20"/>
          <w:vertAlign w:val="superscript"/>
        </w:rPr>
        <w:t>st</w:t>
      </w:r>
      <w:r w:rsidRPr="000605A0">
        <w:rPr>
          <w:rFonts w:ascii="Cambria" w:hAnsi="Cambria"/>
          <w:sz w:val="20"/>
        </w:rPr>
        <w:t xml:space="preserve"> </w:t>
      </w:r>
      <w:r>
        <w:rPr>
          <w:rFonts w:ascii="Cambria" w:hAnsi="Cambria"/>
          <w:sz w:val="20"/>
        </w:rPr>
        <w:t xml:space="preserve">narcotic </w:t>
      </w:r>
      <w:r w:rsidRPr="000605A0">
        <w:rPr>
          <w:rFonts w:ascii="Cambria" w:hAnsi="Cambria"/>
          <w:sz w:val="20"/>
        </w:rPr>
        <w:t xml:space="preserve">pain medication and it’s dosage. The population in question includes the entire sickle cell disease patients’ population (HB-SS, </w:t>
      </w:r>
      <w:r>
        <w:rPr>
          <w:rFonts w:ascii="Cambria" w:hAnsi="Cambria"/>
          <w:sz w:val="20"/>
        </w:rPr>
        <w:t xml:space="preserve">HB-SC, </w:t>
      </w:r>
      <w:r w:rsidRPr="000605A0">
        <w:rPr>
          <w:rFonts w:ascii="Cambria" w:hAnsi="Cambria"/>
          <w:sz w:val="20"/>
        </w:rPr>
        <w:t>HB-SD</w:t>
      </w:r>
      <w:r>
        <w:rPr>
          <w:rFonts w:ascii="Cambria" w:hAnsi="Cambria"/>
          <w:sz w:val="20"/>
        </w:rPr>
        <w:t>, HB-SB</w:t>
      </w:r>
      <w:r w:rsidRPr="001E68F2">
        <w:rPr>
          <w:rFonts w:ascii="Cambria" w:hAnsi="Cambria"/>
          <w:sz w:val="20"/>
          <w:vertAlign w:val="superscript"/>
        </w:rPr>
        <w:t>+</w:t>
      </w:r>
      <w:r>
        <w:rPr>
          <w:rFonts w:ascii="Cambria" w:hAnsi="Cambria"/>
          <w:sz w:val="20"/>
        </w:rPr>
        <w:t xml:space="preserve"> and HB-SB</w:t>
      </w:r>
      <w:r w:rsidRPr="001E68F2">
        <w:rPr>
          <w:rFonts w:ascii="Cambria" w:hAnsi="Cambria"/>
          <w:sz w:val="20"/>
          <w:vertAlign w:val="superscript"/>
        </w:rPr>
        <w:t>0</w:t>
      </w:r>
      <w:r w:rsidRPr="000605A0">
        <w:rPr>
          <w:rFonts w:ascii="Cambria" w:hAnsi="Cambria"/>
          <w:sz w:val="20"/>
        </w:rPr>
        <w:t xml:space="preserve">) that are under the care of our Pediatric Heme-Onc clinic at The Brooklyn Hospital Center (TBHC) with the age range of </w:t>
      </w:r>
      <w:r>
        <w:rPr>
          <w:rFonts w:ascii="Cambria" w:hAnsi="Cambria"/>
          <w:sz w:val="20"/>
        </w:rPr>
        <w:t>1 day</w:t>
      </w:r>
      <w:r w:rsidRPr="000605A0">
        <w:rPr>
          <w:rFonts w:ascii="Cambria" w:hAnsi="Cambria"/>
          <w:sz w:val="20"/>
        </w:rPr>
        <w:t xml:space="preserve"> to 21 years. The factors include age, gender, pain assessment/scale, time of presentati</w:t>
      </w:r>
      <w:r>
        <w:rPr>
          <w:rFonts w:ascii="Cambria" w:hAnsi="Cambria"/>
          <w:sz w:val="20"/>
        </w:rPr>
        <w:t>on, mode of arrival, presence or</w:t>
      </w:r>
      <w:r w:rsidRPr="000605A0">
        <w:rPr>
          <w:rFonts w:ascii="Cambria" w:hAnsi="Cambria"/>
          <w:sz w:val="20"/>
        </w:rPr>
        <w:t xml:space="preserve"> absence of IV access at presentation, and ESI acuity.</w:t>
      </w:r>
      <w:r>
        <w:rPr>
          <w:sz w:val="20"/>
        </w:rPr>
        <w:t xml:space="preserve"> </w:t>
      </w:r>
      <w:r w:rsidRPr="000605A0">
        <w:rPr>
          <w:sz w:val="20"/>
        </w:rPr>
        <w:t>SPSS program</w:t>
      </w:r>
      <w:r>
        <w:rPr>
          <w:sz w:val="20"/>
        </w:rPr>
        <w:t xml:space="preserve"> was used</w:t>
      </w:r>
      <w:r w:rsidRPr="000605A0">
        <w:rPr>
          <w:sz w:val="20"/>
        </w:rPr>
        <w:t xml:space="preserve"> for statistical analysis and treatment with a pre-set P-value at 0.05.</w:t>
      </w:r>
    </w:p>
    <w:p w:rsidR="00E050AB" w:rsidRPr="000605A0" w:rsidRDefault="00E050AB" w:rsidP="00E050AB">
      <w:pPr>
        <w:rPr>
          <w:rFonts w:ascii="Calibri" w:hAnsi="Calibri"/>
          <w:sz w:val="16"/>
          <w:szCs w:val="20"/>
        </w:rPr>
      </w:pPr>
    </w:p>
    <w:p w:rsidR="00E050AB" w:rsidRPr="000605A0" w:rsidRDefault="00E050AB" w:rsidP="00E050AB">
      <w:pPr>
        <w:rPr>
          <w:rFonts w:ascii="Calibri" w:hAnsi="Calibri"/>
          <w:sz w:val="16"/>
          <w:szCs w:val="20"/>
        </w:rPr>
      </w:pPr>
    </w:p>
    <w:p w:rsidR="00E050AB" w:rsidRPr="0010476C" w:rsidRDefault="00E050AB" w:rsidP="00E050AB">
      <w:pPr>
        <w:rPr>
          <w:rFonts w:asciiTheme="majorHAnsi" w:hAnsiTheme="majorHAnsi"/>
          <w:sz w:val="20"/>
          <w:szCs w:val="20"/>
        </w:rPr>
      </w:pPr>
      <w:r>
        <w:rPr>
          <w:rFonts w:ascii="Calibri" w:hAnsi="Calibri"/>
          <w:b/>
          <w:sz w:val="20"/>
        </w:rPr>
        <w:t xml:space="preserve">Results: </w:t>
      </w:r>
      <w:r>
        <w:rPr>
          <w:rFonts w:ascii="Calibri" w:hAnsi="Calibri"/>
          <w:sz w:val="20"/>
        </w:rPr>
        <w:t xml:space="preserve">There were 259 </w:t>
      </w:r>
      <w:proofErr w:type="gramStart"/>
      <w:r>
        <w:rPr>
          <w:rFonts w:ascii="Calibri" w:hAnsi="Calibri"/>
          <w:sz w:val="20"/>
        </w:rPr>
        <w:t>patient</w:t>
      </w:r>
      <w:proofErr w:type="gramEnd"/>
      <w:r>
        <w:rPr>
          <w:rFonts w:ascii="Calibri" w:hAnsi="Calibri"/>
          <w:sz w:val="20"/>
        </w:rPr>
        <w:t xml:space="preserve"> ER visits with 148 unique patients. </w:t>
      </w:r>
      <w:r w:rsidRPr="00AE4688">
        <w:rPr>
          <w:rFonts w:ascii="Calibri" w:hAnsi="Calibri"/>
          <w:sz w:val="20"/>
        </w:rPr>
        <w:t>Mean (SD) age of the entire study population was 15.98 (+/- 4.08) years and 61.8% of the patients were females. Average time to 1st opiate pain medication was 120.27 minutes (SD +/- 78.4) and average doses of Morphine and Hydromorphone were 0.067 mg/kg and 0.053 mg/kg respectively.</w:t>
      </w:r>
      <w:r>
        <w:rPr>
          <w:rFonts w:ascii="Calibri" w:hAnsi="Calibri"/>
          <w:sz w:val="20"/>
        </w:rPr>
        <w:t xml:space="preserve"> Longer waiting </w:t>
      </w:r>
      <w:proofErr w:type="gramStart"/>
      <w:r>
        <w:rPr>
          <w:rFonts w:ascii="Calibri" w:hAnsi="Calibri"/>
          <w:sz w:val="20"/>
        </w:rPr>
        <w:t>time to 1</w:t>
      </w:r>
      <w:r w:rsidRPr="00AE4688">
        <w:rPr>
          <w:rFonts w:ascii="Calibri" w:hAnsi="Calibri"/>
          <w:sz w:val="20"/>
          <w:vertAlign w:val="superscript"/>
        </w:rPr>
        <w:t>st</w:t>
      </w:r>
      <w:r>
        <w:rPr>
          <w:rFonts w:ascii="Calibri" w:hAnsi="Calibri"/>
          <w:sz w:val="20"/>
        </w:rPr>
        <w:t xml:space="preserve"> opiate pain medication were</w:t>
      </w:r>
      <w:proofErr w:type="gramEnd"/>
      <w:r>
        <w:rPr>
          <w:rFonts w:ascii="Calibri" w:hAnsi="Calibri"/>
          <w:sz w:val="20"/>
        </w:rPr>
        <w:t xml:space="preserve"> found </w:t>
      </w:r>
      <w:r w:rsidRPr="0010476C">
        <w:rPr>
          <w:rFonts w:asciiTheme="majorHAnsi" w:hAnsiTheme="majorHAnsi"/>
          <w:sz w:val="20"/>
          <w:szCs w:val="20"/>
        </w:rPr>
        <w:t xml:space="preserve">in </w:t>
      </w:r>
      <w:r w:rsidRPr="0010476C">
        <w:rPr>
          <w:rFonts w:asciiTheme="majorHAnsi" w:eastAsia="Times New Roman" w:hAnsiTheme="majorHAnsi" w:cs="Times New Roman"/>
          <w:sz w:val="20"/>
          <w:szCs w:val="20"/>
          <w:lang w:val="en"/>
        </w:rPr>
        <w:t xml:space="preserve">females with a mean difference of 25.5 minutes (95% CI 20 – 80.5 </w:t>
      </w:r>
      <w:r w:rsidRPr="0010476C">
        <w:rPr>
          <w:rFonts w:asciiTheme="majorHAnsi" w:eastAsia="Times New Roman" w:hAnsiTheme="majorHAnsi" w:cs="Times New Roman"/>
          <w:i/>
          <w:sz w:val="20"/>
          <w:szCs w:val="20"/>
          <w:lang w:val="en"/>
        </w:rPr>
        <w:t>P value 0.027</w:t>
      </w:r>
      <w:r w:rsidRPr="0010476C">
        <w:rPr>
          <w:rFonts w:asciiTheme="majorHAnsi" w:eastAsia="Times New Roman" w:hAnsiTheme="majorHAnsi" w:cs="Times New Roman"/>
          <w:sz w:val="20"/>
          <w:szCs w:val="20"/>
          <w:lang w:val="en"/>
        </w:rPr>
        <w:t xml:space="preserve">), older patients and patients with least severity ESI score (correlation coefficient of 0.214 &amp; 0.134 </w:t>
      </w:r>
      <w:r w:rsidRPr="0010476C">
        <w:rPr>
          <w:rFonts w:asciiTheme="majorHAnsi" w:eastAsia="Times New Roman" w:hAnsiTheme="majorHAnsi" w:cs="Times New Roman"/>
          <w:i/>
          <w:sz w:val="20"/>
          <w:szCs w:val="20"/>
          <w:lang w:val="en"/>
        </w:rPr>
        <w:t>(p values of 0.001 and 0.031) respectively).</w:t>
      </w:r>
      <w:r w:rsidRPr="0010476C">
        <w:rPr>
          <w:rFonts w:asciiTheme="majorHAnsi" w:eastAsia="Times New Roman" w:hAnsiTheme="majorHAnsi" w:cs="Times New Roman"/>
          <w:sz w:val="20"/>
          <w:szCs w:val="20"/>
          <w:lang w:val="en"/>
        </w:rPr>
        <w:t xml:space="preserve"> On the other hand, there seems to be a negative correlation between the time to 1</w:t>
      </w:r>
      <w:r w:rsidRPr="0010476C">
        <w:rPr>
          <w:rFonts w:asciiTheme="majorHAnsi" w:eastAsia="Times New Roman" w:hAnsiTheme="majorHAnsi" w:cs="Times New Roman"/>
          <w:sz w:val="20"/>
          <w:szCs w:val="20"/>
          <w:vertAlign w:val="superscript"/>
          <w:lang w:val="en"/>
        </w:rPr>
        <w:t>st</w:t>
      </w:r>
      <w:r w:rsidRPr="0010476C">
        <w:rPr>
          <w:rFonts w:asciiTheme="majorHAnsi" w:eastAsia="Times New Roman" w:hAnsiTheme="majorHAnsi" w:cs="Times New Roman"/>
          <w:sz w:val="20"/>
          <w:szCs w:val="20"/>
          <w:lang w:val="en"/>
        </w:rPr>
        <w:t xml:space="preserve"> opiate and the pain score with a negative correlation coefficient of -0.22 </w:t>
      </w:r>
      <w:r w:rsidRPr="0010476C">
        <w:rPr>
          <w:rFonts w:asciiTheme="majorHAnsi" w:eastAsia="Times New Roman" w:hAnsiTheme="majorHAnsi" w:cs="Times New Roman"/>
          <w:i/>
          <w:sz w:val="20"/>
          <w:szCs w:val="20"/>
          <w:lang w:val="en"/>
        </w:rPr>
        <w:t>( p value of &lt;0.001)</w:t>
      </w:r>
      <w:r>
        <w:rPr>
          <w:rFonts w:asciiTheme="majorHAnsi" w:eastAsia="Times New Roman" w:hAnsiTheme="majorHAnsi" w:cs="Times New Roman"/>
          <w:i/>
          <w:sz w:val="20"/>
          <w:szCs w:val="20"/>
          <w:lang w:val="en"/>
        </w:rPr>
        <w:t>.</w:t>
      </w:r>
    </w:p>
    <w:p w:rsidR="00E050AB" w:rsidRDefault="00E050AB" w:rsidP="00E050AB">
      <w:pPr>
        <w:rPr>
          <w:rFonts w:ascii="Calibri" w:hAnsi="Calibri"/>
          <w:b/>
          <w:sz w:val="20"/>
        </w:rPr>
      </w:pPr>
    </w:p>
    <w:p w:rsidR="00E050AB" w:rsidRPr="000605A0" w:rsidRDefault="00E050AB" w:rsidP="00E050AB">
      <w:pPr>
        <w:rPr>
          <w:rFonts w:ascii="Calibri" w:hAnsi="Calibri"/>
          <w:b/>
          <w:sz w:val="20"/>
        </w:rPr>
      </w:pPr>
      <w:r w:rsidRPr="000605A0">
        <w:rPr>
          <w:rFonts w:ascii="Calibri" w:hAnsi="Calibri"/>
          <w:b/>
          <w:sz w:val="20"/>
        </w:rPr>
        <w:t xml:space="preserve">Conclusion: </w:t>
      </w:r>
      <w:r w:rsidRPr="000605A0">
        <w:rPr>
          <w:rFonts w:ascii="Cambria" w:eastAsia="Times New Roman" w:hAnsi="Cambria" w:cs="Times New Roman"/>
          <w:sz w:val="20"/>
          <w:lang w:val="en"/>
        </w:rPr>
        <w:t>Overall, patients with acute SCD pain experienced significant delays when seeking pain relief in the ED. The followig patients experienced the longest delays: those assigned a lower triage priority level, female patients</w:t>
      </w:r>
      <w:r>
        <w:rPr>
          <w:rFonts w:ascii="Cambria" w:eastAsia="Times New Roman" w:hAnsi="Cambria" w:cs="Times New Roman"/>
          <w:sz w:val="20"/>
          <w:lang w:val="en"/>
        </w:rPr>
        <w:t>, patients with lower pain score</w:t>
      </w:r>
      <w:r w:rsidRPr="000605A0">
        <w:rPr>
          <w:rFonts w:ascii="Cambria" w:eastAsia="Times New Roman" w:hAnsi="Cambria" w:cs="Times New Roman"/>
          <w:sz w:val="20"/>
          <w:lang w:val="en"/>
        </w:rPr>
        <w:t xml:space="preserve"> and older patients.</w:t>
      </w:r>
    </w:p>
    <w:p w:rsidR="00E050AB" w:rsidRDefault="00E050AB" w:rsidP="00E050AB">
      <w:pPr>
        <w:rPr>
          <w:rFonts w:ascii="Cambria" w:hAnsi="Cambria"/>
        </w:rPr>
      </w:pPr>
    </w:p>
    <w:p w:rsidR="00E050AB" w:rsidRDefault="00E050AB" w:rsidP="00E050AB">
      <w:pPr>
        <w:rPr>
          <w:rFonts w:ascii="Cambria" w:hAnsi="Cambria"/>
        </w:rPr>
      </w:pPr>
    </w:p>
    <w:p w:rsidR="00E050AB" w:rsidRDefault="00E050AB" w:rsidP="00E050AB">
      <w:pPr>
        <w:rPr>
          <w:rFonts w:ascii="Cambria" w:hAnsi="Cambria"/>
        </w:rPr>
      </w:pPr>
    </w:p>
    <w:p w:rsidR="00E050AB" w:rsidRDefault="00E050AB" w:rsidP="00E050AB">
      <w:pPr>
        <w:rPr>
          <w:rFonts w:ascii="Cambria" w:hAnsi="Cambria"/>
        </w:rPr>
      </w:pPr>
    </w:p>
    <w:p w:rsidR="00E050AB" w:rsidRDefault="00E050AB" w:rsidP="00E050AB">
      <w:pPr>
        <w:rPr>
          <w:rFonts w:ascii="Cambria" w:hAnsi="Cambria"/>
        </w:rPr>
      </w:pPr>
    </w:p>
    <w:p w:rsidR="00E050AB" w:rsidRDefault="00E050AB" w:rsidP="00E050AB">
      <w:pPr>
        <w:rPr>
          <w:rFonts w:ascii="Cambria" w:hAnsi="Cambria"/>
        </w:rPr>
      </w:pPr>
    </w:p>
    <w:p w:rsidR="00E050AB" w:rsidRPr="00E050AB" w:rsidRDefault="00E050AB" w:rsidP="00E050AB">
      <w:pPr>
        <w:rPr>
          <w:rFonts w:ascii="Cambria" w:hAnsi="Cambria"/>
          <w:sz w:val="20"/>
        </w:rPr>
      </w:pPr>
      <w:r w:rsidRPr="00E050AB">
        <w:rPr>
          <w:rFonts w:ascii="Cambria" w:hAnsi="Cambria"/>
          <w:sz w:val="20"/>
          <w:u w:val="single"/>
        </w:rPr>
        <w:t>Key words:</w:t>
      </w:r>
      <w:r w:rsidRPr="00E050AB">
        <w:rPr>
          <w:rFonts w:ascii="Cambria" w:hAnsi="Cambria"/>
          <w:sz w:val="20"/>
        </w:rPr>
        <w:t xml:space="preserve"> Emergency Department (ED), Vaso-Occlusive Crises (VOC), American Pain Society (APS), Hematology-Oncology (Hem-Onc), Sickle Cell Disease (SCD)</w:t>
      </w:r>
    </w:p>
    <w:p w:rsidR="00E050AB" w:rsidRDefault="00E050AB" w:rsidP="00E050AB">
      <w:pPr>
        <w:rPr>
          <w:rFonts w:ascii="Cambria" w:hAnsi="Cambria"/>
        </w:rPr>
      </w:pPr>
    </w:p>
    <w:p w:rsidR="00E050AB" w:rsidRPr="00E050AB" w:rsidRDefault="00E050AB" w:rsidP="00E050AB">
      <w:pPr>
        <w:rPr>
          <w:rFonts w:ascii="Cambria" w:hAnsi="Cambria"/>
          <w:sz w:val="20"/>
          <w:u w:val="single"/>
        </w:rPr>
      </w:pPr>
      <w:r w:rsidRPr="00E050AB">
        <w:rPr>
          <w:rFonts w:ascii="Cambria" w:hAnsi="Cambria"/>
          <w:sz w:val="20"/>
          <w:u w:val="single"/>
        </w:rPr>
        <w:t>Biography:</w:t>
      </w:r>
    </w:p>
    <w:p w:rsidR="00E050AB" w:rsidRPr="00E050AB" w:rsidRDefault="00E050AB" w:rsidP="00E050AB">
      <w:pPr>
        <w:rPr>
          <w:rFonts w:ascii="Cambria" w:hAnsi="Cambria"/>
          <w:sz w:val="20"/>
        </w:rPr>
      </w:pPr>
      <w:r w:rsidRPr="00E050AB">
        <w:rPr>
          <w:rFonts w:ascii="Cambria" w:hAnsi="Cambria"/>
          <w:sz w:val="20"/>
        </w:rPr>
        <w:t xml:space="preserve">1: Pediatric Resident (MD), The Brooklyn Hospital Center, </w:t>
      </w:r>
      <w:proofErr w:type="gramStart"/>
      <w:r w:rsidRPr="00E050AB">
        <w:rPr>
          <w:rFonts w:ascii="Cambria" w:hAnsi="Cambria"/>
          <w:sz w:val="20"/>
        </w:rPr>
        <w:t>121</w:t>
      </w:r>
      <w:proofErr w:type="gramEnd"/>
      <w:r w:rsidRPr="00E050AB">
        <w:rPr>
          <w:rFonts w:ascii="Cambria" w:hAnsi="Cambria"/>
          <w:sz w:val="20"/>
        </w:rPr>
        <w:t xml:space="preserve"> Dekalb Ave Brooklyn NY 11201</w:t>
      </w:r>
    </w:p>
    <w:p w:rsidR="00E050AB" w:rsidRPr="00E050AB" w:rsidRDefault="00E050AB" w:rsidP="00E050AB">
      <w:pPr>
        <w:rPr>
          <w:rFonts w:ascii="Cambria" w:hAnsi="Cambria"/>
          <w:sz w:val="20"/>
        </w:rPr>
      </w:pPr>
      <w:r w:rsidRPr="00E050AB">
        <w:rPr>
          <w:rFonts w:ascii="Cambria" w:hAnsi="Cambria"/>
          <w:sz w:val="20"/>
        </w:rPr>
        <w:t>2: Heme-Onc Academic Clinical Fellow (MD), University Hospitals of Leicester NHS Trust.</w:t>
      </w:r>
    </w:p>
    <w:p w:rsidR="00E050AB" w:rsidRPr="00E050AB" w:rsidRDefault="00E050AB" w:rsidP="00E050AB">
      <w:pPr>
        <w:rPr>
          <w:rFonts w:ascii="Cambria" w:hAnsi="Cambria"/>
          <w:sz w:val="20"/>
        </w:rPr>
      </w:pPr>
      <w:r w:rsidRPr="00E050AB">
        <w:rPr>
          <w:rFonts w:ascii="Cambria" w:hAnsi="Cambria"/>
          <w:sz w:val="20"/>
        </w:rPr>
        <w:t xml:space="preserve">3: Attending (MD), Division of Heme-Onc, </w:t>
      </w:r>
      <w:r w:rsidRPr="00E050AB">
        <w:rPr>
          <w:rFonts w:ascii="Cambria" w:hAnsi="Cambria"/>
          <w:sz w:val="20"/>
        </w:rPr>
        <w:t xml:space="preserve">The Brooklyn Hospital Center, </w:t>
      </w:r>
      <w:proofErr w:type="gramStart"/>
      <w:r w:rsidRPr="00E050AB">
        <w:rPr>
          <w:rFonts w:ascii="Cambria" w:hAnsi="Cambria"/>
          <w:sz w:val="20"/>
        </w:rPr>
        <w:t>121</w:t>
      </w:r>
      <w:proofErr w:type="gramEnd"/>
      <w:r w:rsidRPr="00E050AB">
        <w:rPr>
          <w:rFonts w:ascii="Cambria" w:hAnsi="Cambria"/>
          <w:sz w:val="20"/>
        </w:rPr>
        <w:t xml:space="preserve"> Dekalb Ave Brooklyn NY 11201</w:t>
      </w:r>
    </w:p>
    <w:p w:rsidR="00E050AB" w:rsidRDefault="00E050AB" w:rsidP="00E050AB">
      <w:pPr>
        <w:rPr>
          <w:rFonts w:ascii="Cambria" w:hAnsi="Cambria"/>
        </w:rPr>
      </w:pPr>
      <w:bookmarkStart w:id="0" w:name="_GoBack"/>
      <w:bookmarkEnd w:id="0"/>
    </w:p>
    <w:p w:rsidR="0016500A" w:rsidRPr="00E050AB" w:rsidRDefault="0016500A">
      <w:pPr>
        <w:rPr>
          <w:rFonts w:ascii="Cambria" w:hAnsi="Cambria"/>
        </w:rPr>
      </w:pPr>
    </w:p>
    <w:sectPr w:rsidR="0016500A" w:rsidRPr="00E050AB" w:rsidSect="00073D4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0AB"/>
    <w:rsid w:val="00073D46"/>
    <w:rsid w:val="0016500A"/>
    <w:rsid w:val="00E05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204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50A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0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50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1669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482</Words>
  <Characters>2753</Characters>
  <Application>Microsoft Macintosh Word</Application>
  <DocSecurity>0</DocSecurity>
  <Lines>22</Lines>
  <Paragraphs>6</Paragraphs>
  <ScaleCrop>false</ScaleCrop>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RCSI</dc:creator>
  <cp:keywords/>
  <dc:description/>
  <cp:lastModifiedBy>RCSI</cp:lastModifiedBy>
  <cp:revision>1</cp:revision>
  <dcterms:created xsi:type="dcterms:W3CDTF">2017-08-04T20:21:00Z</dcterms:created>
  <dcterms:modified xsi:type="dcterms:W3CDTF">2017-08-04T20:28:00Z</dcterms:modified>
</cp:coreProperties>
</file>