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50" w:rsidRPr="002761C7" w:rsidRDefault="004F0659" w:rsidP="001B2FE6">
      <w:pPr>
        <w:spacing w:after="240" w:line="276" w:lineRule="auto"/>
        <w:rPr>
          <w:b/>
          <w:sz w:val="32"/>
          <w:szCs w:val="22"/>
          <w:lang w:val="en-GB"/>
        </w:rPr>
      </w:pPr>
      <w:r>
        <w:rPr>
          <w:b/>
          <w:sz w:val="32"/>
          <w:szCs w:val="22"/>
          <w:lang w:val="en-GB"/>
        </w:rPr>
        <w:t>Prenatal diagnosis of</w:t>
      </w:r>
      <w:r w:rsidR="00AD4D50" w:rsidRPr="002761C7">
        <w:rPr>
          <w:b/>
          <w:sz w:val="32"/>
          <w:szCs w:val="22"/>
          <w:lang w:val="en-GB"/>
        </w:rPr>
        <w:t xml:space="preserve"> major congenital heart disease</w:t>
      </w:r>
      <w:r>
        <w:rPr>
          <w:b/>
          <w:sz w:val="32"/>
          <w:szCs w:val="22"/>
          <w:lang w:val="en-GB"/>
        </w:rPr>
        <w:t xml:space="preserve"> is associated with increased mortality</w:t>
      </w:r>
      <w:r w:rsidR="00AD4D50" w:rsidRPr="002761C7">
        <w:rPr>
          <w:b/>
          <w:sz w:val="32"/>
          <w:szCs w:val="22"/>
          <w:lang w:val="en-GB"/>
        </w:rPr>
        <w:t>.</w:t>
      </w:r>
    </w:p>
    <w:p w:rsidR="00AD4D50" w:rsidRDefault="00AD4D50" w:rsidP="001B2FE6">
      <w:pPr>
        <w:spacing w:after="240" w:line="276" w:lineRule="auto"/>
        <w:rPr>
          <w:b/>
          <w:sz w:val="22"/>
          <w:szCs w:val="22"/>
        </w:rPr>
      </w:pPr>
      <w:r w:rsidRPr="007A5116">
        <w:rPr>
          <w:b/>
          <w:sz w:val="22"/>
          <w:szCs w:val="22"/>
        </w:rPr>
        <w:t>R Lytzen, N Vejlstrup, J Bjerre, O</w:t>
      </w:r>
      <w:r>
        <w:rPr>
          <w:b/>
          <w:sz w:val="22"/>
          <w:szCs w:val="22"/>
        </w:rPr>
        <w:t>B Petersen, S Leenskjold, J Dodd, FS Jørgensen, L Søndergaard</w:t>
      </w:r>
    </w:p>
    <w:p w:rsidR="00AD4D50" w:rsidRPr="008D3F46" w:rsidRDefault="00AD4D50" w:rsidP="008D3F46">
      <w:pPr>
        <w:spacing w:after="240" w:line="276" w:lineRule="auto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  <w:r w:rsidRPr="008D3F46">
        <w:rPr>
          <w:rFonts w:ascii="Arial" w:hAnsi="Arial" w:cs="Arial"/>
          <w:sz w:val="20"/>
          <w:szCs w:val="20"/>
          <w:lang w:val="en-US"/>
        </w:rPr>
        <w:t>Department of Cardiology, Rigshospitalet, Copenhagen University Hospital, Denmark</w:t>
      </w:r>
    </w:p>
    <w:p w:rsidR="00AD4D50" w:rsidRPr="00DA0470" w:rsidRDefault="00AD4D50" w:rsidP="001B2FE6">
      <w:pPr>
        <w:spacing w:before="240" w:after="240" w:line="276" w:lineRule="auto"/>
        <w:rPr>
          <w:b/>
          <w:sz w:val="22"/>
          <w:szCs w:val="22"/>
          <w:lang w:val="en-US"/>
        </w:rPr>
      </w:pPr>
    </w:p>
    <w:p w:rsidR="00AD4D50" w:rsidRPr="008A6D6E" w:rsidRDefault="00AD4D50" w:rsidP="001B2FE6">
      <w:pPr>
        <w:spacing w:before="240" w:line="276" w:lineRule="auto"/>
        <w:rPr>
          <w:sz w:val="22"/>
          <w:szCs w:val="22"/>
          <w:lang w:val="en-GB"/>
        </w:rPr>
      </w:pPr>
      <w:r w:rsidRPr="008A6D6E">
        <w:rPr>
          <w:b/>
          <w:sz w:val="22"/>
          <w:szCs w:val="22"/>
          <w:lang w:val="en-GB"/>
        </w:rPr>
        <w:t>Introduction</w:t>
      </w:r>
      <w:r w:rsidRPr="008A6D6E">
        <w:rPr>
          <w:sz w:val="22"/>
          <w:szCs w:val="22"/>
          <w:lang w:val="en-GB"/>
        </w:rPr>
        <w:t xml:space="preserve"> </w:t>
      </w:r>
    </w:p>
    <w:p w:rsidR="00CF1644" w:rsidRDefault="008A6D6E" w:rsidP="001B2FE6">
      <w:pPr>
        <w:spacing w:before="240" w:line="276" w:lineRule="auto"/>
        <w:rPr>
          <w:sz w:val="22"/>
          <w:szCs w:val="22"/>
          <w:lang w:val="en-GB"/>
        </w:rPr>
      </w:pPr>
      <w:r w:rsidRPr="009C1E0D">
        <w:rPr>
          <w:sz w:val="22"/>
          <w:szCs w:val="22"/>
          <w:lang w:val="en-GB"/>
        </w:rPr>
        <w:t>We conducted a nationwide, retrospective study to assess the consequence of prenatal diagnosis</w:t>
      </w:r>
      <w:r w:rsidR="00657013">
        <w:rPr>
          <w:sz w:val="22"/>
          <w:szCs w:val="22"/>
          <w:lang w:val="en-GB"/>
        </w:rPr>
        <w:t xml:space="preserve"> of a major CHD</w:t>
      </w:r>
      <w:r w:rsidRPr="009C1E0D">
        <w:rPr>
          <w:sz w:val="22"/>
          <w:szCs w:val="22"/>
          <w:lang w:val="en-GB"/>
        </w:rPr>
        <w:t xml:space="preserve"> on mortality </w:t>
      </w:r>
      <w:r w:rsidR="0098321F">
        <w:rPr>
          <w:sz w:val="22"/>
          <w:szCs w:val="22"/>
          <w:lang w:val="en-GB"/>
        </w:rPr>
        <w:t>and morbidity</w:t>
      </w:r>
      <w:r w:rsidRPr="009C1E0D">
        <w:rPr>
          <w:sz w:val="22"/>
          <w:szCs w:val="22"/>
          <w:lang w:val="en-GB"/>
        </w:rPr>
        <w:t xml:space="preserve">. </w:t>
      </w:r>
    </w:p>
    <w:p w:rsidR="00AD4D50" w:rsidRPr="002E4585" w:rsidRDefault="00AD4D50" w:rsidP="001B2FE6">
      <w:pPr>
        <w:spacing w:before="240" w:line="276" w:lineRule="auto"/>
        <w:rPr>
          <w:sz w:val="22"/>
          <w:szCs w:val="22"/>
          <w:lang w:val="en-GB"/>
        </w:rPr>
      </w:pPr>
      <w:r w:rsidRPr="002E4585">
        <w:rPr>
          <w:b/>
          <w:sz w:val="22"/>
          <w:szCs w:val="22"/>
          <w:lang w:val="en-GB"/>
        </w:rPr>
        <w:t xml:space="preserve">Methods </w:t>
      </w:r>
    </w:p>
    <w:p w:rsidR="00AD4D50" w:rsidRPr="00BD3F19" w:rsidRDefault="002161B0" w:rsidP="001B2FE6">
      <w:pPr>
        <w:pStyle w:val="bodytext"/>
        <w:spacing w:after="240" w:afterAutospacing="0" w:line="276" w:lineRule="auto"/>
        <w:rPr>
          <w:rFonts w:asciiTheme="minorHAnsi" w:eastAsia="Times New Roman" w:hAnsiTheme="minorHAnsi" w:cs="Times New Roman"/>
          <w:sz w:val="22"/>
          <w:szCs w:val="22"/>
          <w:lang w:val="en-GB"/>
        </w:rPr>
      </w:pPr>
      <w:r>
        <w:rPr>
          <w:rFonts w:asciiTheme="minorHAnsi" w:eastAsia="Times New Roman" w:hAnsiTheme="minorHAnsi" w:cs="Times New Roman"/>
          <w:sz w:val="22"/>
          <w:szCs w:val="22"/>
          <w:lang w:val="en-GB"/>
        </w:rPr>
        <w:t>In</w:t>
      </w:r>
      <w:r w:rsidR="00EA5BB7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 a nationwide s</w:t>
      </w:r>
      <w:r w:rsidR="008D3F46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tudy running from 1996 to </w:t>
      </w:r>
      <w:r w:rsidR="00EA5BB7">
        <w:rPr>
          <w:rFonts w:asciiTheme="minorHAnsi" w:eastAsia="Times New Roman" w:hAnsiTheme="minorHAnsi" w:cs="Times New Roman"/>
          <w:sz w:val="22"/>
          <w:szCs w:val="22"/>
          <w:lang w:val="en-GB"/>
        </w:rPr>
        <w:t>2013</w:t>
      </w:r>
      <w:r w:rsidR="008D3F46">
        <w:rPr>
          <w:rFonts w:asciiTheme="minorHAnsi" w:eastAsia="Times New Roman" w:hAnsiTheme="minorHAnsi" w:cs="Times New Roman"/>
          <w:sz w:val="22"/>
          <w:szCs w:val="22"/>
          <w:lang w:val="en-GB"/>
        </w:rPr>
        <w:t>,</w:t>
      </w:r>
      <w:r w:rsidR="00EA5BB7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 </w:t>
      </w:r>
      <w:r>
        <w:rPr>
          <w:rFonts w:asciiTheme="minorHAnsi" w:eastAsia="Times New Roman" w:hAnsiTheme="minorHAnsi" w:cs="Times New Roman"/>
          <w:sz w:val="22"/>
          <w:szCs w:val="22"/>
          <w:lang w:val="en-GB"/>
        </w:rPr>
        <w:t>w</w:t>
      </w:r>
      <w:r w:rsidR="00EA5BB7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e included </w:t>
      </w:r>
      <w:r>
        <w:rPr>
          <w:rFonts w:asciiTheme="minorHAnsi" w:eastAsia="Times New Roman" w:hAnsiTheme="minorHAnsi" w:cs="Times New Roman"/>
          <w:sz w:val="22"/>
          <w:szCs w:val="22"/>
          <w:lang w:val="en-GB"/>
        </w:rPr>
        <w:t>2695</w:t>
      </w:r>
      <w:r w:rsidR="00EA5BB7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 terminated pregnancies (TOP) and live-born children diagnosed with a major CHD</w:t>
      </w:r>
      <w:r w:rsidR="00782F05">
        <w:rPr>
          <w:rFonts w:asciiTheme="minorHAnsi" w:eastAsia="Times New Roman" w:hAnsiTheme="minorHAnsi" w:cs="Times New Roman"/>
          <w:sz w:val="22"/>
          <w:szCs w:val="22"/>
          <w:lang w:val="en-GB"/>
        </w:rPr>
        <w:t>.</w:t>
      </w:r>
      <w:r w:rsidR="00AD4D50" w:rsidRPr="00BD3F19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 </w:t>
      </w:r>
      <w:r w:rsidR="00490348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From 2004 prenatal screening was </w:t>
      </w:r>
      <w:proofErr w:type="spellStart"/>
      <w:r w:rsidR="00490348">
        <w:rPr>
          <w:rFonts w:asciiTheme="minorHAnsi" w:eastAsia="Times New Roman" w:hAnsiTheme="minorHAnsi" w:cs="Times New Roman"/>
          <w:sz w:val="22"/>
          <w:szCs w:val="22"/>
          <w:lang w:val="en-GB"/>
        </w:rPr>
        <w:t>universially</w:t>
      </w:r>
      <w:proofErr w:type="spellEnd"/>
      <w:r w:rsidR="00490348">
        <w:rPr>
          <w:rFonts w:asciiTheme="minorHAnsi" w:eastAsia="Times New Roman" w:hAnsiTheme="minorHAnsi" w:cs="Times New Roman"/>
          <w:sz w:val="22"/>
          <w:szCs w:val="22"/>
          <w:lang w:val="en-GB"/>
        </w:rPr>
        <w:t xml:space="preserve"> offered to pregnant women in Denmark</w:t>
      </w:r>
    </w:p>
    <w:p w:rsidR="00F95CF1" w:rsidRPr="00CF1644" w:rsidRDefault="00703BB5" w:rsidP="008D3F46">
      <w:pPr>
        <w:spacing w:after="240" w:line="276" w:lineRule="auto"/>
        <w:rPr>
          <w:sz w:val="22"/>
          <w:szCs w:val="22"/>
          <w:lang w:val="en-US"/>
        </w:rPr>
      </w:pPr>
      <w:r w:rsidRPr="00703BB5">
        <w:rPr>
          <w:b/>
          <w:sz w:val="22"/>
          <w:szCs w:val="22"/>
          <w:lang w:val="en-GB"/>
        </w:rPr>
        <w:t>Results</w:t>
      </w:r>
      <w:r w:rsidR="00FC0BF2">
        <w:rPr>
          <w:sz w:val="22"/>
          <w:szCs w:val="22"/>
          <w:lang w:val="en-US"/>
        </w:rPr>
        <w:t xml:space="preserve"> </w:t>
      </w:r>
    </w:p>
    <w:p w:rsidR="008D3F46" w:rsidRPr="00703BB5" w:rsidRDefault="00F95CF1" w:rsidP="008D3F46">
      <w:pPr>
        <w:spacing w:after="240" w:line="276" w:lineRule="auto"/>
        <w:rPr>
          <w:b/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17.5% of </w:t>
      </w:r>
      <w:proofErr w:type="spellStart"/>
      <w:r>
        <w:rPr>
          <w:sz w:val="22"/>
          <w:szCs w:val="22"/>
          <w:lang w:val="en-GB"/>
        </w:rPr>
        <w:t>fetuses</w:t>
      </w:r>
      <w:proofErr w:type="spellEnd"/>
      <w:r>
        <w:rPr>
          <w:sz w:val="22"/>
          <w:szCs w:val="22"/>
          <w:lang w:val="en-GB"/>
        </w:rPr>
        <w:t xml:space="preserve"> with major CHD were terminated</w:t>
      </w:r>
      <w:r w:rsidR="00CF1644">
        <w:rPr>
          <w:sz w:val="22"/>
          <w:szCs w:val="22"/>
          <w:lang w:val="en-GB"/>
        </w:rPr>
        <w:t>,</w:t>
      </w:r>
      <w:r>
        <w:rPr>
          <w:sz w:val="22"/>
          <w:szCs w:val="22"/>
          <w:lang w:val="en-GB"/>
        </w:rPr>
        <w:t xml:space="preserve"> 0.6% in 1996 </w:t>
      </w:r>
      <w:r w:rsidR="00CF1644">
        <w:rPr>
          <w:sz w:val="22"/>
          <w:szCs w:val="22"/>
          <w:lang w:val="en-GB"/>
        </w:rPr>
        <w:t xml:space="preserve">increasing </w:t>
      </w:r>
      <w:r>
        <w:rPr>
          <w:sz w:val="22"/>
          <w:szCs w:val="22"/>
          <w:lang w:val="en-GB"/>
        </w:rPr>
        <w:t>to 39.1% in 2013 (p&lt;0.0001)</w:t>
      </w:r>
      <w:r w:rsidR="00CF1644">
        <w:rPr>
          <w:sz w:val="22"/>
          <w:szCs w:val="22"/>
          <w:lang w:val="en-GB"/>
        </w:rPr>
        <w:t>. T</w:t>
      </w:r>
      <w:r w:rsidR="00490FE5">
        <w:rPr>
          <w:sz w:val="22"/>
          <w:szCs w:val="22"/>
          <w:lang w:val="en-GB"/>
        </w:rPr>
        <w:t>he</w:t>
      </w:r>
      <w:r w:rsidR="00CF1644">
        <w:rPr>
          <w:sz w:val="22"/>
          <w:szCs w:val="22"/>
          <w:lang w:val="en-GB"/>
        </w:rPr>
        <w:t xml:space="preserve"> highest</w:t>
      </w:r>
      <w:r w:rsidR="00490FE5">
        <w:rPr>
          <w:sz w:val="22"/>
          <w:szCs w:val="22"/>
          <w:lang w:val="en-GB"/>
        </w:rPr>
        <w:t xml:space="preserve"> TOP rate </w:t>
      </w:r>
      <w:r w:rsidR="00CF1644">
        <w:rPr>
          <w:sz w:val="22"/>
          <w:szCs w:val="22"/>
          <w:lang w:val="en-GB"/>
        </w:rPr>
        <w:t>was found in UVH where</w:t>
      </w:r>
      <w:r w:rsidR="00490FE5">
        <w:rPr>
          <w:sz w:val="22"/>
          <w:szCs w:val="22"/>
          <w:lang w:val="en-GB"/>
        </w:rPr>
        <w:t xml:space="preserve"> 86.5% </w:t>
      </w:r>
      <w:r w:rsidR="00CF1644">
        <w:rPr>
          <w:sz w:val="22"/>
          <w:szCs w:val="22"/>
          <w:lang w:val="en-GB"/>
        </w:rPr>
        <w:t xml:space="preserve">were terminated </w:t>
      </w:r>
      <w:r w:rsidR="00490FE5">
        <w:rPr>
          <w:sz w:val="22"/>
          <w:szCs w:val="22"/>
          <w:lang w:val="en-GB"/>
        </w:rPr>
        <w:t>in 2013</w:t>
      </w:r>
      <w:r>
        <w:rPr>
          <w:sz w:val="22"/>
          <w:szCs w:val="22"/>
          <w:lang w:val="en-GB"/>
        </w:rPr>
        <w:t xml:space="preserve">. </w:t>
      </w:r>
    </w:p>
    <w:p w:rsidR="008D3F46" w:rsidRPr="00CF1644" w:rsidRDefault="008D3F46" w:rsidP="008D3F46">
      <w:pPr>
        <w:spacing w:after="240"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All-cause as well as cardiac 30-day and 1-year mortality rates decreased throughout the study (p&lt;0.0001). The highest rates were found in patients with UVH where 52.6% of live-born children died within the first year of life. </w:t>
      </w:r>
    </w:p>
    <w:p w:rsidR="00375CE1" w:rsidRDefault="00490348" w:rsidP="00C01286">
      <w:pPr>
        <w:spacing w:after="240"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Detection rates</w:t>
      </w:r>
      <w:r w:rsidR="00CE66BA">
        <w:rPr>
          <w:sz w:val="22"/>
          <w:szCs w:val="22"/>
          <w:lang w:val="en-GB"/>
        </w:rPr>
        <w:t xml:space="preserve"> increas</w:t>
      </w:r>
      <w:r>
        <w:rPr>
          <w:sz w:val="22"/>
          <w:szCs w:val="22"/>
          <w:lang w:val="en-GB"/>
        </w:rPr>
        <w:t>ed</w:t>
      </w:r>
      <w:r w:rsidR="00A02D07">
        <w:rPr>
          <w:sz w:val="22"/>
          <w:szCs w:val="22"/>
          <w:lang w:val="en-GB"/>
        </w:rPr>
        <w:t xml:space="preserve"> from </w:t>
      </w:r>
      <w:r w:rsidR="00CC69FF">
        <w:rPr>
          <w:sz w:val="22"/>
          <w:szCs w:val="22"/>
          <w:lang w:val="en-GB"/>
        </w:rPr>
        <w:t xml:space="preserve">4.5 </w:t>
      </w:r>
      <w:r w:rsidR="00CE66BA">
        <w:rPr>
          <w:sz w:val="22"/>
          <w:szCs w:val="22"/>
          <w:lang w:val="en-GB"/>
        </w:rPr>
        <w:t xml:space="preserve">% in 1996 to </w:t>
      </w:r>
      <w:r w:rsidR="00CC69FF">
        <w:rPr>
          <w:sz w:val="22"/>
          <w:szCs w:val="22"/>
          <w:lang w:val="en-GB"/>
        </w:rPr>
        <w:t>71.0</w:t>
      </w:r>
      <w:r w:rsidR="00A02D07">
        <w:rPr>
          <w:sz w:val="22"/>
          <w:szCs w:val="22"/>
          <w:lang w:val="en-GB"/>
        </w:rPr>
        <w:t xml:space="preserve">% </w:t>
      </w:r>
      <w:r w:rsidR="00CE66BA">
        <w:rPr>
          <w:sz w:val="22"/>
          <w:szCs w:val="22"/>
          <w:lang w:val="en-GB"/>
        </w:rPr>
        <w:t>in</w:t>
      </w:r>
      <w:r w:rsidR="00A02D07">
        <w:rPr>
          <w:sz w:val="22"/>
          <w:szCs w:val="22"/>
          <w:lang w:val="en-GB"/>
        </w:rPr>
        <w:t xml:space="preserve"> 2013</w:t>
      </w:r>
      <w:r>
        <w:rPr>
          <w:sz w:val="22"/>
          <w:szCs w:val="22"/>
          <w:lang w:val="en-GB"/>
        </w:rPr>
        <w:t xml:space="preserve"> (p&lt;0.0001)</w:t>
      </w:r>
      <w:r w:rsidR="00A02D07">
        <w:rPr>
          <w:sz w:val="22"/>
          <w:szCs w:val="22"/>
          <w:lang w:val="en-GB"/>
        </w:rPr>
        <w:t>.</w:t>
      </w:r>
      <w:r w:rsidR="00462784">
        <w:rPr>
          <w:sz w:val="22"/>
          <w:szCs w:val="22"/>
          <w:lang w:val="en-GB"/>
        </w:rPr>
        <w:t xml:space="preserve"> </w:t>
      </w:r>
      <w:r w:rsidR="001D6626">
        <w:rPr>
          <w:sz w:val="22"/>
          <w:szCs w:val="22"/>
          <w:lang w:val="en-GB"/>
        </w:rPr>
        <w:t xml:space="preserve">There was </w:t>
      </w:r>
      <w:r w:rsidR="00E16E28">
        <w:rPr>
          <w:sz w:val="22"/>
          <w:szCs w:val="22"/>
          <w:lang w:val="en-GB"/>
        </w:rPr>
        <w:t xml:space="preserve">increased </w:t>
      </w:r>
      <w:r w:rsidR="006374BD">
        <w:rPr>
          <w:sz w:val="22"/>
          <w:szCs w:val="22"/>
          <w:lang w:val="en-GB"/>
        </w:rPr>
        <w:t>all-cause</w:t>
      </w:r>
      <w:r>
        <w:rPr>
          <w:sz w:val="22"/>
          <w:szCs w:val="22"/>
          <w:lang w:val="en-GB"/>
        </w:rPr>
        <w:t xml:space="preserve"> and cardiac</w:t>
      </w:r>
      <w:r w:rsidR="006374BD">
        <w:rPr>
          <w:sz w:val="22"/>
          <w:szCs w:val="22"/>
          <w:lang w:val="en-GB"/>
        </w:rPr>
        <w:t xml:space="preserve"> </w:t>
      </w:r>
      <w:r w:rsidR="00E16E28">
        <w:rPr>
          <w:sz w:val="22"/>
          <w:szCs w:val="22"/>
          <w:lang w:val="en-GB"/>
        </w:rPr>
        <w:t>mortality in</w:t>
      </w:r>
      <w:r w:rsidR="001D6626">
        <w:rPr>
          <w:sz w:val="22"/>
          <w:szCs w:val="22"/>
          <w:lang w:val="en-GB"/>
        </w:rPr>
        <w:t xml:space="preserve"> </w:t>
      </w:r>
      <w:r w:rsidR="00566FB3">
        <w:rPr>
          <w:sz w:val="22"/>
          <w:szCs w:val="22"/>
          <w:lang w:val="en-GB"/>
        </w:rPr>
        <w:t>live</w:t>
      </w:r>
      <w:r w:rsidR="0010204C">
        <w:rPr>
          <w:sz w:val="22"/>
          <w:szCs w:val="22"/>
          <w:lang w:val="en-GB"/>
        </w:rPr>
        <w:t>-</w:t>
      </w:r>
      <w:r w:rsidR="00566FB3">
        <w:rPr>
          <w:sz w:val="22"/>
          <w:szCs w:val="22"/>
          <w:lang w:val="en-GB"/>
        </w:rPr>
        <w:t xml:space="preserve">born </w:t>
      </w:r>
      <w:r w:rsidR="006374BD">
        <w:rPr>
          <w:sz w:val="22"/>
          <w:szCs w:val="22"/>
          <w:lang w:val="en-GB"/>
        </w:rPr>
        <w:t xml:space="preserve">children whose CHD had been diagnosed prenatally with a </w:t>
      </w:r>
      <w:r>
        <w:rPr>
          <w:sz w:val="22"/>
          <w:szCs w:val="22"/>
          <w:lang w:val="en-GB"/>
        </w:rPr>
        <w:t>hazard ratio</w:t>
      </w:r>
      <w:r w:rsidR="006374BD">
        <w:rPr>
          <w:sz w:val="22"/>
          <w:szCs w:val="22"/>
          <w:lang w:val="en-GB"/>
        </w:rPr>
        <w:t xml:space="preserve"> of 2.23</w:t>
      </w:r>
      <w:r>
        <w:rPr>
          <w:sz w:val="22"/>
          <w:szCs w:val="22"/>
          <w:lang w:val="en-GB"/>
        </w:rPr>
        <w:t xml:space="preserve"> (p&lt;0.0001)</w:t>
      </w:r>
      <w:r>
        <w:rPr>
          <w:sz w:val="22"/>
          <w:szCs w:val="22"/>
          <w:lang w:val="en-GB"/>
        </w:rPr>
        <w:t xml:space="preserve"> and 2.04</w:t>
      </w:r>
      <w:r>
        <w:rPr>
          <w:sz w:val="22"/>
          <w:szCs w:val="22"/>
          <w:lang w:val="en-GB"/>
        </w:rPr>
        <w:t xml:space="preserve"> (p&lt;0.0001)</w:t>
      </w:r>
      <w:r>
        <w:rPr>
          <w:sz w:val="22"/>
          <w:szCs w:val="22"/>
          <w:lang w:val="en-GB"/>
        </w:rPr>
        <w:t>, respectively</w:t>
      </w:r>
      <w:r w:rsidR="006374BD">
        <w:rPr>
          <w:sz w:val="22"/>
          <w:szCs w:val="22"/>
          <w:lang w:val="en-GB"/>
        </w:rPr>
        <w:t xml:space="preserve">. </w:t>
      </w:r>
      <w:r>
        <w:rPr>
          <w:sz w:val="22"/>
          <w:szCs w:val="22"/>
          <w:lang w:val="en-GB"/>
        </w:rPr>
        <w:t>A</w:t>
      </w:r>
      <w:r w:rsidR="00D86FCB">
        <w:rPr>
          <w:sz w:val="22"/>
          <w:szCs w:val="22"/>
          <w:lang w:val="en-GB"/>
        </w:rPr>
        <w:t>fter the introduct</w:t>
      </w:r>
      <w:r>
        <w:rPr>
          <w:sz w:val="22"/>
          <w:szCs w:val="22"/>
          <w:lang w:val="en-GB"/>
        </w:rPr>
        <w:t>ion of general screening, the hazard ratio</w:t>
      </w:r>
      <w:r w:rsidR="00D86FCB">
        <w:rPr>
          <w:sz w:val="22"/>
          <w:szCs w:val="22"/>
          <w:lang w:val="en-GB"/>
        </w:rPr>
        <w:t xml:space="preserve"> for cardiac death</w:t>
      </w:r>
      <w:r w:rsidR="006374BD">
        <w:rPr>
          <w:sz w:val="22"/>
          <w:szCs w:val="22"/>
          <w:lang w:val="en-GB"/>
        </w:rPr>
        <w:t xml:space="preserve"> </w:t>
      </w:r>
      <w:r w:rsidR="00D86FCB">
        <w:rPr>
          <w:sz w:val="22"/>
          <w:szCs w:val="22"/>
          <w:lang w:val="en-GB"/>
        </w:rPr>
        <w:t>was no longer statistically significant (</w:t>
      </w:r>
      <w:r>
        <w:rPr>
          <w:sz w:val="22"/>
          <w:szCs w:val="22"/>
          <w:lang w:val="en-GB"/>
        </w:rPr>
        <w:t xml:space="preserve">HR </w:t>
      </w:r>
      <w:r w:rsidR="00D86FCB">
        <w:rPr>
          <w:sz w:val="22"/>
          <w:szCs w:val="22"/>
          <w:lang w:val="en-GB"/>
        </w:rPr>
        <w:t xml:space="preserve">0.91, p=0.5648). </w:t>
      </w:r>
    </w:p>
    <w:p w:rsidR="000766B9" w:rsidRDefault="00CF1644" w:rsidP="00CF1644">
      <w:pPr>
        <w:spacing w:after="240" w:line="276" w:lineRule="auto"/>
        <w:rPr>
          <w:b/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The children diagnosed prenatally had longer length of stay and higher occurrence of kidney failure </w:t>
      </w:r>
      <w:r w:rsidR="008D3F46">
        <w:rPr>
          <w:sz w:val="22"/>
          <w:szCs w:val="22"/>
          <w:lang w:val="en-GB"/>
        </w:rPr>
        <w:t xml:space="preserve">(p=0.0112) </w:t>
      </w:r>
      <w:r>
        <w:rPr>
          <w:sz w:val="22"/>
          <w:szCs w:val="22"/>
          <w:lang w:val="en-GB"/>
        </w:rPr>
        <w:t>and respiratory insufficiency</w:t>
      </w:r>
      <w:r w:rsidR="008D3F46">
        <w:rPr>
          <w:sz w:val="22"/>
          <w:szCs w:val="22"/>
          <w:lang w:val="en-GB"/>
        </w:rPr>
        <w:t xml:space="preserve"> (p=0.0061)</w:t>
      </w:r>
      <w:r>
        <w:rPr>
          <w:sz w:val="22"/>
          <w:szCs w:val="22"/>
          <w:lang w:val="en-GB"/>
        </w:rPr>
        <w:t>.</w:t>
      </w:r>
      <w:r>
        <w:rPr>
          <w:b/>
          <w:sz w:val="22"/>
          <w:szCs w:val="22"/>
          <w:lang w:val="en-GB"/>
        </w:rPr>
        <w:t xml:space="preserve"> </w:t>
      </w:r>
    </w:p>
    <w:p w:rsidR="008D3F46" w:rsidRPr="008D3F46" w:rsidRDefault="008D3F46" w:rsidP="008D3F46">
      <w:pPr>
        <w:spacing w:after="200" w:line="276" w:lineRule="auto"/>
        <w:rPr>
          <w:b/>
          <w:sz w:val="22"/>
          <w:szCs w:val="22"/>
          <w:lang w:val="en-GB"/>
        </w:rPr>
      </w:pPr>
      <w:r w:rsidRPr="008D3F46">
        <w:rPr>
          <w:b/>
          <w:sz w:val="22"/>
          <w:szCs w:val="22"/>
          <w:lang w:val="en-GB"/>
        </w:rPr>
        <w:t>Conclusion</w:t>
      </w:r>
    </w:p>
    <w:p w:rsidR="008D3F46" w:rsidRDefault="008D3F46" w:rsidP="008D3F46">
      <w:pPr>
        <w:spacing w:after="200" w:line="276" w:lineRule="auto"/>
        <w:rPr>
          <w:lang w:val="en-GB"/>
        </w:rPr>
      </w:pPr>
      <w:r>
        <w:rPr>
          <w:sz w:val="22"/>
          <w:szCs w:val="22"/>
          <w:lang w:val="en-GB"/>
        </w:rPr>
        <w:t>Prenatal diagnosis</w:t>
      </w:r>
      <w:r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i</w:t>
      </w:r>
      <w:r>
        <w:rPr>
          <w:sz w:val="22"/>
          <w:szCs w:val="22"/>
          <w:lang w:val="en-GB"/>
        </w:rPr>
        <w:t xml:space="preserve">s associated with worse prognosis. </w:t>
      </w:r>
      <w:r>
        <w:rPr>
          <w:sz w:val="22"/>
          <w:szCs w:val="22"/>
          <w:lang w:val="en-GB"/>
        </w:rPr>
        <w:t xml:space="preserve">This may be caused by selection bias as severe cases are more easily detected and </w:t>
      </w:r>
      <w:r>
        <w:rPr>
          <w:sz w:val="22"/>
          <w:szCs w:val="22"/>
          <w:lang w:val="en-GB"/>
        </w:rPr>
        <w:t xml:space="preserve">the value of prenatal diagnosis may be difficult to demonstrate due to </w:t>
      </w:r>
      <w:r>
        <w:rPr>
          <w:sz w:val="22"/>
          <w:szCs w:val="22"/>
          <w:lang w:val="en-GB"/>
        </w:rPr>
        <w:t>improve</w:t>
      </w:r>
      <w:r>
        <w:rPr>
          <w:sz w:val="22"/>
          <w:szCs w:val="22"/>
          <w:lang w:val="en-GB"/>
        </w:rPr>
        <w:t>ments in the detection of major CHD after birth</w:t>
      </w:r>
      <w:r>
        <w:rPr>
          <w:sz w:val="22"/>
          <w:szCs w:val="22"/>
          <w:lang w:val="en-GB"/>
        </w:rPr>
        <w:t>.</w:t>
      </w:r>
    </w:p>
    <w:sectPr w:rsidR="008D3F46" w:rsidSect="00657013">
      <w:pgSz w:w="11906" w:h="16838"/>
      <w:pgMar w:top="170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C2F"/>
    <w:multiLevelType w:val="hybridMultilevel"/>
    <w:tmpl w:val="32425E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C90815"/>
    <w:multiLevelType w:val="hybridMultilevel"/>
    <w:tmpl w:val="A120D11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CHD&lt;/item&gt;&lt;/Libraries&gt;&lt;/ENLibraries&gt;"/>
  </w:docVars>
  <w:rsids>
    <w:rsidRoot w:val="006E7709"/>
    <w:rsid w:val="0000643A"/>
    <w:rsid w:val="00012D70"/>
    <w:rsid w:val="000217DA"/>
    <w:rsid w:val="00023E3F"/>
    <w:rsid w:val="00026336"/>
    <w:rsid w:val="00037594"/>
    <w:rsid w:val="00052B8B"/>
    <w:rsid w:val="000566D1"/>
    <w:rsid w:val="000567A3"/>
    <w:rsid w:val="00063D7B"/>
    <w:rsid w:val="000659B4"/>
    <w:rsid w:val="00066526"/>
    <w:rsid w:val="00070CFE"/>
    <w:rsid w:val="000740B2"/>
    <w:rsid w:val="000766B9"/>
    <w:rsid w:val="00081203"/>
    <w:rsid w:val="00090B4E"/>
    <w:rsid w:val="000A3E86"/>
    <w:rsid w:val="000A40C6"/>
    <w:rsid w:val="000B642E"/>
    <w:rsid w:val="000B7863"/>
    <w:rsid w:val="000D06B9"/>
    <w:rsid w:val="000F50FC"/>
    <w:rsid w:val="000F53B4"/>
    <w:rsid w:val="0010204C"/>
    <w:rsid w:val="0011055E"/>
    <w:rsid w:val="001152B1"/>
    <w:rsid w:val="0012425B"/>
    <w:rsid w:val="00124858"/>
    <w:rsid w:val="00126E88"/>
    <w:rsid w:val="001341AF"/>
    <w:rsid w:val="00143071"/>
    <w:rsid w:val="0015289A"/>
    <w:rsid w:val="001560B2"/>
    <w:rsid w:val="00167683"/>
    <w:rsid w:val="001711AE"/>
    <w:rsid w:val="00176753"/>
    <w:rsid w:val="00176E55"/>
    <w:rsid w:val="00186122"/>
    <w:rsid w:val="00186B05"/>
    <w:rsid w:val="001A3148"/>
    <w:rsid w:val="001A314D"/>
    <w:rsid w:val="001A4FD7"/>
    <w:rsid w:val="001A7406"/>
    <w:rsid w:val="001B2FE6"/>
    <w:rsid w:val="001B7C02"/>
    <w:rsid w:val="001C422A"/>
    <w:rsid w:val="001D432D"/>
    <w:rsid w:val="001D6626"/>
    <w:rsid w:val="001E5D15"/>
    <w:rsid w:val="001F7407"/>
    <w:rsid w:val="00215A51"/>
    <w:rsid w:val="002161B0"/>
    <w:rsid w:val="00226272"/>
    <w:rsid w:val="00227932"/>
    <w:rsid w:val="00230D4E"/>
    <w:rsid w:val="0023459D"/>
    <w:rsid w:val="0023787B"/>
    <w:rsid w:val="00246E9C"/>
    <w:rsid w:val="0024753E"/>
    <w:rsid w:val="002504B0"/>
    <w:rsid w:val="002621B6"/>
    <w:rsid w:val="002628E3"/>
    <w:rsid w:val="00270C93"/>
    <w:rsid w:val="00271595"/>
    <w:rsid w:val="002774A7"/>
    <w:rsid w:val="002930FC"/>
    <w:rsid w:val="00293951"/>
    <w:rsid w:val="00293ED3"/>
    <w:rsid w:val="002A10D7"/>
    <w:rsid w:val="002A3366"/>
    <w:rsid w:val="002A66C3"/>
    <w:rsid w:val="002C72B4"/>
    <w:rsid w:val="002D10F3"/>
    <w:rsid w:val="002D1B40"/>
    <w:rsid w:val="002E6F76"/>
    <w:rsid w:val="002F5FFA"/>
    <w:rsid w:val="0030283B"/>
    <w:rsid w:val="00306924"/>
    <w:rsid w:val="00322464"/>
    <w:rsid w:val="00334F58"/>
    <w:rsid w:val="00335330"/>
    <w:rsid w:val="003427EB"/>
    <w:rsid w:val="00344E20"/>
    <w:rsid w:val="00352395"/>
    <w:rsid w:val="00363FE4"/>
    <w:rsid w:val="00375CE1"/>
    <w:rsid w:val="00380EA6"/>
    <w:rsid w:val="00382ADE"/>
    <w:rsid w:val="003839D2"/>
    <w:rsid w:val="003A3B50"/>
    <w:rsid w:val="003A5F1C"/>
    <w:rsid w:val="003B4825"/>
    <w:rsid w:val="003B6151"/>
    <w:rsid w:val="003E07FB"/>
    <w:rsid w:val="003F00A4"/>
    <w:rsid w:val="003F0909"/>
    <w:rsid w:val="00421663"/>
    <w:rsid w:val="00433107"/>
    <w:rsid w:val="004405F9"/>
    <w:rsid w:val="004451EC"/>
    <w:rsid w:val="004522AA"/>
    <w:rsid w:val="004529CE"/>
    <w:rsid w:val="00462784"/>
    <w:rsid w:val="004627E5"/>
    <w:rsid w:val="0047065A"/>
    <w:rsid w:val="00486C36"/>
    <w:rsid w:val="00490348"/>
    <w:rsid w:val="00490FE5"/>
    <w:rsid w:val="00491CE4"/>
    <w:rsid w:val="00494468"/>
    <w:rsid w:val="004A64CD"/>
    <w:rsid w:val="004B3F55"/>
    <w:rsid w:val="004E105A"/>
    <w:rsid w:val="004E1D04"/>
    <w:rsid w:val="004E1E18"/>
    <w:rsid w:val="004E692F"/>
    <w:rsid w:val="004F0659"/>
    <w:rsid w:val="004F0A34"/>
    <w:rsid w:val="00510CA9"/>
    <w:rsid w:val="005123BA"/>
    <w:rsid w:val="00520803"/>
    <w:rsid w:val="0053562F"/>
    <w:rsid w:val="0054757E"/>
    <w:rsid w:val="00565F60"/>
    <w:rsid w:val="00566FB3"/>
    <w:rsid w:val="00591D78"/>
    <w:rsid w:val="00595E27"/>
    <w:rsid w:val="005A69EC"/>
    <w:rsid w:val="005A7C51"/>
    <w:rsid w:val="005B164D"/>
    <w:rsid w:val="005C4ED4"/>
    <w:rsid w:val="005D132B"/>
    <w:rsid w:val="005D1C63"/>
    <w:rsid w:val="005D2DF1"/>
    <w:rsid w:val="005D5250"/>
    <w:rsid w:val="005E6E86"/>
    <w:rsid w:val="005F7A7F"/>
    <w:rsid w:val="0060752B"/>
    <w:rsid w:val="00615A1E"/>
    <w:rsid w:val="006374BD"/>
    <w:rsid w:val="00645F2E"/>
    <w:rsid w:val="0064684D"/>
    <w:rsid w:val="00655586"/>
    <w:rsid w:val="00655F75"/>
    <w:rsid w:val="00657013"/>
    <w:rsid w:val="00660C26"/>
    <w:rsid w:val="00662077"/>
    <w:rsid w:val="00666AE8"/>
    <w:rsid w:val="00667E27"/>
    <w:rsid w:val="00672717"/>
    <w:rsid w:val="0067537D"/>
    <w:rsid w:val="00691DA7"/>
    <w:rsid w:val="00693136"/>
    <w:rsid w:val="0069381B"/>
    <w:rsid w:val="00696254"/>
    <w:rsid w:val="006A30C5"/>
    <w:rsid w:val="006A5701"/>
    <w:rsid w:val="006C6450"/>
    <w:rsid w:val="006D0CDD"/>
    <w:rsid w:val="006E14DB"/>
    <w:rsid w:val="006E6787"/>
    <w:rsid w:val="006E7709"/>
    <w:rsid w:val="006F0758"/>
    <w:rsid w:val="006F18DA"/>
    <w:rsid w:val="006F50DD"/>
    <w:rsid w:val="00703BB5"/>
    <w:rsid w:val="007059AC"/>
    <w:rsid w:val="00730B00"/>
    <w:rsid w:val="00742A83"/>
    <w:rsid w:val="00743FD6"/>
    <w:rsid w:val="007579C9"/>
    <w:rsid w:val="00770F3D"/>
    <w:rsid w:val="00772AE3"/>
    <w:rsid w:val="00776588"/>
    <w:rsid w:val="00782F05"/>
    <w:rsid w:val="0078456A"/>
    <w:rsid w:val="00797080"/>
    <w:rsid w:val="00797EDD"/>
    <w:rsid w:val="007A0A76"/>
    <w:rsid w:val="007A0A9A"/>
    <w:rsid w:val="007B0D6B"/>
    <w:rsid w:val="007B6CBB"/>
    <w:rsid w:val="007D2199"/>
    <w:rsid w:val="007E4C7B"/>
    <w:rsid w:val="007F76A1"/>
    <w:rsid w:val="007F7793"/>
    <w:rsid w:val="00804A39"/>
    <w:rsid w:val="00822973"/>
    <w:rsid w:val="0084568E"/>
    <w:rsid w:val="00857404"/>
    <w:rsid w:val="008626ED"/>
    <w:rsid w:val="00864311"/>
    <w:rsid w:val="00872B04"/>
    <w:rsid w:val="00872EF5"/>
    <w:rsid w:val="00873293"/>
    <w:rsid w:val="00874825"/>
    <w:rsid w:val="00876D20"/>
    <w:rsid w:val="00882453"/>
    <w:rsid w:val="00884150"/>
    <w:rsid w:val="008A6D6E"/>
    <w:rsid w:val="008B0E3B"/>
    <w:rsid w:val="008B388F"/>
    <w:rsid w:val="008D3F46"/>
    <w:rsid w:val="008D5CA3"/>
    <w:rsid w:val="008F299A"/>
    <w:rsid w:val="00913629"/>
    <w:rsid w:val="00933578"/>
    <w:rsid w:val="00934F73"/>
    <w:rsid w:val="00944F97"/>
    <w:rsid w:val="00946CF8"/>
    <w:rsid w:val="00952AEA"/>
    <w:rsid w:val="009576FC"/>
    <w:rsid w:val="0097089D"/>
    <w:rsid w:val="0098321F"/>
    <w:rsid w:val="00983BD7"/>
    <w:rsid w:val="00995109"/>
    <w:rsid w:val="0099608E"/>
    <w:rsid w:val="009C1E0D"/>
    <w:rsid w:val="009C67D2"/>
    <w:rsid w:val="009D1EEB"/>
    <w:rsid w:val="009E2799"/>
    <w:rsid w:val="009E2AE9"/>
    <w:rsid w:val="009E3D13"/>
    <w:rsid w:val="009F5C5B"/>
    <w:rsid w:val="00A01D5A"/>
    <w:rsid w:val="00A02D07"/>
    <w:rsid w:val="00A06EAB"/>
    <w:rsid w:val="00A12106"/>
    <w:rsid w:val="00A14635"/>
    <w:rsid w:val="00A250C8"/>
    <w:rsid w:val="00A3258B"/>
    <w:rsid w:val="00A46370"/>
    <w:rsid w:val="00A53201"/>
    <w:rsid w:val="00A62D41"/>
    <w:rsid w:val="00A74F29"/>
    <w:rsid w:val="00A80680"/>
    <w:rsid w:val="00A857FD"/>
    <w:rsid w:val="00A95214"/>
    <w:rsid w:val="00AA7BB7"/>
    <w:rsid w:val="00AB0D3B"/>
    <w:rsid w:val="00AC175A"/>
    <w:rsid w:val="00AC31A8"/>
    <w:rsid w:val="00AD1F2C"/>
    <w:rsid w:val="00AD3A77"/>
    <w:rsid w:val="00AD4D50"/>
    <w:rsid w:val="00AD6922"/>
    <w:rsid w:val="00AE4060"/>
    <w:rsid w:val="00AF74A3"/>
    <w:rsid w:val="00B23ECA"/>
    <w:rsid w:val="00B32903"/>
    <w:rsid w:val="00B35115"/>
    <w:rsid w:val="00B351AC"/>
    <w:rsid w:val="00B5277E"/>
    <w:rsid w:val="00B74CEE"/>
    <w:rsid w:val="00B93B80"/>
    <w:rsid w:val="00BA5F9C"/>
    <w:rsid w:val="00BB1198"/>
    <w:rsid w:val="00BC00DE"/>
    <w:rsid w:val="00BD1206"/>
    <w:rsid w:val="00BD15B4"/>
    <w:rsid w:val="00BD3CF8"/>
    <w:rsid w:val="00BE3B0F"/>
    <w:rsid w:val="00BE6A95"/>
    <w:rsid w:val="00BE6C2D"/>
    <w:rsid w:val="00C01286"/>
    <w:rsid w:val="00C0186E"/>
    <w:rsid w:val="00C03BDE"/>
    <w:rsid w:val="00C152C9"/>
    <w:rsid w:val="00C15660"/>
    <w:rsid w:val="00C15975"/>
    <w:rsid w:val="00C16932"/>
    <w:rsid w:val="00C22224"/>
    <w:rsid w:val="00C31FC9"/>
    <w:rsid w:val="00C43B10"/>
    <w:rsid w:val="00C45BE2"/>
    <w:rsid w:val="00C523F0"/>
    <w:rsid w:val="00C52DF3"/>
    <w:rsid w:val="00C77CC9"/>
    <w:rsid w:val="00CA37AC"/>
    <w:rsid w:val="00CA52A0"/>
    <w:rsid w:val="00CC627F"/>
    <w:rsid w:val="00CC69FF"/>
    <w:rsid w:val="00CD1916"/>
    <w:rsid w:val="00CE07D6"/>
    <w:rsid w:val="00CE66BA"/>
    <w:rsid w:val="00CF1644"/>
    <w:rsid w:val="00CF2023"/>
    <w:rsid w:val="00D36749"/>
    <w:rsid w:val="00D43B69"/>
    <w:rsid w:val="00D5111E"/>
    <w:rsid w:val="00D5507E"/>
    <w:rsid w:val="00D6049A"/>
    <w:rsid w:val="00D64D61"/>
    <w:rsid w:val="00D653F1"/>
    <w:rsid w:val="00D83236"/>
    <w:rsid w:val="00D86FCB"/>
    <w:rsid w:val="00DA35BA"/>
    <w:rsid w:val="00DB51F8"/>
    <w:rsid w:val="00DC7A1D"/>
    <w:rsid w:val="00DE34D6"/>
    <w:rsid w:val="00DE3531"/>
    <w:rsid w:val="00DE454A"/>
    <w:rsid w:val="00E0147E"/>
    <w:rsid w:val="00E034AE"/>
    <w:rsid w:val="00E169F5"/>
    <w:rsid w:val="00E16B62"/>
    <w:rsid w:val="00E16E28"/>
    <w:rsid w:val="00E365F7"/>
    <w:rsid w:val="00E418D6"/>
    <w:rsid w:val="00E42302"/>
    <w:rsid w:val="00E464CE"/>
    <w:rsid w:val="00E6442A"/>
    <w:rsid w:val="00E7168E"/>
    <w:rsid w:val="00E76887"/>
    <w:rsid w:val="00E80239"/>
    <w:rsid w:val="00EA5BB7"/>
    <w:rsid w:val="00EB3DD6"/>
    <w:rsid w:val="00EC343A"/>
    <w:rsid w:val="00ED1893"/>
    <w:rsid w:val="00EF7033"/>
    <w:rsid w:val="00F07B30"/>
    <w:rsid w:val="00F1310F"/>
    <w:rsid w:val="00F240B0"/>
    <w:rsid w:val="00F43B66"/>
    <w:rsid w:val="00F45DAF"/>
    <w:rsid w:val="00F54A3A"/>
    <w:rsid w:val="00F5688B"/>
    <w:rsid w:val="00F60A31"/>
    <w:rsid w:val="00F679BE"/>
    <w:rsid w:val="00F74319"/>
    <w:rsid w:val="00F83D29"/>
    <w:rsid w:val="00F95CF1"/>
    <w:rsid w:val="00F95FF1"/>
    <w:rsid w:val="00FA0BB3"/>
    <w:rsid w:val="00FA4C20"/>
    <w:rsid w:val="00FA70A6"/>
    <w:rsid w:val="00FB2FB0"/>
    <w:rsid w:val="00FB3049"/>
    <w:rsid w:val="00FC0BF2"/>
    <w:rsid w:val="00FF0211"/>
    <w:rsid w:val="00FF2F78"/>
    <w:rsid w:val="00FF318F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09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4D50"/>
    <w:pPr>
      <w:ind w:left="720"/>
      <w:contextualSpacing/>
    </w:pPr>
  </w:style>
  <w:style w:type="paragraph" w:customStyle="1" w:styleId="bodytext">
    <w:name w:val="bodytext"/>
    <w:basedOn w:val="Normal"/>
    <w:rsid w:val="00AD4D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el-Gitter">
    <w:name w:val="Table Grid"/>
    <w:basedOn w:val="Tabel-Normal"/>
    <w:uiPriority w:val="59"/>
    <w:rsid w:val="00AD4D50"/>
    <w:pPr>
      <w:spacing w:after="0" w:line="240" w:lineRule="auto"/>
    </w:pPr>
    <w:rPr>
      <w:rFonts w:eastAsiaTheme="minorEastAsia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AD4D50"/>
    <w:pPr>
      <w:spacing w:after="200"/>
    </w:pPr>
    <w:rPr>
      <w:b/>
      <w:bCs/>
      <w:color w:val="4F81BD" w:themeColor="accent1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D4D5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D4D50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D4D50"/>
    <w:rPr>
      <w:rFonts w:eastAsiaTheme="minorEastAsia"/>
      <w:sz w:val="20"/>
      <w:szCs w:val="20"/>
      <w:lang w:eastAsia="da-DK"/>
    </w:rPr>
  </w:style>
  <w:style w:type="character" w:customStyle="1" w:styleId="highlight2">
    <w:name w:val="highlight2"/>
    <w:basedOn w:val="Standardskrifttypeiafsnit"/>
    <w:rsid w:val="00AD4D5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D4D5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D4D50"/>
    <w:rPr>
      <w:rFonts w:ascii="Tahoma" w:eastAsiaTheme="minorEastAsia" w:hAnsi="Tahoma" w:cs="Tahoma"/>
      <w:sz w:val="16"/>
      <w:szCs w:val="16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30D4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30D4E"/>
    <w:rPr>
      <w:rFonts w:eastAsiaTheme="minorEastAsia"/>
      <w:b/>
      <w:bCs/>
      <w:sz w:val="20"/>
      <w:szCs w:val="20"/>
      <w:lang w:eastAsia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1767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176753"/>
    <w:rPr>
      <w:rFonts w:ascii="Courier New" w:eastAsia="Times New Roman" w:hAnsi="Courier New" w:cs="Courier New"/>
      <w:sz w:val="20"/>
      <w:szCs w:val="20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09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4D50"/>
    <w:pPr>
      <w:ind w:left="720"/>
      <w:contextualSpacing/>
    </w:pPr>
  </w:style>
  <w:style w:type="paragraph" w:customStyle="1" w:styleId="bodytext">
    <w:name w:val="bodytext"/>
    <w:basedOn w:val="Normal"/>
    <w:rsid w:val="00AD4D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el-Gitter">
    <w:name w:val="Table Grid"/>
    <w:basedOn w:val="Tabel-Normal"/>
    <w:uiPriority w:val="59"/>
    <w:rsid w:val="00AD4D50"/>
    <w:pPr>
      <w:spacing w:after="0" w:line="240" w:lineRule="auto"/>
    </w:pPr>
    <w:rPr>
      <w:rFonts w:eastAsiaTheme="minorEastAsia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AD4D50"/>
    <w:pPr>
      <w:spacing w:after="200"/>
    </w:pPr>
    <w:rPr>
      <w:b/>
      <w:bCs/>
      <w:color w:val="4F81BD" w:themeColor="accent1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D4D5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D4D50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D4D50"/>
    <w:rPr>
      <w:rFonts w:eastAsiaTheme="minorEastAsia"/>
      <w:sz w:val="20"/>
      <w:szCs w:val="20"/>
      <w:lang w:eastAsia="da-DK"/>
    </w:rPr>
  </w:style>
  <w:style w:type="character" w:customStyle="1" w:styleId="highlight2">
    <w:name w:val="highlight2"/>
    <w:basedOn w:val="Standardskrifttypeiafsnit"/>
    <w:rsid w:val="00AD4D5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D4D50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D4D50"/>
    <w:rPr>
      <w:rFonts w:ascii="Tahoma" w:eastAsiaTheme="minorEastAsia" w:hAnsi="Tahoma" w:cs="Tahoma"/>
      <w:sz w:val="16"/>
      <w:szCs w:val="16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30D4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30D4E"/>
    <w:rPr>
      <w:rFonts w:eastAsiaTheme="minorEastAsia"/>
      <w:b/>
      <w:bCs/>
      <w:sz w:val="20"/>
      <w:szCs w:val="20"/>
      <w:lang w:eastAsia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1767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176753"/>
    <w:rPr>
      <w:rFonts w:ascii="Courier New" w:eastAsia="Times New Roman" w:hAnsi="Courier New" w:cs="Courier New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85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5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Rebekka Miland Tøndering Lytzen</dc:creator>
  <cp:lastModifiedBy>Rebekka Miland Tøndering Lytzen</cp:lastModifiedBy>
  <cp:revision>2</cp:revision>
  <cp:lastPrinted>2017-07-03T05:59:00Z</cp:lastPrinted>
  <dcterms:created xsi:type="dcterms:W3CDTF">2017-07-31T11:26:00Z</dcterms:created>
  <dcterms:modified xsi:type="dcterms:W3CDTF">2017-07-31T11:26:00Z</dcterms:modified>
</cp:coreProperties>
</file>