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1A8854" w14:textId="3D60D55C" w:rsidR="00AE3E37" w:rsidRDefault="002538D2" w:rsidP="00494130">
      <w:pPr>
        <w:pStyle w:val="Heading1"/>
        <w:spacing w:before="170"/>
        <w:ind w:left="0"/>
      </w:pPr>
      <w:r w:rsidRPr="002538D2">
        <w:rPr>
          <w:color w:val="337AB7"/>
        </w:rPr>
        <w:t xml:space="preserve">Introduction and Maintenance of Early Adaptive Training Protein Blends in Support of Infant Nutritional Goals: Safety and Acceptability </w:t>
      </w:r>
    </w:p>
    <w:p w14:paraId="41ECAD7F" w14:textId="77777777" w:rsidR="00C26F69" w:rsidRPr="002538D2" w:rsidRDefault="00C26F69" w:rsidP="00C26F69">
      <w:pPr>
        <w:rPr>
          <w:rFonts w:cs="Arial"/>
        </w:rPr>
      </w:pPr>
      <w:r w:rsidRPr="002538D2">
        <w:rPr>
          <w:rFonts w:cs="Arial"/>
        </w:rPr>
        <w:t xml:space="preserve">Jane L. </w:t>
      </w:r>
      <w:proofErr w:type="spellStart"/>
      <w:r w:rsidRPr="002538D2">
        <w:rPr>
          <w:rFonts w:cs="Arial"/>
        </w:rPr>
        <w:t>Holl</w:t>
      </w:r>
      <w:proofErr w:type="spellEnd"/>
      <w:r w:rsidRPr="002538D2">
        <w:rPr>
          <w:rFonts w:cs="Arial"/>
        </w:rPr>
        <w:t xml:space="preserve">, MD MPH, Lucy </w:t>
      </w:r>
      <w:proofErr w:type="spellStart"/>
      <w:r w:rsidRPr="002538D2">
        <w:rPr>
          <w:rFonts w:cs="Arial"/>
        </w:rPr>
        <w:t>Bilaver</w:t>
      </w:r>
      <w:proofErr w:type="spellEnd"/>
      <w:r w:rsidRPr="002538D2">
        <w:rPr>
          <w:rFonts w:cs="Arial"/>
        </w:rPr>
        <w:t xml:space="preserve">, PhD, Daniel Finn, MPH, Kay </w:t>
      </w:r>
      <w:proofErr w:type="spellStart"/>
      <w:r w:rsidRPr="002538D2">
        <w:rPr>
          <w:rFonts w:cs="Arial"/>
        </w:rPr>
        <w:t>Savio</w:t>
      </w:r>
      <w:proofErr w:type="spellEnd"/>
    </w:p>
    <w:p w14:paraId="2FC8B6B5" w14:textId="77777777" w:rsidR="00C26F69" w:rsidRPr="002538D2" w:rsidRDefault="00C26F69" w:rsidP="00C26F69">
      <w:pPr>
        <w:rPr>
          <w:rFonts w:cs="Arial"/>
        </w:rPr>
      </w:pPr>
      <w:r w:rsidRPr="002538D2">
        <w:rPr>
          <w:rFonts w:cs="Arial"/>
        </w:rPr>
        <w:t xml:space="preserve">Northwestern University and Focus Pointe Global, Inc. </w:t>
      </w:r>
    </w:p>
    <w:p w14:paraId="61525965" w14:textId="77777777" w:rsidR="00C26F69" w:rsidRPr="002538D2" w:rsidRDefault="00C26F69" w:rsidP="00C26F69">
      <w:pPr>
        <w:pStyle w:val="Heading3"/>
        <w:spacing w:before="147"/>
        <w:jc w:val="both"/>
        <w:rPr>
          <w:rFonts w:ascii="Tw Cen MT" w:hAnsi="Tw Cen MT"/>
        </w:rPr>
      </w:pPr>
      <w:r w:rsidRPr="002538D2">
        <w:rPr>
          <w:rFonts w:ascii="Tw Cen MT" w:hAnsi="Tw Cen MT"/>
          <w:color w:val="BF5A14"/>
        </w:rPr>
        <w:t xml:space="preserve">Abstract </w:t>
      </w:r>
    </w:p>
    <w:p w14:paraId="24F8BBEF" w14:textId="77777777" w:rsidR="00AE3E37" w:rsidRPr="002538D2" w:rsidRDefault="00AE3E37">
      <w:pPr>
        <w:rPr>
          <w:sz w:val="21"/>
        </w:rPr>
        <w:sectPr w:rsidR="00AE3E37" w:rsidRPr="002538D2">
          <w:headerReference w:type="default" r:id="rId8"/>
          <w:footerReference w:type="default" r:id="rId9"/>
          <w:type w:val="continuous"/>
          <w:pgSz w:w="11910" w:h="16840"/>
          <w:pgMar w:top="1740" w:right="600" w:bottom="840" w:left="620" w:header="541" w:footer="642" w:gutter="0"/>
          <w:cols w:space="720"/>
        </w:sectPr>
      </w:pPr>
    </w:p>
    <w:p w14:paraId="754E7CBD" w14:textId="190388A0" w:rsidR="00C26F69" w:rsidRDefault="00C26F69" w:rsidP="00C26F69">
      <w:pPr>
        <w:pStyle w:val="BodyText"/>
        <w:spacing w:before="90" w:line="280" w:lineRule="auto"/>
        <w:ind w:left="100"/>
        <w:jc w:val="both"/>
      </w:pPr>
      <w:r>
        <w:t xml:space="preserve">Childhood food allergy affects </w:t>
      </w:r>
      <w:r w:rsidR="00E10417">
        <w:t xml:space="preserve">about </w:t>
      </w:r>
      <w:r>
        <w:t>8% of US children</w:t>
      </w:r>
      <w:r w:rsidR="00E10417">
        <w:t>.</w:t>
      </w:r>
      <w:r>
        <w:rPr>
          <w:rStyle w:val="FootnoteReference"/>
        </w:rPr>
        <w:footnoteReference w:id="1"/>
      </w:r>
      <w:r>
        <w:t xml:space="preserve"> Recent research has </w:t>
      </w:r>
      <w:r w:rsidR="00E10417">
        <w:t xml:space="preserve">revealed </w:t>
      </w:r>
      <w:r>
        <w:t>protective effects of early dietary introduction of allergenic foods on the development of food allergy for infants, including those at elevated risk.</w:t>
      </w:r>
      <w:r>
        <w:rPr>
          <w:rStyle w:val="FootnoteReference"/>
        </w:rPr>
        <w:footnoteReference w:id="2"/>
      </w:r>
      <w:r w:rsidRPr="000C57A5">
        <w:rPr>
          <w:vertAlign w:val="superscript"/>
        </w:rPr>
        <w:t>,</w:t>
      </w:r>
      <w:r>
        <w:rPr>
          <w:rStyle w:val="FootnoteReference"/>
        </w:rPr>
        <w:footnoteReference w:id="3"/>
      </w:r>
      <w:r w:rsidRPr="000C57A5">
        <w:rPr>
          <w:vertAlign w:val="superscript"/>
        </w:rPr>
        <w:t>,</w:t>
      </w:r>
      <w:r>
        <w:rPr>
          <w:rStyle w:val="FootnoteReference"/>
        </w:rPr>
        <w:footnoteReference w:id="4"/>
      </w:r>
      <w:r w:rsidR="000C57A5">
        <w:rPr>
          <w:vertAlign w:val="superscript"/>
        </w:rPr>
        <w:t xml:space="preserve"> </w:t>
      </w:r>
      <w:r w:rsidR="000C57A5" w:rsidRPr="000C57A5">
        <w:t xml:space="preserve">The </w:t>
      </w:r>
      <w:r w:rsidR="000C57A5">
        <w:t>goal of th</w:t>
      </w:r>
      <w:r w:rsidR="00E10417">
        <w:t>is</w:t>
      </w:r>
      <w:r w:rsidR="000C57A5">
        <w:t xml:space="preserve"> study was to evaluate the safety and acceptability of</w:t>
      </w:r>
      <w:r>
        <w:t xml:space="preserve"> a blend of 16 </w:t>
      </w:r>
      <w:r w:rsidR="000C57A5">
        <w:t xml:space="preserve">common allergenic </w:t>
      </w:r>
      <w:r>
        <w:t>proteins (</w:t>
      </w:r>
      <w:r w:rsidR="00663E35">
        <w:t xml:space="preserve">peanut, soy, </w:t>
      </w:r>
      <w:r>
        <w:t xml:space="preserve">almond, cashew, hazelnut, pecan, pistachio, walnut, </w:t>
      </w:r>
      <w:r w:rsidR="00663E35">
        <w:t xml:space="preserve">wheat, oat, milk, egg, </w:t>
      </w:r>
      <w:r>
        <w:t>cod, shrimp, salmon</w:t>
      </w:r>
      <w:r w:rsidR="00663E35">
        <w:t>, sesame</w:t>
      </w:r>
      <w:r>
        <w:t xml:space="preserve">) </w:t>
      </w:r>
      <w:r w:rsidR="002538D2">
        <w:t>combined with</w:t>
      </w:r>
      <w:r w:rsidR="000C57A5">
        <w:t xml:space="preserve"> </w:t>
      </w:r>
      <w:r>
        <w:t>400 IU of Vitamin D</w:t>
      </w:r>
      <w:r w:rsidR="00465453">
        <w:t xml:space="preserve"> </w:t>
      </w:r>
      <w:r w:rsidR="000C57A5">
        <w:t xml:space="preserve">into </w:t>
      </w:r>
      <w:r w:rsidR="00E10417">
        <w:t>a</w:t>
      </w:r>
      <w:r w:rsidR="000C57A5">
        <w:t xml:space="preserve"> </w:t>
      </w:r>
      <w:r w:rsidR="00D97E50">
        <w:t>food supplement powder.</w:t>
      </w:r>
      <w:r w:rsidR="00E10417">
        <w:t xml:space="preserve"> C</w:t>
      </w:r>
      <w:r w:rsidR="000C57A5">
        <w:t>aregiver</w:t>
      </w:r>
      <w:r w:rsidR="00E10417">
        <w:t>s were instructed</w:t>
      </w:r>
      <w:r w:rsidR="000C57A5">
        <w:t xml:space="preserve"> to mix </w:t>
      </w:r>
      <w:r w:rsidR="00E10417">
        <w:t xml:space="preserve">the </w:t>
      </w:r>
      <w:r w:rsidR="00D97E50">
        <w:t xml:space="preserve">powder into a solid </w:t>
      </w:r>
      <w:r w:rsidR="000C57A5">
        <w:t>or liquid</w:t>
      </w:r>
      <w:r w:rsidR="00D97E50">
        <w:t xml:space="preserve"> feeding </w:t>
      </w:r>
      <w:r>
        <w:t xml:space="preserve">once </w:t>
      </w:r>
      <w:r w:rsidR="000C57A5">
        <w:t xml:space="preserve">a </w:t>
      </w:r>
      <w:r>
        <w:t>da</w:t>
      </w:r>
      <w:r w:rsidR="000C57A5">
        <w:t>y.</w:t>
      </w:r>
      <w:r>
        <w:t xml:space="preserve"> </w:t>
      </w:r>
      <w:r w:rsidR="007B26DD">
        <w:t xml:space="preserve">All procedures were deemed exempt by the Northwestern University IRB. </w:t>
      </w:r>
      <w:r w:rsidR="00E10417">
        <w:t>A</w:t>
      </w:r>
      <w:r>
        <w:t xml:space="preserve"> nation</w:t>
      </w:r>
      <w:r w:rsidR="00D97E50">
        <w:t>al</w:t>
      </w:r>
      <w:r>
        <w:t xml:space="preserve"> sample of </w:t>
      </w:r>
      <w:r w:rsidR="00EE485B">
        <w:t>healthy</w:t>
      </w:r>
      <w:r>
        <w:t xml:space="preserve"> infants</w:t>
      </w:r>
      <w:r w:rsidR="000A3465">
        <w:t>, 5-11 months of age,</w:t>
      </w:r>
      <w:r w:rsidR="000C57A5">
        <w:t xml:space="preserve"> without severe eczema</w:t>
      </w:r>
      <w:r w:rsidR="00E10417">
        <w:t xml:space="preserve"> </w:t>
      </w:r>
      <w:r>
        <w:t>participate</w:t>
      </w:r>
      <w:r w:rsidR="000A3465">
        <w:t>d</w:t>
      </w:r>
      <w:r>
        <w:t xml:space="preserve"> in </w:t>
      </w:r>
      <w:r w:rsidR="00E10417">
        <w:t>the</w:t>
      </w:r>
      <w:r w:rsidR="000C57A5">
        <w:t xml:space="preserve"> </w:t>
      </w:r>
      <w:r w:rsidR="00D97E50">
        <w:t xml:space="preserve">28-day placebo period followed by a 28-day </w:t>
      </w:r>
      <w:r>
        <w:t xml:space="preserve">randomized, blinded, placebo-controlled </w:t>
      </w:r>
      <w:r w:rsidR="00D97E50">
        <w:t>period</w:t>
      </w:r>
      <w:r>
        <w:t xml:space="preserve">. </w:t>
      </w:r>
      <w:r w:rsidR="00E10417">
        <w:t>C</w:t>
      </w:r>
      <w:r>
        <w:t xml:space="preserve">aregivers were instructed to </w:t>
      </w:r>
      <w:r w:rsidR="00E10417">
        <w:t xml:space="preserve">feed </w:t>
      </w:r>
      <w:r>
        <w:t xml:space="preserve">the infant </w:t>
      </w:r>
      <w:r w:rsidR="00E10417">
        <w:t>one</w:t>
      </w:r>
      <w:r>
        <w:t xml:space="preserve"> packet</w:t>
      </w:r>
      <w:r w:rsidR="00E10417">
        <w:t xml:space="preserve"> </w:t>
      </w:r>
      <w:r w:rsidR="000C57A5">
        <w:t xml:space="preserve">of the </w:t>
      </w:r>
      <w:r w:rsidR="00EE485B">
        <w:t xml:space="preserve">food supplement </w:t>
      </w:r>
      <w:r w:rsidR="000C57A5">
        <w:t>powder</w:t>
      </w:r>
      <w:r w:rsidR="00465453">
        <w:t xml:space="preserve"> </w:t>
      </w:r>
      <w:r w:rsidR="00E10417">
        <w:t xml:space="preserve">per day, </w:t>
      </w:r>
      <w:r w:rsidR="00945947">
        <w:t>observe their infant for 2 hours after ingestion</w:t>
      </w:r>
      <w:r w:rsidR="00E10417">
        <w:t>,</w:t>
      </w:r>
      <w:r w:rsidR="00945947">
        <w:t xml:space="preserve"> </w:t>
      </w:r>
      <w:r>
        <w:t>and record</w:t>
      </w:r>
      <w:r w:rsidR="00E10417">
        <w:t>,</w:t>
      </w:r>
      <w:r>
        <w:t xml:space="preserve"> </w:t>
      </w:r>
      <w:r w:rsidR="00465453">
        <w:t xml:space="preserve">in a web-based </w:t>
      </w:r>
      <w:r w:rsidR="002538D2">
        <w:t>diary</w:t>
      </w:r>
      <w:r w:rsidR="00E10417">
        <w:t>,</w:t>
      </w:r>
      <w:r w:rsidR="00465453">
        <w:t xml:space="preserve"> </w:t>
      </w:r>
      <w:r>
        <w:t xml:space="preserve">any </w:t>
      </w:r>
      <w:r w:rsidR="00E10417">
        <w:t xml:space="preserve">symptoms or </w:t>
      </w:r>
      <w:r w:rsidR="002538D2">
        <w:t>allergic</w:t>
      </w:r>
      <w:r w:rsidR="00D97E50">
        <w:t>-type</w:t>
      </w:r>
      <w:r w:rsidR="002538D2">
        <w:t xml:space="preserve"> </w:t>
      </w:r>
      <w:r w:rsidR="000C57A5">
        <w:t>reaction</w:t>
      </w:r>
      <w:r w:rsidR="00465453">
        <w:t xml:space="preserve"> including anaphylaxis</w:t>
      </w:r>
      <w:r w:rsidR="00465453">
        <w:rPr>
          <w:rStyle w:val="FootnoteReference"/>
        </w:rPr>
        <w:footnoteReference w:id="5"/>
      </w:r>
      <w:r w:rsidR="00945947">
        <w:t xml:space="preserve"> </w:t>
      </w:r>
      <w:r w:rsidR="00465453">
        <w:t xml:space="preserve">occurring </w:t>
      </w:r>
      <w:r w:rsidR="00945947">
        <w:t xml:space="preserve">within 2 hours </w:t>
      </w:r>
      <w:r w:rsidR="00E10417">
        <w:t xml:space="preserve">of </w:t>
      </w:r>
      <w:r w:rsidR="00945947">
        <w:t>ingestion</w:t>
      </w:r>
      <w:r w:rsidR="000A3465">
        <w:t xml:space="preserve"> and any reaction-related prescribed medication or medical care.</w:t>
      </w:r>
      <w:r w:rsidR="000C57A5">
        <w:t xml:space="preserve"> </w:t>
      </w:r>
      <w:r w:rsidR="000A3465">
        <w:t xml:space="preserve">Caregiver perceptions of the food supplement’s smell, texture, </w:t>
      </w:r>
      <w:r w:rsidR="00EE485B">
        <w:t xml:space="preserve">and </w:t>
      </w:r>
      <w:r w:rsidR="000A3465">
        <w:t xml:space="preserve">packaging, were also assessed. </w:t>
      </w:r>
      <w:r w:rsidR="00D97E50">
        <w:t xml:space="preserve">Figure 1 shows enrollment and completion </w:t>
      </w:r>
      <w:r w:rsidR="00473C00">
        <w:t xml:space="preserve">rates </w:t>
      </w:r>
      <w:r w:rsidR="00D97E50">
        <w:t xml:space="preserve">of the study. </w:t>
      </w:r>
      <w:r w:rsidR="00EE485B">
        <w:t xml:space="preserve">Of the </w:t>
      </w:r>
      <w:r w:rsidR="00A31ADF">
        <w:t>8,400</w:t>
      </w:r>
      <w:r w:rsidR="00EE485B">
        <w:t xml:space="preserve"> </w:t>
      </w:r>
      <w:r w:rsidR="00F879C3">
        <w:t xml:space="preserve">food supplement </w:t>
      </w:r>
      <w:r w:rsidR="00EE485B">
        <w:t>ingestions, n</w:t>
      </w:r>
      <w:r w:rsidR="009C7C13">
        <w:t xml:space="preserve">o </w:t>
      </w:r>
      <w:r w:rsidR="007B26DD">
        <w:t xml:space="preserve">infants </w:t>
      </w:r>
      <w:r w:rsidR="009C7C13">
        <w:t xml:space="preserve">had any </w:t>
      </w:r>
      <w:r w:rsidR="002538D2">
        <w:t xml:space="preserve">allergic </w:t>
      </w:r>
      <w:r w:rsidR="009C7C13">
        <w:t>reaction nor received any prescribed medication or medical care</w:t>
      </w:r>
      <w:r w:rsidR="00EE485B">
        <w:t>.</w:t>
      </w:r>
      <w:r w:rsidR="009C7C13">
        <w:t xml:space="preserve"> </w:t>
      </w:r>
      <w:r w:rsidR="00F879C3">
        <w:t>Of 14,252 placebo ingestions, 1%</w:t>
      </w:r>
      <w:r w:rsidR="005C0765">
        <w:t xml:space="preserve"> (N=250)</w:t>
      </w:r>
      <w:r w:rsidR="00F879C3">
        <w:t xml:space="preserve"> resulted </w:t>
      </w:r>
      <w:r w:rsidR="008258D3">
        <w:t xml:space="preserve">and 0.7% (N=61) of food supplement ingestions </w:t>
      </w:r>
      <w:r w:rsidR="00F879C3">
        <w:t xml:space="preserve">in a </w:t>
      </w:r>
      <w:r w:rsidR="008258D3">
        <w:t xml:space="preserve">report of </w:t>
      </w:r>
      <w:r w:rsidR="00F13852">
        <w:t xml:space="preserve">symptoms </w:t>
      </w:r>
      <w:r w:rsidR="00F13852" w:rsidRPr="00D97E50">
        <w:t>(e.g., cough, diarrhea)</w:t>
      </w:r>
      <w:r w:rsidR="008258D3">
        <w:t xml:space="preserve">. </w:t>
      </w:r>
      <w:r w:rsidR="00EE485B">
        <w:t xml:space="preserve">This </w:t>
      </w:r>
      <w:r>
        <w:t xml:space="preserve">study </w:t>
      </w:r>
      <w:r w:rsidR="00B8778A">
        <w:t>suggests</w:t>
      </w:r>
      <w:bookmarkStart w:id="0" w:name="_GoBack"/>
      <w:bookmarkEnd w:id="0"/>
      <w:r w:rsidR="00473C00">
        <w:t xml:space="preserve"> </w:t>
      </w:r>
      <w:r w:rsidR="007B26DD">
        <w:t xml:space="preserve">that </w:t>
      </w:r>
      <w:r w:rsidR="006E7C34">
        <w:t xml:space="preserve">the </w:t>
      </w:r>
      <w:r>
        <w:t xml:space="preserve">food supplement is safe </w:t>
      </w:r>
      <w:r w:rsidR="007B26DD">
        <w:t>and feasible for infants</w:t>
      </w:r>
      <w:r w:rsidR="00473C00">
        <w:t>.</w:t>
      </w:r>
      <w:r w:rsidR="007B26DD">
        <w:t xml:space="preserve"> Future study </w:t>
      </w:r>
      <w:r w:rsidR="00D97E50">
        <w:t xml:space="preserve">should </w:t>
      </w:r>
      <w:r w:rsidR="007B26DD">
        <w:t>assess the effect of th</w:t>
      </w:r>
      <w:r w:rsidR="006E7C34">
        <w:t>e</w:t>
      </w:r>
      <w:r w:rsidR="007B26DD">
        <w:t xml:space="preserve"> food supplement on immunologic response</w:t>
      </w:r>
      <w:r w:rsidR="006E7C34">
        <w:t>s</w:t>
      </w:r>
      <w:r w:rsidR="007B26DD">
        <w:t xml:space="preserve"> to the allergenic proteins</w:t>
      </w:r>
      <w:r w:rsidR="000A3465">
        <w:t xml:space="preserve"> and </w:t>
      </w:r>
      <w:r w:rsidR="00E10417">
        <w:t>on the</w:t>
      </w:r>
      <w:r w:rsidR="007B26DD">
        <w:t xml:space="preserve"> incidence of food allergy.</w:t>
      </w:r>
    </w:p>
    <w:p w14:paraId="010E6C0F" w14:textId="286F858F" w:rsidR="00AE3E37" w:rsidRDefault="00A9710C" w:rsidP="00E10417">
      <w:pPr>
        <w:pStyle w:val="Heading3"/>
        <w:spacing w:before="74"/>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b w:val="0"/>
        </w:rPr>
        <w:br w:type="column"/>
      </w:r>
      <w:r w:rsidR="008756E6">
        <w:rPr>
          <w:rFonts w:ascii="Calibri" w:hAnsi="Calibri"/>
        </w:rPr>
        <w:t xml:space="preserve">   </w:t>
      </w:r>
      <w:r w:rsidR="00663E35">
        <w:object w:dxaOrig="4920" w:dyaOrig="3945" w14:anchorId="113425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4.25pt;height:171.85pt" o:ole="">
            <v:imagedata r:id="rId10" o:title=""/>
          </v:shape>
          <o:OLEObject Type="Embed" ProgID="Visio.Drawing.15" ShapeID="_x0000_i1025" DrawAspect="Content" ObjectID="_1562951862" r:id="rId11"/>
        </w:object>
      </w:r>
    </w:p>
    <w:p w14:paraId="21542D81" w14:textId="77777777" w:rsidR="00AE3E37" w:rsidRDefault="00AE3E37">
      <w:pPr>
        <w:pStyle w:val="BodyText"/>
        <w:rPr>
          <w:rFonts w:ascii="Calibri"/>
          <w:sz w:val="20"/>
        </w:rPr>
      </w:pPr>
    </w:p>
    <w:p w14:paraId="35626E3B"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4A8E84B3" wp14:editId="5885A97B">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99A50D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1C2B8D8A" w14:textId="13D6FC01" w:rsidR="00AE3E37" w:rsidRPr="002538D2" w:rsidRDefault="008756E6" w:rsidP="00404E5B">
      <w:pPr>
        <w:spacing w:before="92"/>
        <w:ind w:right="4234"/>
      </w:pPr>
      <w:r>
        <w:rPr>
          <w:noProof/>
        </w:rPr>
        <w:t xml:space="preserve">  </w:t>
      </w:r>
      <w:r w:rsidR="00A9710C" w:rsidRPr="002538D2">
        <w:rPr>
          <w:color w:val="BF5A14"/>
        </w:rPr>
        <w:t>Biography</w:t>
      </w:r>
      <w:r w:rsidR="00404E5B" w:rsidRPr="002538D2">
        <w:rPr>
          <w:color w:val="BF5A14"/>
        </w:rPr>
        <w:t xml:space="preserve"> </w:t>
      </w:r>
    </w:p>
    <w:p w14:paraId="4DE1967D" w14:textId="27320BB8" w:rsidR="00AE3E37" w:rsidRPr="003B29C1" w:rsidRDefault="005A1555" w:rsidP="002538D2">
      <w:pPr>
        <w:spacing w:before="41" w:line="154" w:lineRule="exact"/>
        <w:ind w:left="90" w:right="231"/>
        <w:jc w:val="both"/>
        <w:rPr>
          <w:rFonts w:cs="Arial"/>
          <w:sz w:val="18"/>
          <w:szCs w:val="18"/>
        </w:rPr>
      </w:pPr>
      <w:r w:rsidRPr="003B29C1">
        <w:rPr>
          <w:rFonts w:cs="Arial"/>
          <w:sz w:val="18"/>
          <w:szCs w:val="18"/>
        </w:rPr>
        <w:t xml:space="preserve">Jane </w:t>
      </w:r>
      <w:r w:rsidR="002538D2">
        <w:rPr>
          <w:rFonts w:cs="Arial"/>
          <w:sz w:val="18"/>
          <w:szCs w:val="18"/>
        </w:rPr>
        <w:t xml:space="preserve">L. </w:t>
      </w:r>
      <w:proofErr w:type="spellStart"/>
      <w:r w:rsidRPr="003B29C1">
        <w:rPr>
          <w:rFonts w:cs="Arial"/>
          <w:sz w:val="18"/>
          <w:szCs w:val="18"/>
        </w:rPr>
        <w:t>Holl</w:t>
      </w:r>
      <w:proofErr w:type="spellEnd"/>
      <w:r w:rsidRPr="003B29C1">
        <w:rPr>
          <w:rFonts w:cs="Arial"/>
          <w:sz w:val="18"/>
          <w:szCs w:val="18"/>
        </w:rPr>
        <w:t>, MD MPH is a general pediatrician and health services and outcomes researcher who has conducted substantial prior research on childhood food allergy in the US. She is the Director of the Center for Healthcare Studies, an interdisciplinary center at N</w:t>
      </w:r>
      <w:r w:rsidR="003B29C1" w:rsidRPr="003B29C1">
        <w:rPr>
          <w:rFonts w:cs="Arial"/>
          <w:sz w:val="18"/>
          <w:szCs w:val="18"/>
        </w:rPr>
        <w:t>o</w:t>
      </w:r>
      <w:r w:rsidRPr="003B29C1">
        <w:rPr>
          <w:rFonts w:cs="Arial"/>
          <w:sz w:val="18"/>
          <w:szCs w:val="18"/>
        </w:rPr>
        <w:t>rthwestern</w:t>
      </w:r>
      <w:r w:rsidR="003B29C1" w:rsidRPr="003B29C1">
        <w:rPr>
          <w:rFonts w:cs="Arial"/>
          <w:sz w:val="18"/>
          <w:szCs w:val="18"/>
        </w:rPr>
        <w:t xml:space="preserve"> University. She has partnered previously with </w:t>
      </w:r>
      <w:r w:rsidR="00121596">
        <w:rPr>
          <w:rFonts w:cs="Arial"/>
          <w:sz w:val="18"/>
          <w:szCs w:val="18"/>
        </w:rPr>
        <w:t xml:space="preserve">Kay </w:t>
      </w:r>
      <w:proofErr w:type="spellStart"/>
      <w:r w:rsidR="00121596">
        <w:rPr>
          <w:rFonts w:cs="Arial"/>
          <w:sz w:val="18"/>
          <w:szCs w:val="18"/>
        </w:rPr>
        <w:t>Savio</w:t>
      </w:r>
      <w:proofErr w:type="spellEnd"/>
      <w:r w:rsidR="00121596">
        <w:rPr>
          <w:rFonts w:cs="Arial"/>
          <w:sz w:val="18"/>
          <w:szCs w:val="18"/>
        </w:rPr>
        <w:t xml:space="preserve"> from </w:t>
      </w:r>
      <w:r w:rsidR="003B29C1" w:rsidRPr="003B29C1">
        <w:rPr>
          <w:rFonts w:cs="Arial"/>
          <w:sz w:val="18"/>
          <w:szCs w:val="18"/>
        </w:rPr>
        <w:t xml:space="preserve">Focus Pointe Global, Inc., a global market research company with fully vetted, precision-targeted participants. </w:t>
      </w:r>
    </w:p>
    <w:p w14:paraId="461098FC" w14:textId="68274960" w:rsidR="00AE3E37" w:rsidRPr="003B29C1" w:rsidRDefault="00A9710C" w:rsidP="003B29C1">
      <w:pPr>
        <w:spacing w:before="62"/>
        <w:ind w:left="4217" w:right="4235"/>
        <w:jc w:val="center"/>
        <w:rPr>
          <w:rFonts w:ascii="Minion Pro"/>
          <w:b/>
          <w:sz w:val="20"/>
          <w:lang w:val="fr-FR"/>
        </w:rPr>
      </w:pPr>
      <w:r w:rsidRPr="003B29C1">
        <w:rPr>
          <w:sz w:val="18"/>
          <w:szCs w:val="18"/>
          <w:lang w:val="fr-FR"/>
        </w:rPr>
        <w:t xml:space="preserve">Email: </w:t>
      </w:r>
      <w:hyperlink r:id="rId12" w:history="1">
        <w:r w:rsidR="003B29C1" w:rsidRPr="003B29C1">
          <w:rPr>
            <w:rStyle w:val="Hyperlink"/>
            <w:sz w:val="18"/>
            <w:szCs w:val="18"/>
            <w:lang w:val="fr-FR"/>
          </w:rPr>
          <w:t>j-holl@northwestern.edu</w:t>
        </w:r>
      </w:hyperlink>
      <w:r w:rsidR="003B29C1" w:rsidRPr="003B29C1">
        <w:rPr>
          <w:sz w:val="14"/>
          <w:lang w:val="fr-FR"/>
        </w:rPr>
        <w:t xml:space="preserve"> </w:t>
      </w:r>
    </w:p>
    <w:p w14:paraId="05C9D970" w14:textId="77777777" w:rsidR="00AE3E37" w:rsidRPr="003B29C1" w:rsidRDefault="00AE3E37">
      <w:pPr>
        <w:rPr>
          <w:rFonts w:ascii="Minion Pro"/>
          <w:sz w:val="24"/>
          <w:lang w:val="fr-FR"/>
        </w:rPr>
        <w:sectPr w:rsidR="00AE3E37" w:rsidRPr="003B29C1">
          <w:type w:val="continuous"/>
          <w:pgSz w:w="11910" w:h="16840"/>
          <w:pgMar w:top="1740" w:right="600" w:bottom="840" w:left="620" w:header="720" w:footer="720" w:gutter="0"/>
          <w:cols w:space="720"/>
        </w:sectPr>
      </w:pPr>
    </w:p>
    <w:p w14:paraId="2BA741A8" w14:textId="77777777" w:rsidR="00AE3E37" w:rsidRPr="003B29C1" w:rsidRDefault="00AE3E37" w:rsidP="005C0765">
      <w:pPr>
        <w:pStyle w:val="BodyText"/>
        <w:spacing w:before="3"/>
        <w:rPr>
          <w:rFonts w:ascii="Minion Pro"/>
          <w:sz w:val="26"/>
          <w:lang w:val="fr-FR"/>
        </w:rPr>
      </w:pPr>
    </w:p>
    <w:sectPr w:rsidR="00AE3E37" w:rsidRPr="003B29C1"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874D45" w14:textId="77777777" w:rsidR="00910902" w:rsidRDefault="00910902">
      <w:r>
        <w:separator/>
      </w:r>
    </w:p>
  </w:endnote>
  <w:endnote w:type="continuationSeparator" w:id="0">
    <w:p w14:paraId="6351529A" w14:textId="77777777" w:rsidR="00910902" w:rsidRDefault="009109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90B638"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6DF61C6A" wp14:editId="15ACF47D">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5221B5"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0E3EA1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F61C6A"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135221B5"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0E3EA1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272C1B21" wp14:editId="621991E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584E7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BC77AB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2C1B21"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29584E7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BC77AB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09FF7815" wp14:editId="28AE685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193A5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3CE0435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FF7815"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22193A5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CE0435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80A442" w14:textId="77777777" w:rsidR="00910902" w:rsidRDefault="00910902">
      <w:r>
        <w:separator/>
      </w:r>
    </w:p>
  </w:footnote>
  <w:footnote w:type="continuationSeparator" w:id="0">
    <w:p w14:paraId="4DB71A6D" w14:textId="77777777" w:rsidR="00910902" w:rsidRDefault="00910902">
      <w:r>
        <w:continuationSeparator/>
      </w:r>
    </w:p>
  </w:footnote>
  <w:footnote w:id="1">
    <w:p w14:paraId="45E5999D" w14:textId="77777777" w:rsidR="00C26F69" w:rsidRPr="009C7C13" w:rsidRDefault="00C26F69" w:rsidP="009C7C13">
      <w:pPr>
        <w:pStyle w:val="FootnoteText"/>
        <w:tabs>
          <w:tab w:val="left" w:pos="990"/>
        </w:tabs>
        <w:ind w:left="180" w:hanging="180"/>
        <w:rPr>
          <w:sz w:val="18"/>
          <w:szCs w:val="18"/>
        </w:rPr>
      </w:pPr>
      <w:r w:rsidRPr="00945947">
        <w:rPr>
          <w:rStyle w:val="FootnoteReference"/>
        </w:rPr>
        <w:footnoteRef/>
      </w:r>
      <w:r w:rsidRPr="00945947">
        <w:t xml:space="preserve"> </w:t>
      </w:r>
      <w:r w:rsidRPr="009C7C13">
        <w:rPr>
          <w:sz w:val="18"/>
          <w:szCs w:val="18"/>
        </w:rPr>
        <w:t xml:space="preserve">Gupta RS, </w:t>
      </w:r>
      <w:proofErr w:type="spellStart"/>
      <w:r w:rsidRPr="009C7C13">
        <w:rPr>
          <w:sz w:val="18"/>
          <w:szCs w:val="18"/>
        </w:rPr>
        <w:t>Springston</w:t>
      </w:r>
      <w:proofErr w:type="spellEnd"/>
      <w:r w:rsidRPr="009C7C13">
        <w:rPr>
          <w:sz w:val="18"/>
          <w:szCs w:val="18"/>
        </w:rPr>
        <w:t xml:space="preserve"> EE, </w:t>
      </w:r>
      <w:proofErr w:type="spellStart"/>
      <w:r w:rsidRPr="009C7C13">
        <w:rPr>
          <w:sz w:val="18"/>
          <w:szCs w:val="18"/>
        </w:rPr>
        <w:t>Warrier</w:t>
      </w:r>
      <w:proofErr w:type="spellEnd"/>
      <w:r w:rsidRPr="009C7C13">
        <w:rPr>
          <w:sz w:val="18"/>
          <w:szCs w:val="18"/>
        </w:rPr>
        <w:t xml:space="preserve"> MR, Smith B, Kumar R, </w:t>
      </w:r>
      <w:proofErr w:type="spellStart"/>
      <w:r w:rsidRPr="009C7C13">
        <w:rPr>
          <w:sz w:val="18"/>
          <w:szCs w:val="18"/>
        </w:rPr>
        <w:t>Pongracic</w:t>
      </w:r>
      <w:proofErr w:type="spellEnd"/>
      <w:r w:rsidRPr="009C7C13">
        <w:rPr>
          <w:sz w:val="18"/>
          <w:szCs w:val="18"/>
        </w:rPr>
        <w:t xml:space="preserve"> J, </w:t>
      </w:r>
      <w:proofErr w:type="spellStart"/>
      <w:r w:rsidRPr="009C7C13">
        <w:rPr>
          <w:sz w:val="18"/>
          <w:szCs w:val="18"/>
        </w:rPr>
        <w:t>Holl</w:t>
      </w:r>
      <w:proofErr w:type="spellEnd"/>
      <w:r w:rsidRPr="009C7C13">
        <w:rPr>
          <w:sz w:val="18"/>
          <w:szCs w:val="18"/>
        </w:rPr>
        <w:t xml:space="preserve"> JL. The Prevalence, Severity, and Distribution of Childhood Food Allergy in the United States. Pediatrics. 2011;128 (1):e9-e17</w:t>
      </w:r>
      <w:r w:rsidR="00945947" w:rsidRPr="009C7C13">
        <w:rPr>
          <w:sz w:val="18"/>
          <w:szCs w:val="18"/>
        </w:rPr>
        <w:t xml:space="preserve"> </w:t>
      </w:r>
    </w:p>
  </w:footnote>
  <w:footnote w:id="2">
    <w:p w14:paraId="1442E4DE" w14:textId="77777777" w:rsidR="00C26F69" w:rsidRPr="009C7C13" w:rsidRDefault="00C26F69" w:rsidP="00945947">
      <w:pPr>
        <w:pStyle w:val="FootnoteText"/>
        <w:ind w:left="180" w:hanging="180"/>
        <w:rPr>
          <w:sz w:val="18"/>
          <w:szCs w:val="18"/>
        </w:rPr>
      </w:pPr>
      <w:r w:rsidRPr="009C7C13">
        <w:rPr>
          <w:rStyle w:val="FootnoteReference"/>
          <w:sz w:val="18"/>
          <w:szCs w:val="18"/>
        </w:rPr>
        <w:footnoteRef/>
      </w:r>
      <w:r w:rsidRPr="009C7C13">
        <w:rPr>
          <w:sz w:val="18"/>
          <w:szCs w:val="18"/>
        </w:rPr>
        <w:t xml:space="preserve">  Fleischer DM, </w:t>
      </w:r>
      <w:proofErr w:type="spellStart"/>
      <w:r w:rsidRPr="009C7C13">
        <w:rPr>
          <w:sz w:val="18"/>
          <w:szCs w:val="18"/>
        </w:rPr>
        <w:t>Spergel</w:t>
      </w:r>
      <w:proofErr w:type="spellEnd"/>
      <w:r w:rsidRPr="009C7C13">
        <w:rPr>
          <w:sz w:val="18"/>
          <w:szCs w:val="18"/>
        </w:rPr>
        <w:t xml:space="preserve"> JM, </w:t>
      </w:r>
      <w:proofErr w:type="spellStart"/>
      <w:r w:rsidRPr="009C7C13">
        <w:rPr>
          <w:sz w:val="18"/>
          <w:szCs w:val="18"/>
        </w:rPr>
        <w:t>Assa’ad</w:t>
      </w:r>
      <w:proofErr w:type="spellEnd"/>
      <w:r w:rsidRPr="009C7C13">
        <w:rPr>
          <w:sz w:val="18"/>
          <w:szCs w:val="18"/>
        </w:rPr>
        <w:t xml:space="preserve"> AH, </w:t>
      </w:r>
      <w:proofErr w:type="spellStart"/>
      <w:r w:rsidRPr="009C7C13">
        <w:rPr>
          <w:sz w:val="18"/>
          <w:szCs w:val="18"/>
        </w:rPr>
        <w:t>Pongracic</w:t>
      </w:r>
      <w:proofErr w:type="spellEnd"/>
      <w:r w:rsidRPr="009C7C13">
        <w:rPr>
          <w:sz w:val="18"/>
          <w:szCs w:val="18"/>
        </w:rPr>
        <w:t xml:space="preserve"> JA. Primary Prevention of Allergic Disease </w:t>
      </w:r>
      <w:proofErr w:type="gramStart"/>
      <w:r w:rsidRPr="009C7C13">
        <w:rPr>
          <w:sz w:val="18"/>
          <w:szCs w:val="18"/>
        </w:rPr>
        <w:t>Through</w:t>
      </w:r>
      <w:proofErr w:type="gramEnd"/>
      <w:r w:rsidRPr="009C7C13">
        <w:rPr>
          <w:sz w:val="18"/>
          <w:szCs w:val="18"/>
        </w:rPr>
        <w:t xml:space="preserve"> Nutritional Interventions. J Allergy </w:t>
      </w:r>
      <w:proofErr w:type="spellStart"/>
      <w:r w:rsidRPr="009C7C13">
        <w:rPr>
          <w:sz w:val="18"/>
          <w:szCs w:val="18"/>
        </w:rPr>
        <w:t>Clin</w:t>
      </w:r>
      <w:proofErr w:type="spellEnd"/>
      <w:r w:rsidRPr="009C7C13">
        <w:rPr>
          <w:sz w:val="18"/>
          <w:szCs w:val="18"/>
        </w:rPr>
        <w:t xml:space="preserve"> </w:t>
      </w:r>
      <w:proofErr w:type="spellStart"/>
      <w:r w:rsidRPr="009C7C13">
        <w:rPr>
          <w:sz w:val="18"/>
          <w:szCs w:val="18"/>
        </w:rPr>
        <w:t>Immunol</w:t>
      </w:r>
      <w:proofErr w:type="spellEnd"/>
      <w:r w:rsidRPr="009C7C13">
        <w:rPr>
          <w:sz w:val="18"/>
          <w:szCs w:val="18"/>
        </w:rPr>
        <w:t>. 2013</w:t>
      </w:r>
      <w:proofErr w:type="gramStart"/>
      <w:r w:rsidRPr="009C7C13">
        <w:rPr>
          <w:sz w:val="18"/>
          <w:szCs w:val="18"/>
        </w:rPr>
        <w:t>;1:29</w:t>
      </w:r>
      <w:proofErr w:type="gramEnd"/>
      <w:r w:rsidRPr="009C7C13">
        <w:rPr>
          <w:sz w:val="18"/>
          <w:szCs w:val="18"/>
        </w:rPr>
        <w:t>-36.</w:t>
      </w:r>
      <w:r w:rsidR="00945947" w:rsidRPr="009C7C13">
        <w:rPr>
          <w:sz w:val="18"/>
          <w:szCs w:val="18"/>
        </w:rPr>
        <w:t xml:space="preserve"> </w:t>
      </w:r>
    </w:p>
  </w:footnote>
  <w:footnote w:id="3">
    <w:p w14:paraId="6552E167" w14:textId="77777777" w:rsidR="00C26F69" w:rsidRPr="002538D2" w:rsidRDefault="00C26F69" w:rsidP="00945947">
      <w:pPr>
        <w:pStyle w:val="FootnoteText"/>
        <w:ind w:left="180" w:hanging="180"/>
        <w:rPr>
          <w:sz w:val="18"/>
          <w:szCs w:val="18"/>
          <w:lang w:val="fr-FR"/>
        </w:rPr>
      </w:pPr>
      <w:r w:rsidRPr="009C7C13">
        <w:rPr>
          <w:rStyle w:val="FootnoteReference"/>
          <w:sz w:val="18"/>
          <w:szCs w:val="18"/>
        </w:rPr>
        <w:footnoteRef/>
      </w:r>
      <w:r w:rsidRPr="009C7C13">
        <w:rPr>
          <w:sz w:val="18"/>
          <w:szCs w:val="18"/>
        </w:rPr>
        <w:t xml:space="preserve"> Perkin MR, Logan K, Tseng A, et al. Randomized trial of introduction of allergenic foods in breast-fed infants. </w:t>
      </w:r>
      <w:r w:rsidRPr="002538D2">
        <w:rPr>
          <w:sz w:val="18"/>
          <w:szCs w:val="18"/>
          <w:lang w:val="fr-FR"/>
        </w:rPr>
        <w:t xml:space="preserve">N </w:t>
      </w:r>
      <w:proofErr w:type="spellStart"/>
      <w:r w:rsidRPr="002538D2">
        <w:rPr>
          <w:sz w:val="18"/>
          <w:szCs w:val="18"/>
          <w:lang w:val="fr-FR"/>
        </w:rPr>
        <w:t>Engl</w:t>
      </w:r>
      <w:proofErr w:type="spellEnd"/>
      <w:r w:rsidRPr="002538D2">
        <w:rPr>
          <w:sz w:val="18"/>
          <w:szCs w:val="18"/>
          <w:lang w:val="fr-FR"/>
        </w:rPr>
        <w:t xml:space="preserve"> J Med. 2016; 374(18): 1733–1743.</w:t>
      </w:r>
    </w:p>
  </w:footnote>
  <w:footnote w:id="4">
    <w:p w14:paraId="379E1492" w14:textId="77777777" w:rsidR="00C26F69" w:rsidRPr="009C7C13" w:rsidRDefault="00C26F69" w:rsidP="00945947">
      <w:pPr>
        <w:pStyle w:val="FootnoteText"/>
        <w:ind w:left="180" w:hanging="180"/>
        <w:rPr>
          <w:sz w:val="18"/>
          <w:szCs w:val="18"/>
        </w:rPr>
      </w:pPr>
      <w:r w:rsidRPr="009C7C13">
        <w:rPr>
          <w:rStyle w:val="FootnoteReference"/>
          <w:sz w:val="18"/>
          <w:szCs w:val="18"/>
        </w:rPr>
        <w:footnoteRef/>
      </w:r>
      <w:r w:rsidRPr="009C7C13">
        <w:rPr>
          <w:sz w:val="18"/>
          <w:szCs w:val="18"/>
          <w:lang w:val="fr-FR"/>
        </w:rPr>
        <w:t xml:space="preserve"> Du Toit G, Roberts G, </w:t>
      </w:r>
      <w:proofErr w:type="spellStart"/>
      <w:r w:rsidRPr="009C7C13">
        <w:rPr>
          <w:sz w:val="18"/>
          <w:szCs w:val="18"/>
          <w:lang w:val="fr-FR"/>
        </w:rPr>
        <w:t>Sayre</w:t>
      </w:r>
      <w:proofErr w:type="spellEnd"/>
      <w:r w:rsidRPr="009C7C13">
        <w:rPr>
          <w:sz w:val="18"/>
          <w:szCs w:val="18"/>
          <w:lang w:val="fr-FR"/>
        </w:rPr>
        <w:t xml:space="preserve"> PH, et al. </w:t>
      </w:r>
      <w:r w:rsidRPr="009C7C13">
        <w:rPr>
          <w:sz w:val="18"/>
          <w:szCs w:val="18"/>
        </w:rPr>
        <w:t xml:space="preserve">Randomized trial of peanut consumption in infants at risk for peanut allergy. N </w:t>
      </w:r>
      <w:proofErr w:type="spellStart"/>
      <w:r w:rsidRPr="009C7C13">
        <w:rPr>
          <w:sz w:val="18"/>
          <w:szCs w:val="18"/>
        </w:rPr>
        <w:t>Engl</w:t>
      </w:r>
      <w:proofErr w:type="spellEnd"/>
      <w:r w:rsidRPr="009C7C13">
        <w:rPr>
          <w:sz w:val="18"/>
          <w:szCs w:val="18"/>
        </w:rPr>
        <w:t xml:space="preserve"> J Med. 2015; 372: 803-13.</w:t>
      </w:r>
      <w:r w:rsidR="00945947" w:rsidRPr="009C7C13">
        <w:rPr>
          <w:sz w:val="18"/>
          <w:szCs w:val="18"/>
        </w:rPr>
        <w:t xml:space="preserve"> </w:t>
      </w:r>
    </w:p>
  </w:footnote>
  <w:footnote w:id="5">
    <w:p w14:paraId="4687EAF2" w14:textId="77777777" w:rsidR="00465453" w:rsidRPr="009C7C13" w:rsidRDefault="00465453" w:rsidP="009C7C13">
      <w:pPr>
        <w:pStyle w:val="FootnoteText"/>
        <w:tabs>
          <w:tab w:val="left" w:pos="3060"/>
        </w:tabs>
        <w:ind w:left="180" w:hanging="180"/>
        <w:rPr>
          <w:sz w:val="18"/>
          <w:szCs w:val="18"/>
        </w:rPr>
      </w:pPr>
      <w:r w:rsidRPr="009C7C13">
        <w:rPr>
          <w:rStyle w:val="FootnoteReference"/>
          <w:sz w:val="18"/>
          <w:szCs w:val="18"/>
        </w:rPr>
        <w:footnoteRef/>
      </w:r>
      <w:r w:rsidRPr="009C7C13">
        <w:rPr>
          <w:sz w:val="18"/>
          <w:szCs w:val="18"/>
        </w:rPr>
        <w:t xml:space="preserve"> Sampson et al. Second symposium on the definition and management of anaphylaxis: Summary report—Second National Institute of Allergy and Infectious Disease/Food Allergy and Anaphylaxis Network symposium. JACI. 2006; 117(2): 391–397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B5A433"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53E384E5" wp14:editId="5A6E1B35">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1CA810" w14:textId="77777777" w:rsidR="00AE3E37" w:rsidRPr="00C26F69" w:rsidRDefault="00A9710C">
                          <w:pPr>
                            <w:spacing w:before="2" w:line="249" w:lineRule="auto"/>
                            <w:ind w:left="156" w:right="18" w:hanging="137"/>
                            <w:rPr>
                              <w:rFonts w:ascii="Arial"/>
                              <w:color w:val="FFFFFF" w:themeColor="background1"/>
                              <w:sz w:val="14"/>
                              <w:lang w:val="fr-FR"/>
                            </w:rPr>
                          </w:pPr>
                          <w:r w:rsidRPr="00C26F69">
                            <w:rPr>
                              <w:rFonts w:ascii="Arial"/>
                              <w:color w:val="FFFFFF" w:themeColor="background1"/>
                              <w:sz w:val="14"/>
                              <w:lang w:val="fr-FR"/>
                            </w:rPr>
                            <w:t xml:space="preserve">T Furuta et </w:t>
                          </w:r>
                          <w:proofErr w:type="gramStart"/>
                          <w:r w:rsidRPr="00C26F69">
                            <w:rPr>
                              <w:rFonts w:ascii="Arial"/>
                              <w:color w:val="FFFFFF" w:themeColor="background1"/>
                              <w:sz w:val="14"/>
                              <w:lang w:val="fr-FR"/>
                            </w:rPr>
                            <w:t>al.,</w:t>
                          </w:r>
                          <w:proofErr w:type="gramEnd"/>
                          <w:r w:rsidRPr="00C26F69">
                            <w:rPr>
                              <w:rFonts w:ascii="Arial"/>
                              <w:color w:val="FFFFFF" w:themeColor="background1"/>
                              <w:sz w:val="14"/>
                              <w:lang w:val="fr-FR"/>
                            </w:rPr>
                            <w:t xml:space="preserve"> J </w:t>
                          </w:r>
                          <w:proofErr w:type="spellStart"/>
                          <w:r w:rsidRPr="00C26F69">
                            <w:rPr>
                              <w:rFonts w:ascii="Arial"/>
                              <w:color w:val="FFFFFF" w:themeColor="background1"/>
                              <w:sz w:val="14"/>
                              <w:lang w:val="fr-FR"/>
                            </w:rPr>
                            <w:t>Pai</w:t>
                          </w:r>
                          <w:proofErr w:type="spellEnd"/>
                          <w:r w:rsidRPr="00C26F69">
                            <w:rPr>
                              <w:rFonts w:ascii="Arial"/>
                              <w:color w:val="FFFFFF" w:themeColor="background1"/>
                              <w:sz w:val="14"/>
                              <w:lang w:val="fr-FR"/>
                            </w:rPr>
                            <w:t xml:space="preserve"> n Relief 2016, 5:3(</w:t>
                          </w:r>
                          <w:proofErr w:type="spellStart"/>
                          <w:r w:rsidRPr="00C26F69">
                            <w:rPr>
                              <w:rFonts w:ascii="Arial"/>
                              <w:color w:val="FFFFFF" w:themeColor="background1"/>
                              <w:sz w:val="14"/>
                              <w:lang w:val="fr-FR"/>
                            </w:rPr>
                            <w:t>Suppl</w:t>
                          </w:r>
                          <w:proofErr w:type="spellEnd"/>
                          <w:r w:rsidRPr="00C26F69">
                            <w:rPr>
                              <w:rFonts w:ascii="Arial"/>
                              <w:color w:val="FFFFFF" w:themeColor="background1"/>
                              <w:sz w:val="14"/>
                              <w:lang w:val="fr-FR"/>
                            </w:rPr>
                            <w:t xml:space="preserve">) </w:t>
                          </w:r>
                          <w:hyperlink r:id="rId1">
                            <w:r w:rsidRPr="00C26F69">
                              <w:rPr>
                                <w:rFonts w:ascii="Arial"/>
                                <w:color w:val="FFFFFF" w:themeColor="background1"/>
                                <w:sz w:val="14"/>
                                <w:lang w:val="fr-FR"/>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E384E5"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281CA810" w14:textId="77777777" w:rsidR="00AE3E37" w:rsidRPr="00C26F69" w:rsidRDefault="00A9710C">
                    <w:pPr>
                      <w:spacing w:before="2" w:line="249" w:lineRule="auto"/>
                      <w:ind w:left="156" w:right="18" w:hanging="137"/>
                      <w:rPr>
                        <w:rFonts w:ascii="Arial"/>
                        <w:color w:val="FFFFFF" w:themeColor="background1"/>
                        <w:sz w:val="14"/>
                        <w:lang w:val="fr-FR"/>
                      </w:rPr>
                    </w:pPr>
                    <w:r w:rsidRPr="00C26F69">
                      <w:rPr>
                        <w:rFonts w:ascii="Arial"/>
                        <w:color w:val="FFFFFF" w:themeColor="background1"/>
                        <w:sz w:val="14"/>
                        <w:lang w:val="fr-FR"/>
                      </w:rPr>
                      <w:t xml:space="preserve">T Furuta et al., J Pai n Relief 2016, 5:3(Suppl) </w:t>
                    </w:r>
                    <w:hyperlink r:id="rId2">
                      <w:r w:rsidRPr="00C26F69">
                        <w:rPr>
                          <w:rFonts w:ascii="Arial"/>
                          <w:color w:val="FFFFFF" w:themeColor="background1"/>
                          <w:sz w:val="14"/>
                          <w:lang w:val="fr-FR"/>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4D16AE2C" wp14:editId="7A24B9BA">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1CA232"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1871322"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16AE2C"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2C1CA232"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1871322"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oNotDisplayPageBoundarie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A3465"/>
    <w:rsid w:val="000C57A5"/>
    <w:rsid w:val="000E2911"/>
    <w:rsid w:val="00121596"/>
    <w:rsid w:val="001263DF"/>
    <w:rsid w:val="002538D2"/>
    <w:rsid w:val="00292ED9"/>
    <w:rsid w:val="00337FD4"/>
    <w:rsid w:val="003B29C1"/>
    <w:rsid w:val="00404E5B"/>
    <w:rsid w:val="00414F7B"/>
    <w:rsid w:val="004355DC"/>
    <w:rsid w:val="00465453"/>
    <w:rsid w:val="00473C00"/>
    <w:rsid w:val="004749B4"/>
    <w:rsid w:val="00494130"/>
    <w:rsid w:val="004F3523"/>
    <w:rsid w:val="005845CE"/>
    <w:rsid w:val="005973B9"/>
    <w:rsid w:val="005A1555"/>
    <w:rsid w:val="005B3A56"/>
    <w:rsid w:val="005C0765"/>
    <w:rsid w:val="006060CE"/>
    <w:rsid w:val="0063497F"/>
    <w:rsid w:val="00663E35"/>
    <w:rsid w:val="006E7C34"/>
    <w:rsid w:val="007B26DD"/>
    <w:rsid w:val="008258D3"/>
    <w:rsid w:val="00873DF0"/>
    <w:rsid w:val="008756E6"/>
    <w:rsid w:val="00910902"/>
    <w:rsid w:val="00945947"/>
    <w:rsid w:val="009B2D44"/>
    <w:rsid w:val="009C7C13"/>
    <w:rsid w:val="00A07E82"/>
    <w:rsid w:val="00A31ADF"/>
    <w:rsid w:val="00A732D3"/>
    <w:rsid w:val="00A9710C"/>
    <w:rsid w:val="00AE3E37"/>
    <w:rsid w:val="00B21A57"/>
    <w:rsid w:val="00B8778A"/>
    <w:rsid w:val="00BD7DBF"/>
    <w:rsid w:val="00C26F69"/>
    <w:rsid w:val="00C33602"/>
    <w:rsid w:val="00CD6F55"/>
    <w:rsid w:val="00D97E50"/>
    <w:rsid w:val="00DE3104"/>
    <w:rsid w:val="00E10417"/>
    <w:rsid w:val="00EE485B"/>
    <w:rsid w:val="00EF206D"/>
    <w:rsid w:val="00F13852"/>
    <w:rsid w:val="00F72EEA"/>
    <w:rsid w:val="00F84CAE"/>
    <w:rsid w:val="00F879C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99C2E30"/>
  <w15:docId w15:val="{F4524220-2706-4710-ACAA-AB5DDD78C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EndnoteText">
    <w:name w:val="endnote text"/>
    <w:basedOn w:val="Normal"/>
    <w:link w:val="EndnoteTextChar"/>
    <w:semiHidden/>
    <w:unhideWhenUsed/>
    <w:rsid w:val="00C26F69"/>
    <w:rPr>
      <w:sz w:val="20"/>
      <w:szCs w:val="20"/>
    </w:rPr>
  </w:style>
  <w:style w:type="character" w:customStyle="1" w:styleId="EndnoteTextChar">
    <w:name w:val="Endnote Text Char"/>
    <w:basedOn w:val="DefaultParagraphFont"/>
    <w:link w:val="EndnoteText"/>
    <w:semiHidden/>
    <w:rsid w:val="00C26F69"/>
    <w:rPr>
      <w:rFonts w:ascii="Tw Cen MT" w:eastAsia="Tw Cen MT" w:hAnsi="Tw Cen MT" w:cs="Tw Cen MT"/>
      <w:sz w:val="20"/>
      <w:szCs w:val="20"/>
    </w:rPr>
  </w:style>
  <w:style w:type="character" w:styleId="EndnoteReference">
    <w:name w:val="endnote reference"/>
    <w:basedOn w:val="DefaultParagraphFont"/>
    <w:uiPriority w:val="99"/>
    <w:semiHidden/>
    <w:unhideWhenUsed/>
    <w:rsid w:val="00C26F69"/>
    <w:rPr>
      <w:vertAlign w:val="superscript"/>
    </w:rPr>
  </w:style>
  <w:style w:type="paragraph" w:styleId="FootnoteText">
    <w:name w:val="footnote text"/>
    <w:basedOn w:val="Normal"/>
    <w:link w:val="FootnoteTextChar"/>
    <w:uiPriority w:val="99"/>
    <w:semiHidden/>
    <w:unhideWhenUsed/>
    <w:rsid w:val="00C26F69"/>
    <w:rPr>
      <w:sz w:val="20"/>
      <w:szCs w:val="20"/>
    </w:rPr>
  </w:style>
  <w:style w:type="character" w:customStyle="1" w:styleId="FootnoteTextChar">
    <w:name w:val="Footnote Text Char"/>
    <w:basedOn w:val="DefaultParagraphFont"/>
    <w:link w:val="FootnoteText"/>
    <w:uiPriority w:val="99"/>
    <w:semiHidden/>
    <w:rsid w:val="00C26F69"/>
    <w:rPr>
      <w:rFonts w:ascii="Tw Cen MT" w:eastAsia="Tw Cen MT" w:hAnsi="Tw Cen MT" w:cs="Tw Cen MT"/>
      <w:sz w:val="20"/>
      <w:szCs w:val="20"/>
    </w:rPr>
  </w:style>
  <w:style w:type="character" w:styleId="FootnoteReference">
    <w:name w:val="footnote reference"/>
    <w:basedOn w:val="DefaultParagraphFont"/>
    <w:uiPriority w:val="99"/>
    <w:semiHidden/>
    <w:unhideWhenUsed/>
    <w:rsid w:val="00C26F69"/>
    <w:rPr>
      <w:vertAlign w:val="superscript"/>
    </w:rPr>
  </w:style>
  <w:style w:type="character" w:styleId="CommentReference">
    <w:name w:val="annotation reference"/>
    <w:basedOn w:val="DefaultParagraphFont"/>
    <w:uiPriority w:val="99"/>
    <w:semiHidden/>
    <w:unhideWhenUsed/>
    <w:rsid w:val="000A3465"/>
    <w:rPr>
      <w:sz w:val="16"/>
      <w:szCs w:val="16"/>
    </w:rPr>
  </w:style>
  <w:style w:type="paragraph" w:styleId="CommentText">
    <w:name w:val="annotation text"/>
    <w:basedOn w:val="Normal"/>
    <w:link w:val="CommentTextChar"/>
    <w:uiPriority w:val="99"/>
    <w:semiHidden/>
    <w:unhideWhenUsed/>
    <w:rsid w:val="000A3465"/>
    <w:rPr>
      <w:sz w:val="20"/>
      <w:szCs w:val="20"/>
    </w:rPr>
  </w:style>
  <w:style w:type="character" w:customStyle="1" w:styleId="CommentTextChar">
    <w:name w:val="Comment Text Char"/>
    <w:basedOn w:val="DefaultParagraphFont"/>
    <w:link w:val="CommentText"/>
    <w:uiPriority w:val="99"/>
    <w:semiHidden/>
    <w:rsid w:val="000A3465"/>
    <w:rPr>
      <w:rFonts w:ascii="Tw Cen MT" w:eastAsia="Tw Cen MT" w:hAnsi="Tw Cen MT" w:cs="Tw Cen MT"/>
      <w:sz w:val="20"/>
      <w:szCs w:val="20"/>
    </w:rPr>
  </w:style>
  <w:style w:type="paragraph" w:styleId="CommentSubject">
    <w:name w:val="annotation subject"/>
    <w:basedOn w:val="CommentText"/>
    <w:next w:val="CommentText"/>
    <w:link w:val="CommentSubjectChar"/>
    <w:uiPriority w:val="99"/>
    <w:semiHidden/>
    <w:unhideWhenUsed/>
    <w:rsid w:val="000A3465"/>
    <w:rPr>
      <w:b/>
      <w:bCs/>
    </w:rPr>
  </w:style>
  <w:style w:type="character" w:customStyle="1" w:styleId="CommentSubjectChar">
    <w:name w:val="Comment Subject Char"/>
    <w:basedOn w:val="CommentTextChar"/>
    <w:link w:val="CommentSubject"/>
    <w:uiPriority w:val="99"/>
    <w:semiHidden/>
    <w:rsid w:val="000A3465"/>
    <w:rPr>
      <w:rFonts w:ascii="Tw Cen MT" w:eastAsia="Tw Cen MT" w:hAnsi="Tw Cen MT" w:cs="Tw Cen MT"/>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j-holl@northwestern.ed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Visio_Drawing1.vsdx"/><Relationship Id="rId5" Type="http://schemas.openxmlformats.org/officeDocument/2006/relationships/webSettings" Target="webSettings.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B32EF3-6626-4D86-ADAC-2A43715047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410</Words>
  <Characters>2339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Jane Louise Holl</cp:lastModifiedBy>
  <cp:revision>2</cp:revision>
  <dcterms:created xsi:type="dcterms:W3CDTF">2017-07-31T01:31:00Z</dcterms:created>
  <dcterms:modified xsi:type="dcterms:W3CDTF">2017-07-31T01:31:00Z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