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28"/>
        </w:rPr>
      </w:pPr>
      <w:r>
        <w:rPr>
          <w:rFonts w:hint="eastAsia" w:eastAsia="MS Mincho"/>
          <w:b/>
          <w:color w:val="181512"/>
          <w:sz w:val="28"/>
          <w:lang w:eastAsia="ja-JP"/>
        </w:rPr>
        <w:t>Title:</w:t>
      </w:r>
      <w:bookmarkStart w:id="1" w:name="_GoBack"/>
      <w:r>
        <w:rPr>
          <w:rFonts w:hint="eastAsia" w:eastAsia="MS Mincho"/>
          <w:b/>
          <w:color w:val="181512"/>
          <w:sz w:val="28"/>
          <w:lang w:eastAsia="ja-JP"/>
        </w:rPr>
        <w:t xml:space="preserve"> </w:t>
      </w:r>
      <w:r>
        <w:rPr>
          <w:b/>
          <w:bCs/>
          <w:sz w:val="28"/>
        </w:rPr>
        <w:t>Autophagy-regulated AMPAR subunit upregulation in in vitro oxygen</w:t>
      </w:r>
      <w:r>
        <w:rPr>
          <w:rFonts w:hint="eastAsia"/>
          <w:b/>
          <w:bCs/>
          <w:sz w:val="28"/>
          <w:lang w:eastAsia="zh-CN"/>
        </w:rPr>
        <w:t xml:space="preserve"> </w:t>
      </w:r>
      <w:r>
        <w:rPr>
          <w:b/>
          <w:bCs/>
          <w:sz w:val="28"/>
        </w:rPr>
        <w:t>glucose deprivation/reoxygenation-induced hippocampal injury</w:t>
      </w:r>
      <w:bookmarkEnd w:id="1"/>
    </w:p>
    <w:p>
      <w:pPr>
        <w:spacing w:line="320" w:lineRule="exact"/>
        <w:jc w:val="both"/>
        <w:rPr>
          <w:b/>
          <w:bCs/>
        </w:rPr>
      </w:pPr>
      <w:r>
        <w:rPr>
          <w:b/>
          <w:bCs/>
        </w:rPr>
        <w:t>Li Bao</w:t>
      </w:r>
      <w:r>
        <w:rPr>
          <w:rFonts w:hint="eastAsia"/>
          <w:b/>
          <w:bCs/>
          <w:lang w:eastAsia="zh-CN"/>
        </w:rPr>
        <w:t>，</w:t>
      </w:r>
      <w:r>
        <w:rPr>
          <w:b/>
          <w:bCs/>
        </w:rPr>
        <w:t>Rong-Hu Li, Mei Li, Mei-Fang Jin, Gang Li, Xing Han, Yuan-Yuan Yang, Bin Sun,</w:t>
      </w:r>
      <w:r>
        <w:rPr>
          <w:rFonts w:hint="eastAsia"/>
          <w:b/>
          <w:bCs/>
          <w:lang w:eastAsia="zh-CN"/>
        </w:rPr>
        <w:t xml:space="preserve"> </w:t>
      </w:r>
      <w:r>
        <w:rPr>
          <w:b/>
          <w:bCs/>
        </w:rPr>
        <w:t>Li-Xiao Xu</w:t>
      </w:r>
    </w:p>
    <w:p>
      <w:pPr>
        <w:spacing w:line="320" w:lineRule="exact"/>
        <w:jc w:val="both"/>
        <w:rPr>
          <w:b/>
          <w:bCs/>
        </w:rPr>
      </w:pPr>
      <w:r>
        <w:rPr>
          <w:b/>
          <w:bCs/>
        </w:rPr>
        <w:t xml:space="preserve">And Xing Feng </w:t>
      </w:r>
    </w:p>
    <w:p>
      <w:pPr>
        <w:spacing w:line="320" w:lineRule="exact"/>
        <w:jc w:val="both"/>
        <w:rPr>
          <w:rFonts w:eastAsia="MS Mincho"/>
          <w:b/>
          <w:color w:val="181512"/>
          <w:lang w:eastAsia="ja-JP"/>
        </w:rPr>
      </w:pPr>
      <w:bookmarkStart w:id="0" w:name="_Hlk486429432"/>
      <w:r>
        <w:rPr>
          <w:bCs/>
        </w:rPr>
        <w:t xml:space="preserve">Children’s Hospital </w:t>
      </w:r>
      <w:r>
        <w:rPr>
          <w:rFonts w:hint="eastAsia"/>
          <w:bCs/>
          <w:lang w:eastAsia="zh-CN"/>
        </w:rPr>
        <w:t>of</w:t>
      </w:r>
      <w:r>
        <w:rPr>
          <w:bCs/>
        </w:rPr>
        <w:t xml:space="preserve"> Soochow University</w:t>
      </w:r>
      <w:bookmarkEnd w:id="0"/>
      <w:r>
        <w:rPr>
          <w:bCs/>
        </w:rPr>
        <w:t>, Suzhou, China. 215025</w:t>
      </w:r>
    </w:p>
    <w:p>
      <w:pPr>
        <w:spacing w:line="200" w:lineRule="exact"/>
        <w:ind w:right="-1"/>
        <w:jc w:val="both"/>
        <w:rPr>
          <w:szCs w:val="36"/>
          <w:lang w:eastAsia="zh-CN"/>
        </w:rPr>
      </w:pPr>
    </w:p>
    <w:p>
      <w:pPr>
        <w:autoSpaceDE w:val="0"/>
        <w:autoSpaceDN w:val="0"/>
        <w:adjustRightInd w:val="0"/>
        <w:spacing w:line="240" w:lineRule="exact"/>
        <w:ind w:right="-1"/>
        <w:jc w:val="both"/>
        <w:rPr>
          <w:b/>
          <w:i/>
          <w:color w:val="181512"/>
          <w:sz w:val="16"/>
          <w:szCs w:val="16"/>
          <w:lang w:eastAsia="zh-CN"/>
        </w:rPr>
      </w:pPr>
    </w:p>
    <w:p>
      <w:pPr>
        <w:autoSpaceDE w:val="0"/>
        <w:autoSpaceDN w:val="0"/>
        <w:adjustRightInd w:val="0"/>
        <w:spacing w:line="240" w:lineRule="exact"/>
        <w:ind w:right="-1"/>
        <w:jc w:val="both"/>
        <w:rPr>
          <w:b/>
          <w:i/>
          <w:color w:val="181512"/>
          <w:sz w:val="28"/>
          <w:szCs w:val="24"/>
          <w:lang w:eastAsia="zh-CN"/>
        </w:rPr>
      </w:pPr>
      <w:r>
        <w:rPr>
          <w:rFonts w:eastAsia="Times New Roman"/>
          <w:b/>
          <w:i/>
          <w:color w:val="181512"/>
          <w:sz w:val="28"/>
          <w:szCs w:val="24"/>
        </w:rPr>
        <w:t>Abstract</w:t>
      </w:r>
    </w:p>
    <w:p>
      <w:pPr>
        <w:tabs>
          <w:tab w:val="left" w:pos="2894"/>
        </w:tabs>
        <w:autoSpaceDE w:val="0"/>
        <w:autoSpaceDN w:val="0"/>
        <w:adjustRightInd w:val="0"/>
        <w:spacing w:line="240" w:lineRule="exact"/>
        <w:jc w:val="both"/>
        <w:rPr>
          <w:color w:val="181512"/>
          <w:sz w:val="16"/>
          <w:szCs w:val="16"/>
          <w:lang w:eastAsia="zh-CN"/>
        </w:rPr>
      </w:pPr>
      <w:r>
        <w:rPr>
          <w:color w:val="181512"/>
          <w:sz w:val="16"/>
          <w:szCs w:val="16"/>
          <w:lang w:eastAsia="zh-CN"/>
        </w:rPr>
        <w:tab/>
      </w:r>
    </w:p>
    <w:p>
      <w:pPr>
        <w:spacing w:line="360" w:lineRule="auto"/>
        <w:jc w:val="both"/>
        <w:rPr>
          <w:rFonts w:eastAsia="Times New Roman"/>
          <w:bCs/>
          <w:color w:val="181512"/>
          <w:sz w:val="24"/>
        </w:rPr>
      </w:pPr>
      <w:r>
        <w:rPr>
          <w:rFonts w:eastAsia="Times New Roman"/>
          <w:bCs/>
          <w:color w:val="181512"/>
          <w:sz w:val="24"/>
        </w:rPr>
        <w:t>Autophagy has been implicated to mediate experimental cerebral ischemia/reperfusion-induced neu-</w:t>
      </w:r>
    </w:p>
    <w:p>
      <w:pPr>
        <w:spacing w:line="360" w:lineRule="auto"/>
        <w:jc w:val="both"/>
        <w:rPr>
          <w:rFonts w:eastAsia="Times New Roman"/>
          <w:bCs/>
          <w:color w:val="181512"/>
          <w:sz w:val="24"/>
        </w:rPr>
      </w:pPr>
      <w:r>
        <w:rPr>
          <w:rFonts w:eastAsia="Times New Roman"/>
          <w:bCs/>
          <w:color w:val="181512"/>
          <w:sz w:val="24"/>
        </w:rPr>
        <w:t>ronal death; the underlying molecular mechanisms, though, are poorly understood. In this study, we</w:t>
      </w:r>
    </w:p>
    <w:p>
      <w:pPr>
        <w:spacing w:line="360" w:lineRule="auto"/>
        <w:jc w:val="both"/>
        <w:rPr>
          <w:rFonts w:eastAsia="Times New Roman"/>
          <w:bCs/>
          <w:color w:val="181512"/>
          <w:sz w:val="24"/>
        </w:rPr>
      </w:pPr>
      <w:r>
        <w:rPr>
          <w:rFonts w:eastAsia="Times New Roman"/>
          <w:bCs/>
          <w:color w:val="181512"/>
          <w:sz w:val="24"/>
        </w:rPr>
        <w:t>investigated the role of autophagy in regulating the expression of AMPAR subunits (GluR1, GluR2, and</w:t>
      </w:r>
      <w:r>
        <w:rPr>
          <w:rFonts w:hint="eastAsia" w:eastAsiaTheme="minorEastAsia"/>
          <w:bCs/>
          <w:color w:val="181512"/>
          <w:sz w:val="24"/>
          <w:lang w:eastAsia="zh-CN"/>
        </w:rPr>
        <w:t xml:space="preserve"> </w:t>
      </w:r>
      <w:r>
        <w:rPr>
          <w:rFonts w:eastAsia="Times New Roman"/>
          <w:bCs/>
          <w:color w:val="181512"/>
          <w:sz w:val="24"/>
        </w:rPr>
        <w:t>GluR3) in oxygen glucose deprivation/reperfusion (OGD/R)-mediated injury of hippocampal neurons.</w:t>
      </w:r>
      <w:r>
        <w:rPr>
          <w:rFonts w:hint="eastAsia" w:eastAsiaTheme="minorEastAsia"/>
          <w:bCs/>
          <w:color w:val="181512"/>
          <w:sz w:val="24"/>
          <w:lang w:eastAsia="zh-CN"/>
        </w:rPr>
        <w:t xml:space="preserve"> </w:t>
      </w:r>
      <w:r>
        <w:rPr>
          <w:rFonts w:eastAsia="Times New Roman"/>
          <w:bCs/>
          <w:color w:val="181512"/>
          <w:sz w:val="24"/>
        </w:rPr>
        <w:t>Our results showed that, OGD/R-induced hippocampal neuron injury was accompanied by accumulation</w:t>
      </w:r>
      <w:r>
        <w:rPr>
          <w:rFonts w:hint="eastAsia" w:eastAsiaTheme="minorEastAsia"/>
          <w:bCs/>
          <w:color w:val="181512"/>
          <w:sz w:val="24"/>
          <w:lang w:eastAsia="zh-CN"/>
        </w:rPr>
        <w:t xml:space="preserve"> </w:t>
      </w:r>
      <w:r>
        <w:rPr>
          <w:rFonts w:eastAsia="Times New Roman"/>
          <w:bCs/>
          <w:color w:val="181512"/>
          <w:sz w:val="24"/>
        </w:rPr>
        <w:t>of autophagosomes and autolysosomes in cytoplasm alongside a dramatic increase in expression of</w:t>
      </w:r>
      <w:r>
        <w:rPr>
          <w:rFonts w:hint="eastAsia" w:eastAsiaTheme="minorEastAsia"/>
          <w:bCs/>
          <w:color w:val="181512"/>
          <w:sz w:val="24"/>
          <w:lang w:eastAsia="zh-CN"/>
        </w:rPr>
        <w:t xml:space="preserve"> </w:t>
      </w:r>
      <w:r>
        <w:rPr>
          <w:rFonts w:eastAsia="Times New Roman"/>
          <w:bCs/>
          <w:color w:val="181512"/>
          <w:sz w:val="24"/>
        </w:rPr>
        <w:t>autophagy-related genes, LC3 and Beclin 1 and increased intracellular Ca 2+ levels. Pre-treatment with</w:t>
      </w:r>
      <w:r>
        <w:rPr>
          <w:rFonts w:hint="eastAsia" w:eastAsiaTheme="minorEastAsia"/>
          <w:bCs/>
          <w:color w:val="181512"/>
          <w:sz w:val="24"/>
          <w:lang w:eastAsia="zh-CN"/>
        </w:rPr>
        <w:t xml:space="preserve"> </w:t>
      </w:r>
      <w:r>
        <w:rPr>
          <w:rFonts w:eastAsia="Times New Roman"/>
          <w:bCs/>
          <w:color w:val="181512"/>
          <w:sz w:val="24"/>
        </w:rPr>
        <w:t>autophagy inhibitor 3-methyladenine (3-MA) significantly reduced this effect. Moreover, the OGD/R-induced upregulation of mRNA and protein expressions of GluR1, GluR2, and GluR3 were also</w:t>
      </w:r>
      <w:r>
        <w:rPr>
          <w:rFonts w:hint="eastAsia" w:eastAsiaTheme="minorEastAsia"/>
          <w:bCs/>
          <w:color w:val="181512"/>
          <w:sz w:val="24"/>
          <w:lang w:eastAsia="zh-CN"/>
        </w:rPr>
        <w:t xml:space="preserve"> </w:t>
      </w:r>
      <w:r>
        <w:rPr>
          <w:rFonts w:eastAsia="Times New Roman"/>
          <w:bCs/>
          <w:color w:val="181512"/>
          <w:sz w:val="24"/>
        </w:rPr>
        <w:t>effectively reversed in cells pretreated with 3-MA. Our findings indicate that OGD/R induced the</w:t>
      </w:r>
      <w:r>
        <w:rPr>
          <w:rFonts w:hint="eastAsia" w:eastAsiaTheme="minorEastAsia"/>
          <w:bCs/>
          <w:color w:val="181512"/>
          <w:sz w:val="24"/>
          <w:lang w:eastAsia="zh-CN"/>
        </w:rPr>
        <w:t xml:space="preserve"> </w:t>
      </w:r>
      <w:r>
        <w:rPr>
          <w:rFonts w:eastAsia="Times New Roman"/>
          <w:bCs/>
          <w:color w:val="181512"/>
          <w:sz w:val="24"/>
        </w:rPr>
        <w:t>expression of GluRs by activating autophagy in in vitro cultured hippocampal neurons, which could be</w:t>
      </w:r>
      <w:r>
        <w:rPr>
          <w:rFonts w:hint="eastAsia" w:eastAsiaTheme="minorEastAsia"/>
          <w:bCs/>
          <w:color w:val="181512"/>
          <w:sz w:val="24"/>
          <w:lang w:eastAsia="zh-CN"/>
        </w:rPr>
        <w:t xml:space="preserve"> </w:t>
      </w:r>
      <w:r>
        <w:rPr>
          <w:rFonts w:eastAsia="Times New Roman"/>
          <w:bCs/>
          <w:color w:val="181512"/>
          <w:sz w:val="24"/>
        </w:rPr>
        <w:t>effectively reversed by the administration of 3-MA.</w:t>
      </w:r>
    </w:p>
    <w:p>
      <w:pPr>
        <w:autoSpaceDE w:val="0"/>
        <w:autoSpaceDN w:val="0"/>
        <w:adjustRightInd w:val="0"/>
        <w:spacing w:line="240" w:lineRule="exact"/>
        <w:ind w:right="-1"/>
        <w:jc w:val="both"/>
        <w:rPr>
          <w:rFonts w:eastAsia="Times New Roman"/>
          <w:b/>
          <w:i/>
          <w:color w:val="181512"/>
          <w:sz w:val="28"/>
          <w:szCs w:val="24"/>
        </w:rPr>
      </w:pPr>
    </w:p>
    <w:p>
      <w:pPr>
        <w:autoSpaceDE w:val="0"/>
        <w:autoSpaceDN w:val="0"/>
        <w:adjustRightInd w:val="0"/>
        <w:spacing w:line="240" w:lineRule="exact"/>
        <w:ind w:right="-1"/>
        <w:jc w:val="both"/>
        <w:rPr>
          <w:rFonts w:eastAsia="Times New Roman"/>
          <w:b/>
          <w:i/>
          <w:color w:val="181512"/>
          <w:sz w:val="28"/>
          <w:szCs w:val="24"/>
        </w:rPr>
      </w:pPr>
      <w:r>
        <w:rPr>
          <w:rFonts w:hint="eastAsia" w:eastAsia="Times New Roman"/>
          <w:b/>
          <w:i/>
          <w:color w:val="181512"/>
          <w:sz w:val="28"/>
          <w:szCs w:val="24"/>
        </w:rPr>
        <w:t xml:space="preserve">Biography </w:t>
      </w:r>
    </w:p>
    <w:p>
      <w:pPr>
        <w:spacing w:line="360" w:lineRule="auto"/>
        <w:jc w:val="both"/>
        <w:rPr>
          <w:bCs/>
          <w:color w:val="181512"/>
          <w:sz w:val="24"/>
          <w:lang w:eastAsia="zh-CN"/>
        </w:rPr>
      </w:pPr>
      <w:r>
        <w:rPr>
          <w:rFonts w:eastAsia="Times New Roman"/>
          <w:bCs/>
          <w:color w:val="181512"/>
          <w:sz w:val="24"/>
        </w:rPr>
        <w:t>Dr. Lix</w:t>
      </w:r>
      <w:r>
        <w:rPr>
          <w:rFonts w:hint="eastAsia" w:eastAsia="Times New Roman"/>
          <w:bCs/>
          <w:color w:val="181512"/>
          <w:sz w:val="24"/>
        </w:rPr>
        <w:t xml:space="preserve">iao Xu, </w:t>
      </w:r>
      <w:r>
        <w:rPr>
          <w:rFonts w:eastAsia="Times New Roman"/>
          <w:bCs/>
          <w:color w:val="181512"/>
          <w:sz w:val="24"/>
        </w:rPr>
        <w:t>Ph</w:t>
      </w:r>
      <w:r>
        <w:rPr>
          <w:rFonts w:hint="eastAsia"/>
          <w:bCs/>
          <w:color w:val="181512"/>
          <w:sz w:val="24"/>
          <w:lang w:eastAsia="zh-CN"/>
        </w:rPr>
        <w:t>.</w:t>
      </w:r>
      <w:r>
        <w:rPr>
          <w:rFonts w:eastAsia="Times New Roman"/>
          <w:bCs/>
          <w:color w:val="181512"/>
          <w:sz w:val="24"/>
        </w:rPr>
        <w:t>D</w:t>
      </w:r>
      <w:r>
        <w:rPr>
          <w:rFonts w:hint="eastAsia"/>
          <w:bCs/>
          <w:color w:val="181512"/>
          <w:sz w:val="24"/>
          <w:lang w:eastAsia="zh-CN"/>
        </w:rPr>
        <w:t>.</w:t>
      </w:r>
      <w:r>
        <w:rPr>
          <w:bCs/>
          <w:color w:val="181512"/>
          <w:sz w:val="24"/>
          <w:lang w:eastAsia="zh-CN"/>
        </w:rPr>
        <w:t xml:space="preserve"> now is </w:t>
      </w:r>
      <w:r>
        <w:rPr>
          <w:rFonts w:hint="eastAsia"/>
          <w:bCs/>
          <w:color w:val="181512"/>
          <w:sz w:val="24"/>
          <w:lang w:eastAsia="zh-CN"/>
        </w:rPr>
        <w:t xml:space="preserve">an </w:t>
      </w:r>
      <w:r>
        <w:rPr>
          <w:bCs/>
          <w:color w:val="181512"/>
          <w:sz w:val="24"/>
          <w:lang w:eastAsia="zh-CN"/>
        </w:rPr>
        <w:t>assistant professor of clinical research institute of Soochow University. She got her doctor degree in biochemistry and molecular biology at Sun Yat-Sen University in 2012. S</w:t>
      </w:r>
      <w:r>
        <w:rPr>
          <w:rFonts w:hint="eastAsia"/>
          <w:bCs/>
          <w:color w:val="181512"/>
          <w:sz w:val="24"/>
          <w:lang w:eastAsia="zh-CN"/>
        </w:rPr>
        <w:t>ince</w:t>
      </w:r>
      <w:r>
        <w:rPr>
          <w:bCs/>
          <w:color w:val="181512"/>
          <w:sz w:val="24"/>
          <w:lang w:eastAsia="zh-CN"/>
        </w:rPr>
        <w:t xml:space="preserve"> 2012, she has been worked in Children’s Hospital of Soochow University and </w:t>
      </w:r>
      <w:r>
        <w:rPr>
          <w:rFonts w:eastAsia="Times New Roman"/>
          <w:bCs/>
          <w:color w:val="181512"/>
          <w:sz w:val="24"/>
        </w:rPr>
        <w:t>focued on the research of brain damage, studies on the mechanisms of</w:t>
      </w:r>
      <w:r>
        <w:rPr>
          <w:rFonts w:hint="eastAsia"/>
          <w:bCs/>
          <w:color w:val="181512"/>
          <w:sz w:val="24"/>
          <w:lang w:eastAsia="zh-CN"/>
        </w:rPr>
        <w:t xml:space="preserve"> </w:t>
      </w:r>
      <w:r>
        <w:rPr>
          <w:bCs/>
          <w:color w:val="181512"/>
          <w:sz w:val="24"/>
          <w:lang w:eastAsia="zh-CN"/>
        </w:rPr>
        <w:t>autophagy in hypoxia-ischemia-induced brain damage.</w:t>
      </w:r>
      <w:r>
        <w:rPr>
          <w:rFonts w:hint="eastAsia"/>
          <w:bCs/>
          <w:color w:val="181512"/>
          <w:sz w:val="24"/>
          <w:lang w:eastAsia="zh-CN"/>
        </w:rPr>
        <w:t xml:space="preserve"> </w:t>
      </w:r>
      <w:r>
        <w:rPr>
          <w:bCs/>
          <w:color w:val="181512"/>
          <w:sz w:val="24"/>
          <w:lang w:eastAsia="zh-CN"/>
        </w:rPr>
        <w:t>Currently, she has hosted a National Natural Science Foundation--Youth Foundation (No.81502157), and obtained</w:t>
      </w:r>
      <w:r>
        <w:rPr>
          <w:rFonts w:eastAsia="Times New Roman"/>
          <w:bCs/>
          <w:color w:val="181512"/>
          <w:sz w:val="24"/>
        </w:rPr>
        <w:t xml:space="preserve"> awards</w:t>
      </w:r>
      <w:r>
        <w:rPr>
          <w:bCs/>
          <w:color w:val="181512"/>
          <w:sz w:val="24"/>
          <w:lang w:eastAsia="zh-CN"/>
        </w:rPr>
        <w:t xml:space="preserve"> from Jiangsu Provincial Medical Youth Talent</w:t>
      </w:r>
      <w:r>
        <w:rPr>
          <w:sz w:val="24"/>
        </w:rPr>
        <w:t xml:space="preserve"> (</w:t>
      </w:r>
      <w:r>
        <w:rPr>
          <w:bCs/>
          <w:color w:val="181512"/>
          <w:sz w:val="24"/>
          <w:lang w:eastAsia="zh-CN"/>
        </w:rPr>
        <w:t xml:space="preserve">No. QNRC2016758) and applied Foundational Research of Medical and Health Care of Suzhou City (No.SYS201646). She also </w:t>
      </w:r>
      <w:r>
        <w:rPr>
          <w:rFonts w:hint="eastAsia"/>
          <w:bCs/>
          <w:color w:val="181512"/>
          <w:sz w:val="24"/>
          <w:lang w:eastAsia="zh-CN"/>
        </w:rPr>
        <w:t>have</w:t>
      </w:r>
      <w:r>
        <w:rPr>
          <w:bCs/>
          <w:color w:val="181512"/>
          <w:sz w:val="24"/>
          <w:lang w:eastAsia="zh-CN"/>
        </w:rPr>
        <w:t xml:space="preserve"> </w:t>
      </w:r>
      <w:r>
        <w:rPr>
          <w:rFonts w:hint="eastAsia"/>
          <w:bCs/>
          <w:color w:val="181512"/>
          <w:sz w:val="24"/>
          <w:lang w:eastAsia="zh-CN"/>
        </w:rPr>
        <w:t>been</w:t>
      </w:r>
      <w:r>
        <w:rPr>
          <w:bCs/>
          <w:color w:val="181512"/>
          <w:sz w:val="24"/>
          <w:lang w:eastAsia="zh-CN"/>
        </w:rPr>
        <w:t xml:space="preserve"> </w:t>
      </w:r>
      <w:r>
        <w:rPr>
          <w:rFonts w:hint="eastAsia"/>
          <w:bCs/>
          <w:color w:val="181512"/>
          <w:sz w:val="24"/>
          <w:lang w:eastAsia="zh-CN"/>
        </w:rPr>
        <w:t>p</w:t>
      </w:r>
      <w:r>
        <w:rPr>
          <w:bCs/>
          <w:color w:val="181512"/>
          <w:sz w:val="24"/>
          <w:lang w:eastAsia="zh-CN"/>
        </w:rPr>
        <w:t>ublished many papers.</w:t>
      </w:r>
    </w:p>
    <w:p>
      <w:pPr>
        <w:spacing w:line="240" w:lineRule="exact"/>
        <w:ind w:right="-1"/>
        <w:jc w:val="both"/>
        <w:rPr>
          <w:bCs/>
          <w:color w:val="181512"/>
          <w:lang w:eastAsia="zh-CN"/>
        </w:rPr>
      </w:pPr>
    </w:p>
    <w:p>
      <w:pPr>
        <w:widowControl w:val="0"/>
        <w:autoSpaceDE w:val="0"/>
        <w:autoSpaceDN w:val="0"/>
        <w:adjustRightInd w:val="0"/>
        <w:spacing w:line="240" w:lineRule="exact"/>
        <w:ind w:right="-1"/>
        <w:jc w:val="both"/>
        <w:rPr>
          <w:rFonts w:eastAsia="Times New Roman"/>
          <w:bCs/>
          <w:color w:val="181512"/>
        </w:rPr>
      </w:pPr>
    </w:p>
    <w:p>
      <w:pPr>
        <w:widowControl w:val="0"/>
        <w:autoSpaceDE w:val="0"/>
        <w:autoSpaceDN w:val="0"/>
        <w:adjustRightInd w:val="0"/>
        <w:spacing w:line="240" w:lineRule="exact"/>
        <w:ind w:right="-1"/>
        <w:jc w:val="both"/>
        <w:rPr>
          <w:rFonts w:eastAsia="Times New Roman"/>
          <w:bCs/>
          <w:color w:val="181512"/>
        </w:rPr>
      </w:pPr>
    </w:p>
    <w:sectPr>
      <w:headerReference r:id="rId3" w:type="default"/>
      <w:pgSz w:w="11906" w:h="16838"/>
      <w:pgMar w:top="1843" w:right="1134" w:bottom="731" w:left="1134" w:header="993" w:footer="84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Kozuka Mincho Pr6N M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Kozuka Mincho Pr6N M">
    <w:panose1 w:val="02020600000000000000"/>
    <w:charset w:val="80"/>
    <w:family w:val="auto"/>
    <w:pitch w:val="default"/>
    <w:sig w:usb0="000002D7" w:usb1="2AC71C11" w:usb2="00000012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jc w:val="left"/>
      <w:rPr>
        <w:rFonts w:ascii="Verdana" w:hAnsi="Verdana"/>
        <w:b/>
        <w:sz w:val="21"/>
        <w:szCs w:val="2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E5F"/>
    <w:rsid w:val="000069DA"/>
    <w:rsid w:val="00066165"/>
    <w:rsid w:val="00067F78"/>
    <w:rsid w:val="00073513"/>
    <w:rsid w:val="000A426F"/>
    <w:rsid w:val="000B0923"/>
    <w:rsid w:val="000B22B5"/>
    <w:rsid w:val="00115A18"/>
    <w:rsid w:val="00144246"/>
    <w:rsid w:val="00145863"/>
    <w:rsid w:val="00145D94"/>
    <w:rsid w:val="00147F9C"/>
    <w:rsid w:val="00162A37"/>
    <w:rsid w:val="0016330F"/>
    <w:rsid w:val="00180BBC"/>
    <w:rsid w:val="001B1078"/>
    <w:rsid w:val="00232006"/>
    <w:rsid w:val="00232CAE"/>
    <w:rsid w:val="0027181C"/>
    <w:rsid w:val="002747F2"/>
    <w:rsid w:val="00276953"/>
    <w:rsid w:val="002A2B6D"/>
    <w:rsid w:val="002A6F73"/>
    <w:rsid w:val="002A751A"/>
    <w:rsid w:val="002B0A76"/>
    <w:rsid w:val="002B583A"/>
    <w:rsid w:val="002D683F"/>
    <w:rsid w:val="002F31FD"/>
    <w:rsid w:val="00301638"/>
    <w:rsid w:val="00305B4A"/>
    <w:rsid w:val="00317B4E"/>
    <w:rsid w:val="003408CF"/>
    <w:rsid w:val="0036504E"/>
    <w:rsid w:val="003C4EB4"/>
    <w:rsid w:val="003D5496"/>
    <w:rsid w:val="003E1B02"/>
    <w:rsid w:val="003E6943"/>
    <w:rsid w:val="00415CA1"/>
    <w:rsid w:val="00434B9A"/>
    <w:rsid w:val="0043620C"/>
    <w:rsid w:val="004D65BF"/>
    <w:rsid w:val="004D7A26"/>
    <w:rsid w:val="004E0EFD"/>
    <w:rsid w:val="005041C0"/>
    <w:rsid w:val="005311F0"/>
    <w:rsid w:val="0053386D"/>
    <w:rsid w:val="00556BFC"/>
    <w:rsid w:val="00562985"/>
    <w:rsid w:val="00580DB7"/>
    <w:rsid w:val="005A227D"/>
    <w:rsid w:val="005C7573"/>
    <w:rsid w:val="005D76F2"/>
    <w:rsid w:val="005E1CDC"/>
    <w:rsid w:val="005F1E3F"/>
    <w:rsid w:val="00605222"/>
    <w:rsid w:val="00610786"/>
    <w:rsid w:val="006261AE"/>
    <w:rsid w:val="006330DC"/>
    <w:rsid w:val="00633E0E"/>
    <w:rsid w:val="0066513D"/>
    <w:rsid w:val="00666D95"/>
    <w:rsid w:val="00681C0E"/>
    <w:rsid w:val="006952B4"/>
    <w:rsid w:val="006A0435"/>
    <w:rsid w:val="006C08C6"/>
    <w:rsid w:val="006C27DB"/>
    <w:rsid w:val="006C2C9D"/>
    <w:rsid w:val="006E1568"/>
    <w:rsid w:val="006E1D29"/>
    <w:rsid w:val="00716BF1"/>
    <w:rsid w:val="007229D2"/>
    <w:rsid w:val="00735764"/>
    <w:rsid w:val="007437CA"/>
    <w:rsid w:val="007439DF"/>
    <w:rsid w:val="00784436"/>
    <w:rsid w:val="007916EC"/>
    <w:rsid w:val="007A5C9B"/>
    <w:rsid w:val="007B1D50"/>
    <w:rsid w:val="007B65D4"/>
    <w:rsid w:val="007B6D19"/>
    <w:rsid w:val="007D2DB7"/>
    <w:rsid w:val="007D47CF"/>
    <w:rsid w:val="007D4B9B"/>
    <w:rsid w:val="007E0339"/>
    <w:rsid w:val="007E37A4"/>
    <w:rsid w:val="007E7119"/>
    <w:rsid w:val="007F232B"/>
    <w:rsid w:val="007F71AA"/>
    <w:rsid w:val="00815E5F"/>
    <w:rsid w:val="0082098C"/>
    <w:rsid w:val="008224A5"/>
    <w:rsid w:val="00830BE6"/>
    <w:rsid w:val="0083741F"/>
    <w:rsid w:val="00847F36"/>
    <w:rsid w:val="008609CB"/>
    <w:rsid w:val="00860E9C"/>
    <w:rsid w:val="00865823"/>
    <w:rsid w:val="00880CC4"/>
    <w:rsid w:val="008955CB"/>
    <w:rsid w:val="008B2BFB"/>
    <w:rsid w:val="008B593B"/>
    <w:rsid w:val="008D1A55"/>
    <w:rsid w:val="008E4089"/>
    <w:rsid w:val="009035BF"/>
    <w:rsid w:val="0091346F"/>
    <w:rsid w:val="00952E04"/>
    <w:rsid w:val="00954FF6"/>
    <w:rsid w:val="00995A6F"/>
    <w:rsid w:val="009A1848"/>
    <w:rsid w:val="009C3DAB"/>
    <w:rsid w:val="00A063AF"/>
    <w:rsid w:val="00A24A83"/>
    <w:rsid w:val="00A435CE"/>
    <w:rsid w:val="00A43C0E"/>
    <w:rsid w:val="00A47177"/>
    <w:rsid w:val="00A60894"/>
    <w:rsid w:val="00A702B7"/>
    <w:rsid w:val="00A90058"/>
    <w:rsid w:val="00A9520C"/>
    <w:rsid w:val="00AA3AA6"/>
    <w:rsid w:val="00AD5297"/>
    <w:rsid w:val="00AF46AF"/>
    <w:rsid w:val="00AF638F"/>
    <w:rsid w:val="00AF7112"/>
    <w:rsid w:val="00AF76D6"/>
    <w:rsid w:val="00B16B5C"/>
    <w:rsid w:val="00B21F93"/>
    <w:rsid w:val="00B47530"/>
    <w:rsid w:val="00BA33E9"/>
    <w:rsid w:val="00BA38DB"/>
    <w:rsid w:val="00BA5680"/>
    <w:rsid w:val="00BC15A9"/>
    <w:rsid w:val="00BD04EB"/>
    <w:rsid w:val="00BD2888"/>
    <w:rsid w:val="00BF45FE"/>
    <w:rsid w:val="00BF4A92"/>
    <w:rsid w:val="00C0116D"/>
    <w:rsid w:val="00C11CB6"/>
    <w:rsid w:val="00C25BDF"/>
    <w:rsid w:val="00C26D8C"/>
    <w:rsid w:val="00C57790"/>
    <w:rsid w:val="00CA46FD"/>
    <w:rsid w:val="00CA7263"/>
    <w:rsid w:val="00D02BE7"/>
    <w:rsid w:val="00D13930"/>
    <w:rsid w:val="00D50214"/>
    <w:rsid w:val="00D5413E"/>
    <w:rsid w:val="00D74C2D"/>
    <w:rsid w:val="00D97305"/>
    <w:rsid w:val="00DA1BAC"/>
    <w:rsid w:val="00DA30C6"/>
    <w:rsid w:val="00DB641F"/>
    <w:rsid w:val="00E0403A"/>
    <w:rsid w:val="00E05DC8"/>
    <w:rsid w:val="00E12010"/>
    <w:rsid w:val="00E15BC7"/>
    <w:rsid w:val="00E30AAB"/>
    <w:rsid w:val="00E31139"/>
    <w:rsid w:val="00E52980"/>
    <w:rsid w:val="00E53D16"/>
    <w:rsid w:val="00E82166"/>
    <w:rsid w:val="00E86C12"/>
    <w:rsid w:val="00EB6A7B"/>
    <w:rsid w:val="00EB7779"/>
    <w:rsid w:val="00EE41E1"/>
    <w:rsid w:val="00F049E3"/>
    <w:rsid w:val="00F15FB3"/>
    <w:rsid w:val="00F43E2B"/>
    <w:rsid w:val="00F445EC"/>
    <w:rsid w:val="00F53B9A"/>
    <w:rsid w:val="00FA1744"/>
    <w:rsid w:val="00FA6255"/>
    <w:rsid w:val="00FE32B3"/>
    <w:rsid w:val="1EB0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nhideWhenUsed="0" w:uiPriority="0" w:semiHidden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iPriority="0" w:name="List"/>
    <w:lsdException w:uiPriority="0" w:name="List Bullet"/>
    <w:lsdException w:unhideWhenUsed="0" w:uiPriority="0" w:semiHidden="0" w:name="List Number"/>
    <w:lsdException w:unhideWhenUsed="0" w:uiPriority="0" w:semiHidden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jc w:val="both"/>
      <w:outlineLvl w:val="1"/>
    </w:pPr>
    <w:rPr>
      <w:rFonts w:ascii="Arial" w:hAnsi="Arial" w:eastAsia="Times New Roman" w:cs="Arial"/>
      <w:b/>
      <w:bCs/>
      <w:i/>
      <w:iCs/>
      <w:sz w:val="28"/>
      <w:szCs w:val="28"/>
      <w:lang w:bidi="he-IL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  <w:szCs w:val="24"/>
    </w:rPr>
  </w:style>
  <w:style w:type="paragraph" w:styleId="7">
    <w:name w:val="heading 7"/>
    <w:basedOn w:val="1"/>
    <w:next w:val="1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16">
    <w:name w:val="Default Paragraph Font"/>
    <w:unhideWhenUsed/>
    <w:uiPriority w:val="1"/>
  </w:style>
  <w:style w:type="table" w:default="1" w:styleId="21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subject"/>
    <w:basedOn w:val="9"/>
    <w:next w:val="9"/>
    <w:link w:val="24"/>
    <w:uiPriority w:val="0"/>
    <w:rPr>
      <w:b/>
      <w:bCs/>
    </w:rPr>
  </w:style>
  <w:style w:type="paragraph" w:styleId="9">
    <w:name w:val="annotation text"/>
    <w:basedOn w:val="1"/>
    <w:link w:val="23"/>
    <w:qFormat/>
    <w:uiPriority w:val="0"/>
  </w:style>
  <w:style w:type="paragraph" w:styleId="10">
    <w:name w:val="Body Text"/>
    <w:basedOn w:val="1"/>
    <w:uiPriority w:val="0"/>
    <w:pPr>
      <w:spacing w:line="240" w:lineRule="exact"/>
    </w:pPr>
    <w:rPr>
      <w:sz w:val="28"/>
    </w:rPr>
  </w:style>
  <w:style w:type="paragraph" w:styleId="11">
    <w:name w:val="endnote text"/>
    <w:basedOn w:val="1"/>
    <w:link w:val="27"/>
    <w:uiPriority w:val="0"/>
    <w:pPr>
      <w:snapToGrid w:val="0"/>
    </w:pPr>
  </w:style>
  <w:style w:type="paragraph" w:styleId="12">
    <w:name w:val="Balloon Text"/>
    <w:basedOn w:val="1"/>
    <w:link w:val="22"/>
    <w:qFormat/>
    <w:uiPriority w:val="0"/>
    <w:rPr>
      <w:rFonts w:ascii="Tahoma" w:hAnsi="Tahoma" w:cs="Tahoma"/>
      <w:sz w:val="16"/>
      <w:szCs w:val="16"/>
    </w:rPr>
  </w:style>
  <w:style w:type="paragraph" w:styleId="13">
    <w:name w:val="footer"/>
    <w:basedOn w:val="1"/>
    <w:link w:val="25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footnote text"/>
    <w:basedOn w:val="1"/>
    <w:link w:val="26"/>
    <w:uiPriority w:val="0"/>
    <w:pPr>
      <w:snapToGrid w:val="0"/>
    </w:pPr>
    <w:rPr>
      <w:sz w:val="18"/>
      <w:szCs w:val="18"/>
    </w:rPr>
  </w:style>
  <w:style w:type="character" w:styleId="17">
    <w:name w:val="endnote reference"/>
    <w:basedOn w:val="16"/>
    <w:uiPriority w:val="0"/>
    <w:rPr>
      <w:vertAlign w:val="superscript"/>
    </w:rPr>
  </w:style>
  <w:style w:type="character" w:styleId="18">
    <w:name w:val="Hyperlink"/>
    <w:basedOn w:val="16"/>
    <w:uiPriority w:val="0"/>
    <w:rPr>
      <w:color w:val="0000FF"/>
      <w:u w:val="single"/>
    </w:rPr>
  </w:style>
  <w:style w:type="character" w:styleId="19">
    <w:name w:val="annotation reference"/>
    <w:basedOn w:val="16"/>
    <w:qFormat/>
    <w:uiPriority w:val="0"/>
    <w:rPr>
      <w:sz w:val="21"/>
      <w:szCs w:val="21"/>
    </w:rPr>
  </w:style>
  <w:style w:type="character" w:styleId="20">
    <w:name w:val="footnote reference"/>
    <w:basedOn w:val="16"/>
    <w:uiPriority w:val="0"/>
    <w:rPr>
      <w:vertAlign w:val="superscript"/>
    </w:rPr>
  </w:style>
  <w:style w:type="character" w:customStyle="1" w:styleId="22">
    <w:name w:val="批注框文本 字符"/>
    <w:basedOn w:val="16"/>
    <w:link w:val="12"/>
    <w:qFormat/>
    <w:uiPriority w:val="0"/>
    <w:rPr>
      <w:rFonts w:ascii="Tahoma" w:hAnsi="Tahoma" w:cs="Tahoma"/>
      <w:sz w:val="16"/>
      <w:szCs w:val="16"/>
      <w:lang w:bidi="ar-SA"/>
    </w:rPr>
  </w:style>
  <w:style w:type="character" w:customStyle="1" w:styleId="23">
    <w:name w:val="批注文字 字符"/>
    <w:basedOn w:val="16"/>
    <w:link w:val="9"/>
    <w:uiPriority w:val="0"/>
    <w:rPr>
      <w:lang w:eastAsia="en-US"/>
    </w:rPr>
  </w:style>
  <w:style w:type="character" w:customStyle="1" w:styleId="24">
    <w:name w:val="批注主题 字符"/>
    <w:basedOn w:val="23"/>
    <w:link w:val="8"/>
    <w:uiPriority w:val="0"/>
    <w:rPr>
      <w:b/>
      <w:bCs/>
      <w:lang w:eastAsia="en-US"/>
    </w:rPr>
  </w:style>
  <w:style w:type="character" w:customStyle="1" w:styleId="25">
    <w:name w:val="页脚 字符"/>
    <w:basedOn w:val="16"/>
    <w:link w:val="13"/>
    <w:uiPriority w:val="99"/>
    <w:rPr>
      <w:sz w:val="18"/>
      <w:szCs w:val="18"/>
      <w:lang w:eastAsia="en-US"/>
    </w:rPr>
  </w:style>
  <w:style w:type="character" w:customStyle="1" w:styleId="26">
    <w:name w:val="脚注文本 字符"/>
    <w:basedOn w:val="16"/>
    <w:link w:val="15"/>
    <w:uiPriority w:val="0"/>
    <w:rPr>
      <w:sz w:val="18"/>
      <w:szCs w:val="18"/>
      <w:lang w:eastAsia="en-US"/>
    </w:rPr>
  </w:style>
  <w:style w:type="character" w:customStyle="1" w:styleId="27">
    <w:name w:val="尾注文本 字符"/>
    <w:basedOn w:val="16"/>
    <w:link w:val="11"/>
    <w:uiPriority w:val="0"/>
    <w:rPr>
      <w:lang w:eastAsia="en-US"/>
    </w:rPr>
  </w:style>
  <w:style w:type="character" w:customStyle="1" w:styleId="28">
    <w:name w:val="trans"/>
    <w:basedOn w:val="1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DA7722-9A78-45CF-80BD-5E0DE80B66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326</Words>
  <Characters>1860</Characters>
  <Lines>15</Lines>
  <Paragraphs>4</Paragraphs>
  <TotalTime>0</TotalTime>
  <ScaleCrop>false</ScaleCrop>
  <LinksUpToDate>false</LinksUpToDate>
  <CharactersWithSpaces>2182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2017-06-27T02:58:00Z</dcterms:created>
  <dc:creator>MC SYSTEM</dc:creator>
  <cp:lastModifiedBy>18601</cp:lastModifiedBy>
  <dcterms:modified xsi:type="dcterms:W3CDTF">2017-06-29T05:42:14Z</dcterms:modified>
  <dc:title>Title: A Human Tumor Genome Project: From Sequence to Structure, Function And Possibly Drug Targets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