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F725E" w:rsidP="00494130">
      <w:pPr>
        <w:pStyle w:val="Heading1"/>
        <w:spacing w:before="170"/>
        <w:ind w:left="0"/>
      </w:pPr>
      <w:bookmarkStart w:id="0" w:name="_GoBack"/>
      <w:bookmarkEnd w:id="0"/>
      <w:r>
        <w:rPr>
          <w:color w:val="337AB7"/>
        </w:rPr>
        <w:t>Group Success With T</w:t>
      </w:r>
      <w:r w:rsidR="00DD306F">
        <w:rPr>
          <w:color w:val="337AB7"/>
        </w:rPr>
        <w:t>he Picky Eater</w:t>
      </w:r>
      <w:r w:rsidR="00DF07D5" w:rsidRPr="00DF07D5">
        <w:rPr>
          <w:color w:val="337AB7"/>
        </w:rPr>
        <w:t xml:space="preserve">: Interprofessional Parent Group </w:t>
      </w:r>
      <w:r w:rsidR="00DD306F">
        <w:rPr>
          <w:color w:val="337AB7"/>
        </w:rPr>
        <w:t>Versus</w:t>
      </w:r>
      <w:r w:rsidR="00DF07D5" w:rsidRPr="00DF07D5">
        <w:rPr>
          <w:color w:val="337AB7"/>
        </w:rPr>
        <w:t xml:space="preserve"> Individual </w:t>
      </w:r>
      <w:r w:rsidR="00DD306F">
        <w:rPr>
          <w:color w:val="337AB7"/>
        </w:rPr>
        <w:t>OT</w:t>
      </w:r>
      <w:r w:rsidR="00DF07D5" w:rsidRPr="00DF07D5">
        <w:rPr>
          <w:color w:val="337AB7"/>
        </w:rPr>
        <w:t xml:space="preserve"> Treatment</w:t>
      </w:r>
    </w:p>
    <w:p w:rsidR="00AE3E37" w:rsidRPr="00DF07D5" w:rsidRDefault="00DF07D5" w:rsidP="00DF07D5">
      <w:pPr>
        <w:pStyle w:val="BodyText"/>
        <w:spacing w:before="73" w:line="198" w:lineRule="exact"/>
        <w:ind w:left="100" w:right="4840"/>
        <w:rPr>
          <w:rFonts w:ascii="Arial"/>
        </w:rPr>
      </w:pPr>
      <w:r>
        <w:rPr>
          <w:rFonts w:ascii="Arial"/>
        </w:rPr>
        <w:t>Carrie Owen</w:t>
      </w:r>
      <w:r w:rsidR="005973B9">
        <w:rPr>
          <w:rFonts w:ascii="Arial"/>
        </w:rPr>
        <w:t xml:space="preserve">, </w:t>
      </w:r>
      <w:r>
        <w:rPr>
          <w:rFonts w:ascii="Arial"/>
        </w:rPr>
        <w:t>OT Reg.</w:t>
      </w:r>
      <w:r w:rsidR="005973B9">
        <w:rPr>
          <w:rFonts w:ascii="Arial"/>
        </w:rPr>
        <w:t xml:space="preserve">, </w:t>
      </w:r>
      <w:r>
        <w:rPr>
          <w:rFonts w:ascii="Arial"/>
        </w:rPr>
        <w:t>Children</w:t>
      </w:r>
      <w:r>
        <w:rPr>
          <w:rFonts w:ascii="Arial"/>
        </w:rPr>
        <w:t>’</w:t>
      </w:r>
      <w:r>
        <w:rPr>
          <w:rFonts w:ascii="Arial"/>
        </w:rPr>
        <w:t xml:space="preserve">s Hospital of Eastern Ontario, Canada </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DF07D5" w:rsidRPr="00DF07D5" w:rsidRDefault="00A9710C" w:rsidP="00DF07D5">
      <w:pPr>
        <w:pStyle w:val="Heading3"/>
        <w:spacing w:before="147"/>
        <w:jc w:val="both"/>
        <w:rPr>
          <w:color w:val="BF5A14"/>
        </w:rPr>
      </w:pPr>
      <w:r>
        <w:rPr>
          <w:color w:val="BF5A14"/>
        </w:rPr>
        <w:lastRenderedPageBreak/>
        <w:t>Abstract</w:t>
      </w:r>
      <w:r w:rsidR="00DF07D5">
        <w:rPr>
          <w:color w:val="BF5A14"/>
        </w:rPr>
        <w:t xml:space="preserve"> </w:t>
      </w:r>
    </w:p>
    <w:p w:rsidR="00DF07D5" w:rsidRDefault="00DF07D5" w:rsidP="00DF07D5">
      <w:pPr>
        <w:pStyle w:val="Heading3"/>
        <w:ind w:left="101"/>
        <w:rPr>
          <w:rFonts w:ascii="Tw Cen MT" w:eastAsia="Tw Cen MT" w:hAnsi="Tw Cen MT" w:cs="Tw Cen MT"/>
          <w:b w:val="0"/>
          <w:bCs w:val="0"/>
          <w:sz w:val="16"/>
          <w:szCs w:val="16"/>
        </w:rPr>
      </w:pPr>
    </w:p>
    <w:p w:rsidR="00DF07D5" w:rsidRDefault="00DF07D5" w:rsidP="00DF07D5">
      <w:pPr>
        <w:pStyle w:val="Heading3"/>
        <w:ind w:left="101"/>
        <w:rPr>
          <w:rFonts w:ascii="Tw Cen MT" w:eastAsia="Tw Cen MT" w:hAnsi="Tw Cen MT" w:cs="Tw Cen MT"/>
          <w:b w:val="0"/>
          <w:bCs w:val="0"/>
          <w:sz w:val="18"/>
          <w:szCs w:val="18"/>
        </w:rPr>
      </w:pPr>
      <w:r w:rsidRPr="00DF07D5">
        <w:rPr>
          <w:rFonts w:ascii="Tw Cen MT" w:eastAsia="Tw Cen MT" w:hAnsi="Tw Cen MT" w:cs="Tw Cen MT"/>
          <w:b w:val="0"/>
          <w:bCs w:val="0"/>
          <w:sz w:val="18"/>
          <w:szCs w:val="18"/>
        </w:rPr>
        <w:t xml:space="preserve">Background: Feeding difficulties are common in young children and have been estimated to occur in 25-35% of typically developing children. The waitlist for Occupational therapy feeding services has increased for numerous reasons including the new diagnostic category, Avoidant/Restrictive Food Intake Disorder. To manage the waitlist interprofessional feeding groups were offered. Although an interprofessional approach is recommended the literature contains few systematic descriptions. In 2012, the Children’s Hospital of Eastern Ontario (CHEO) completed its program evaluation of this group approach and determined it was an effective modality for children with feeding challenges.  However, parents’ perceptions of this new approach are not well documented.  </w:t>
      </w:r>
    </w:p>
    <w:p w:rsidR="00DF07D5" w:rsidRPr="00DF07D5" w:rsidRDefault="00DF07D5" w:rsidP="00DF07D5">
      <w:pPr>
        <w:pStyle w:val="Heading3"/>
        <w:ind w:left="101"/>
        <w:rPr>
          <w:rFonts w:ascii="Tw Cen MT" w:eastAsia="Tw Cen MT" w:hAnsi="Tw Cen MT" w:cs="Tw Cen MT"/>
          <w:b w:val="0"/>
          <w:bCs w:val="0"/>
          <w:sz w:val="18"/>
          <w:szCs w:val="18"/>
        </w:rPr>
      </w:pPr>
    </w:p>
    <w:p w:rsidR="00DF07D5" w:rsidRPr="00DF07D5" w:rsidRDefault="00DF07D5" w:rsidP="00DF07D5">
      <w:pPr>
        <w:pStyle w:val="Heading3"/>
        <w:ind w:left="101"/>
        <w:rPr>
          <w:rFonts w:ascii="Tw Cen MT" w:eastAsia="Tw Cen MT" w:hAnsi="Tw Cen MT" w:cs="Tw Cen MT"/>
          <w:b w:val="0"/>
          <w:bCs w:val="0"/>
          <w:sz w:val="18"/>
          <w:szCs w:val="18"/>
        </w:rPr>
      </w:pPr>
      <w:r w:rsidRPr="00DF07D5">
        <w:rPr>
          <w:rFonts w:ascii="Tw Cen MT" w:eastAsia="Tw Cen MT" w:hAnsi="Tw Cen MT" w:cs="Tw Cen MT"/>
          <w:b w:val="0"/>
          <w:bCs w:val="0"/>
          <w:sz w:val="18"/>
          <w:szCs w:val="18"/>
        </w:rPr>
        <w:t xml:space="preserve">The purpose of this study was to acquire early insight into parents’ perceptions of an interprofessional group (IG) service delivery model and an individual one-on-one (ONO) approach.  </w:t>
      </w:r>
    </w:p>
    <w:p w:rsidR="00DF07D5" w:rsidRPr="00DF07D5" w:rsidRDefault="00DF07D5" w:rsidP="00DF07D5">
      <w:pPr>
        <w:pStyle w:val="Heading3"/>
        <w:ind w:left="101"/>
        <w:rPr>
          <w:rFonts w:ascii="Tw Cen MT" w:eastAsia="Tw Cen MT" w:hAnsi="Tw Cen MT" w:cs="Tw Cen MT"/>
          <w:b w:val="0"/>
          <w:bCs w:val="0"/>
          <w:sz w:val="18"/>
          <w:szCs w:val="18"/>
        </w:rPr>
      </w:pPr>
    </w:p>
    <w:p w:rsidR="00DF07D5" w:rsidRPr="00DF07D5" w:rsidRDefault="00DF07D5" w:rsidP="00DF07D5">
      <w:pPr>
        <w:pStyle w:val="Heading3"/>
        <w:ind w:left="101"/>
        <w:rPr>
          <w:rFonts w:ascii="Tw Cen MT" w:eastAsia="Tw Cen MT" w:hAnsi="Tw Cen MT" w:cs="Tw Cen MT"/>
          <w:b w:val="0"/>
          <w:bCs w:val="0"/>
          <w:sz w:val="18"/>
          <w:szCs w:val="18"/>
        </w:rPr>
      </w:pPr>
      <w:r w:rsidRPr="00DF07D5">
        <w:rPr>
          <w:rFonts w:ascii="Tw Cen MT" w:eastAsia="Tw Cen MT" w:hAnsi="Tw Cen MT" w:cs="Tw Cen MT"/>
          <w:b w:val="0"/>
          <w:bCs w:val="0"/>
          <w:sz w:val="18"/>
          <w:szCs w:val="18"/>
        </w:rPr>
        <w:t>Methodology: Participant eligibility was determined through referrals to Occupational Therapy for feeding challenges.  Forty participants, (n=20 per group), were recruited using convenience sampling.  Assignment was through simple randomization. The Measuring Process of Care (MPOC)-20 was used to assess parents’ perceptions of healthcare professionals’ behaviour.</w:t>
      </w:r>
    </w:p>
    <w:p w:rsidR="00DF07D5" w:rsidRPr="00DF07D5" w:rsidRDefault="00DF07D5" w:rsidP="00DF07D5">
      <w:pPr>
        <w:pStyle w:val="Heading3"/>
        <w:ind w:left="101"/>
        <w:rPr>
          <w:rFonts w:ascii="Tw Cen MT" w:eastAsia="Tw Cen MT" w:hAnsi="Tw Cen MT" w:cs="Tw Cen MT"/>
          <w:b w:val="0"/>
          <w:bCs w:val="0"/>
          <w:sz w:val="18"/>
          <w:szCs w:val="18"/>
        </w:rPr>
      </w:pPr>
    </w:p>
    <w:p w:rsidR="00DF07D5" w:rsidRPr="00DF07D5" w:rsidRDefault="00DF07D5" w:rsidP="00DF07D5">
      <w:pPr>
        <w:pStyle w:val="Heading3"/>
        <w:ind w:left="101"/>
        <w:rPr>
          <w:rFonts w:ascii="Tw Cen MT" w:eastAsia="Tw Cen MT" w:hAnsi="Tw Cen MT" w:cs="Tw Cen MT"/>
          <w:b w:val="0"/>
          <w:bCs w:val="0"/>
          <w:sz w:val="18"/>
          <w:szCs w:val="18"/>
        </w:rPr>
      </w:pPr>
      <w:r w:rsidRPr="00DF07D5">
        <w:rPr>
          <w:rFonts w:ascii="Tw Cen MT" w:eastAsia="Tw Cen MT" w:hAnsi="Tw Cen MT" w:cs="Tw Cen MT"/>
          <w:b w:val="0"/>
          <w:bCs w:val="0"/>
          <w:sz w:val="18"/>
          <w:szCs w:val="18"/>
        </w:rPr>
        <w:t>Findings: The IG scored high across all five constructs (mean range 5.1-5.9).  Two significant constructs, Coordinated &amp; Comprehensive Care and Respectful &amp; Supportive Care have means of 5.76 and 5.9 respectfully.  The scores across all constructs and between groups could be ranked identically.  Children in both groups acquired adequate feeding skill levels. Wait times were lowered by 71%. The IG children required fewer follow- up visits than the ONO children.</w:t>
      </w:r>
    </w:p>
    <w:p w:rsidR="00DF07D5" w:rsidRPr="00DF07D5" w:rsidRDefault="00DF07D5" w:rsidP="00DF07D5">
      <w:pPr>
        <w:pStyle w:val="Heading3"/>
        <w:ind w:left="101"/>
        <w:rPr>
          <w:rFonts w:ascii="Tw Cen MT" w:eastAsia="Tw Cen MT" w:hAnsi="Tw Cen MT" w:cs="Tw Cen MT"/>
          <w:b w:val="0"/>
          <w:bCs w:val="0"/>
          <w:sz w:val="18"/>
          <w:szCs w:val="18"/>
        </w:rPr>
      </w:pPr>
    </w:p>
    <w:p w:rsidR="002013B8" w:rsidRPr="004E141D" w:rsidRDefault="00DF07D5" w:rsidP="004E141D">
      <w:pPr>
        <w:pStyle w:val="Heading3"/>
        <w:ind w:left="90"/>
        <w:jc w:val="center"/>
        <w:rPr>
          <w:color w:val="BF5A14"/>
        </w:rPr>
      </w:pPr>
      <w:r w:rsidRPr="00DF07D5">
        <w:rPr>
          <w:rFonts w:ascii="Tw Cen MT" w:eastAsia="Tw Cen MT" w:hAnsi="Tw Cen MT" w:cs="Tw Cen MT"/>
          <w:b w:val="0"/>
          <w:bCs w:val="0"/>
          <w:sz w:val="18"/>
          <w:szCs w:val="18"/>
        </w:rPr>
        <w:t xml:space="preserve">Results offer further evidence that an Interprofessional-lead group program can provide care that brings the parents satisfaction.  The authors agree that the value provided by the IG is in-line with patient and healthcare expectations.  </w:t>
      </w:r>
      <w:r w:rsidR="00A9710C">
        <w:rPr>
          <w:b w:val="0"/>
        </w:rPr>
        <w:br w:type="column"/>
      </w:r>
    </w:p>
    <w:p w:rsidR="004E141D" w:rsidRDefault="004E141D" w:rsidP="004E141D">
      <w:pPr>
        <w:pStyle w:val="BodyText"/>
        <w:spacing w:before="2"/>
        <w:jc w:val="center"/>
        <w:rPr>
          <w:b/>
        </w:rPr>
      </w:pPr>
      <w:r>
        <w:rPr>
          <w:rFonts w:ascii="Arial"/>
          <w:b/>
          <w:noProof/>
          <w:sz w:val="16"/>
        </w:rPr>
        <w:drawing>
          <wp:inline distT="0" distB="0" distL="0" distR="0" wp14:anchorId="06C20382" wp14:editId="5C0D4973">
            <wp:extent cx="2891755" cy="2163617"/>
            <wp:effectExtent l="0" t="0" r="444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4144" cy="2165405"/>
                    </a:xfrm>
                    <a:prstGeom prst="rect">
                      <a:avLst/>
                    </a:prstGeom>
                    <a:noFill/>
                  </pic:spPr>
                </pic:pic>
              </a:graphicData>
            </a:graphic>
          </wp:inline>
        </w:drawing>
      </w:r>
    </w:p>
    <w:p w:rsidR="002013B8" w:rsidRPr="002013B8" w:rsidRDefault="002013B8">
      <w:pPr>
        <w:pStyle w:val="BodyText"/>
        <w:spacing w:before="2"/>
        <w:rPr>
          <w:b/>
        </w:rPr>
      </w:pPr>
      <w:r w:rsidRPr="002013B8">
        <w:rPr>
          <w:b/>
        </w:rPr>
        <w:t xml:space="preserve">Figure 1:  </w:t>
      </w:r>
      <w:r w:rsidRPr="002013B8">
        <w:t>Individual versus Group MPOC-20 Mean Scores With Standard Deviation Error Bars</w:t>
      </w:r>
    </w:p>
    <w:p w:rsidR="005973B9" w:rsidRDefault="005973B9" w:rsidP="005973B9">
      <w:pPr>
        <w:spacing w:line="204" w:lineRule="exact"/>
        <w:rPr>
          <w:rFonts w:ascii="Arial"/>
          <w:b/>
          <w:color w:val="BF5A14"/>
          <w:sz w:val="20"/>
        </w:rPr>
      </w:pPr>
      <w:r>
        <w:rPr>
          <w:rFonts w:ascii="Arial"/>
          <w:b/>
          <w:color w:val="BF5A14"/>
          <w:sz w:val="20"/>
        </w:rPr>
        <w:br/>
        <w:t xml:space="preserve">Recent Publications </w:t>
      </w:r>
    </w:p>
    <w:p w:rsidR="004E141D" w:rsidRDefault="004E141D" w:rsidP="005973B9">
      <w:pPr>
        <w:spacing w:line="204" w:lineRule="exact"/>
        <w:rPr>
          <w:rFonts w:ascii="Arial"/>
          <w:b/>
          <w:sz w:val="20"/>
        </w:rPr>
      </w:pPr>
    </w:p>
    <w:p w:rsidR="00DF07D5" w:rsidRPr="004E141D" w:rsidRDefault="00DF07D5" w:rsidP="004E141D">
      <w:pPr>
        <w:pStyle w:val="ListParagraph"/>
        <w:numPr>
          <w:ilvl w:val="0"/>
          <w:numId w:val="4"/>
        </w:numPr>
        <w:tabs>
          <w:tab w:val="left" w:pos="384"/>
        </w:tabs>
        <w:spacing w:before="0" w:line="240" w:lineRule="auto"/>
        <w:ind w:right="117"/>
        <w:rPr>
          <w:sz w:val="16"/>
          <w:szCs w:val="16"/>
        </w:rPr>
      </w:pPr>
      <w:r w:rsidRPr="004E141D">
        <w:rPr>
          <w:sz w:val="16"/>
          <w:szCs w:val="16"/>
        </w:rPr>
        <w:t xml:space="preserve">Coulthard, H., Ahmed, S. (2017). Non taste exposure techniques to increase fruit and vegetable acceptance in children: Effects of task and stimulus type. </w:t>
      </w:r>
      <w:r w:rsidRPr="004E141D">
        <w:rPr>
          <w:i/>
          <w:sz w:val="16"/>
          <w:szCs w:val="16"/>
        </w:rPr>
        <w:t>Food Quality and Preference, 61</w:t>
      </w:r>
      <w:r w:rsidRPr="004E141D">
        <w:rPr>
          <w:sz w:val="16"/>
          <w:szCs w:val="16"/>
        </w:rPr>
        <w:t xml:space="preserve">, 50-54. doi: 10.1016/j.foodqual.2017.04.012 </w:t>
      </w:r>
    </w:p>
    <w:p w:rsidR="004E141D" w:rsidRPr="004E141D" w:rsidRDefault="00DF07D5" w:rsidP="004E141D">
      <w:pPr>
        <w:pStyle w:val="ListParagraph"/>
        <w:numPr>
          <w:ilvl w:val="0"/>
          <w:numId w:val="4"/>
        </w:numPr>
        <w:tabs>
          <w:tab w:val="left" w:pos="384"/>
        </w:tabs>
        <w:spacing w:before="0" w:line="240" w:lineRule="auto"/>
        <w:ind w:right="117"/>
        <w:rPr>
          <w:sz w:val="16"/>
          <w:szCs w:val="16"/>
        </w:rPr>
      </w:pPr>
      <w:r w:rsidRPr="004E141D">
        <w:rPr>
          <w:sz w:val="16"/>
          <w:szCs w:val="16"/>
        </w:rPr>
        <w:t xml:space="preserve">Coulthard, H., Sealy, A. (2017). Play with your food! Sensory play is associated with tasting of fruits and vegetables in preschool children. </w:t>
      </w:r>
      <w:r w:rsidRPr="004E141D">
        <w:rPr>
          <w:i/>
          <w:sz w:val="16"/>
          <w:szCs w:val="16"/>
        </w:rPr>
        <w:t>Appetite, 113</w:t>
      </w:r>
      <w:r w:rsidRPr="004E141D">
        <w:rPr>
          <w:sz w:val="16"/>
          <w:szCs w:val="16"/>
        </w:rPr>
        <w:t>, 84-90. do</w:t>
      </w:r>
      <w:r w:rsidR="004E141D" w:rsidRPr="004E141D">
        <w:rPr>
          <w:sz w:val="16"/>
          <w:szCs w:val="16"/>
        </w:rPr>
        <w:t>i: 10.1016/j.appet.2017.02.003.</w:t>
      </w:r>
    </w:p>
    <w:p w:rsidR="004E141D" w:rsidRPr="004E141D" w:rsidRDefault="004E141D" w:rsidP="004E141D">
      <w:pPr>
        <w:pStyle w:val="ListParagraph"/>
        <w:numPr>
          <w:ilvl w:val="0"/>
          <w:numId w:val="4"/>
        </w:numPr>
        <w:tabs>
          <w:tab w:val="left" w:pos="384"/>
        </w:tabs>
        <w:spacing w:before="0" w:line="240" w:lineRule="auto"/>
        <w:ind w:right="117"/>
        <w:rPr>
          <w:sz w:val="16"/>
          <w:szCs w:val="16"/>
        </w:rPr>
      </w:pPr>
      <w:r w:rsidRPr="004E141D">
        <w:rPr>
          <w:sz w:val="16"/>
          <w:szCs w:val="16"/>
        </w:rPr>
        <w:t xml:space="preserve">Pearson, N., Griffiths, P., Biddle, S. J., Johnston, J. P., &amp; Haycraft, E. (2017). Individual, behavioural and home environmental factors associated with eating behaviours in young adolescents. </w:t>
      </w:r>
      <w:r w:rsidRPr="004E141D">
        <w:rPr>
          <w:i/>
          <w:sz w:val="16"/>
          <w:szCs w:val="16"/>
        </w:rPr>
        <w:t>Appetite, 112</w:t>
      </w:r>
      <w:r w:rsidRPr="004E141D">
        <w:rPr>
          <w:sz w:val="16"/>
          <w:szCs w:val="16"/>
        </w:rPr>
        <w:t>, 35-43. doi: 10.1016/j.appet.2017.01.001</w:t>
      </w:r>
    </w:p>
    <w:p w:rsidR="004E141D" w:rsidRPr="004E141D" w:rsidRDefault="004E141D" w:rsidP="004E141D">
      <w:pPr>
        <w:pStyle w:val="ListParagraph"/>
        <w:numPr>
          <w:ilvl w:val="0"/>
          <w:numId w:val="4"/>
        </w:numPr>
        <w:tabs>
          <w:tab w:val="left" w:pos="384"/>
        </w:tabs>
        <w:spacing w:before="0" w:line="240" w:lineRule="auto"/>
        <w:ind w:right="117"/>
        <w:rPr>
          <w:sz w:val="16"/>
          <w:szCs w:val="16"/>
        </w:rPr>
      </w:pPr>
      <w:r w:rsidRPr="004E141D">
        <w:rPr>
          <w:sz w:val="16"/>
          <w:szCs w:val="16"/>
        </w:rPr>
        <w:t xml:space="preserve">Cravener, T. L., Schlechter, H., Loeb, K. L., Radnitz, C., Schwartz, M., Zucker, N., ... &amp; Keller, K. L. (2015). Feeding strategies derived from behavioral economics and psychology can increase vegetable intake in children as part of a home-based intervention: results of a pilot study. </w:t>
      </w:r>
      <w:r w:rsidRPr="004E141D">
        <w:rPr>
          <w:i/>
          <w:sz w:val="16"/>
          <w:szCs w:val="16"/>
        </w:rPr>
        <w:t>Journal of the Academy of Nutrition and Dietetics, 115</w:t>
      </w:r>
      <w:r w:rsidRPr="004E141D">
        <w:rPr>
          <w:sz w:val="16"/>
          <w:szCs w:val="16"/>
        </w:rPr>
        <w:t>(11), 1798-1807. doi: 10.1016/j.jand.2015.03.024</w:t>
      </w:r>
    </w:p>
    <w:p w:rsidR="00DF07D5" w:rsidRPr="004E141D" w:rsidRDefault="00DF07D5" w:rsidP="004E141D">
      <w:pPr>
        <w:pStyle w:val="ListParagraph"/>
        <w:numPr>
          <w:ilvl w:val="0"/>
          <w:numId w:val="4"/>
        </w:numPr>
        <w:tabs>
          <w:tab w:val="left" w:pos="384"/>
        </w:tabs>
        <w:spacing w:before="0" w:line="240" w:lineRule="auto"/>
        <w:ind w:right="117"/>
        <w:rPr>
          <w:sz w:val="16"/>
          <w:szCs w:val="16"/>
        </w:rPr>
      </w:pPr>
      <w:r w:rsidRPr="004E141D">
        <w:rPr>
          <w:sz w:val="16"/>
          <w:szCs w:val="16"/>
        </w:rPr>
        <w:t xml:space="preserve">King, S., Rosenbaum, P., &amp; King, G. (1995). </w:t>
      </w:r>
      <w:r w:rsidRPr="004E141D">
        <w:rPr>
          <w:i/>
          <w:sz w:val="16"/>
          <w:szCs w:val="16"/>
        </w:rPr>
        <w:t>The measure of processes of care, MPOC: A means to assess family-centred behaviours of health care providers</w:t>
      </w:r>
      <w:r w:rsidRPr="004E141D">
        <w:rPr>
          <w:sz w:val="16"/>
          <w:szCs w:val="16"/>
        </w:rPr>
        <w:t>. Hamilton, ON: Neurodevelopmental Clinical Research Unit, Chedoke-McMaster Hospitals.</w:t>
      </w:r>
    </w:p>
    <w:p w:rsidR="00DF07D5" w:rsidRPr="004E141D" w:rsidRDefault="00DF07D5" w:rsidP="004E141D">
      <w:pPr>
        <w:pStyle w:val="ListParagraph"/>
        <w:numPr>
          <w:ilvl w:val="0"/>
          <w:numId w:val="4"/>
        </w:numPr>
        <w:tabs>
          <w:tab w:val="left" w:pos="384"/>
        </w:tabs>
        <w:spacing w:before="0" w:line="240" w:lineRule="auto"/>
        <w:ind w:right="117"/>
        <w:rPr>
          <w:sz w:val="16"/>
          <w:szCs w:val="16"/>
        </w:rPr>
      </w:pPr>
      <w:r w:rsidRPr="004E141D">
        <w:rPr>
          <w:sz w:val="16"/>
          <w:szCs w:val="16"/>
        </w:rPr>
        <w:t xml:space="preserve">Linscheid, T. R. (1992). Eating problems in children. In C. E. Walker &amp; M. C. Roberts (Eds.), </w:t>
      </w:r>
      <w:r w:rsidRPr="004E141D">
        <w:rPr>
          <w:i/>
          <w:sz w:val="16"/>
          <w:szCs w:val="16"/>
        </w:rPr>
        <w:t>Handbook in clinical psychology</w:t>
      </w:r>
      <w:r w:rsidRPr="004E141D">
        <w:rPr>
          <w:sz w:val="16"/>
          <w:szCs w:val="16"/>
        </w:rPr>
        <w:t xml:space="preserve"> (2nd ed.) (pp. 451–473). New York, NY: Wiley. </w:t>
      </w:r>
    </w:p>
    <w:p w:rsidR="00AE3E37" w:rsidRPr="004E141D" w:rsidRDefault="00DF07D5" w:rsidP="004E141D">
      <w:pPr>
        <w:pStyle w:val="ListParagraph"/>
        <w:numPr>
          <w:ilvl w:val="0"/>
          <w:numId w:val="4"/>
        </w:numPr>
        <w:tabs>
          <w:tab w:val="left" w:pos="384"/>
        </w:tabs>
        <w:spacing w:before="0" w:line="240" w:lineRule="auto"/>
        <w:ind w:right="117"/>
        <w:rPr>
          <w:sz w:val="16"/>
          <w:szCs w:val="16"/>
        </w:rPr>
      </w:pPr>
      <w:r w:rsidRPr="004E141D">
        <w:rPr>
          <w:sz w:val="16"/>
          <w:szCs w:val="16"/>
        </w:rPr>
        <w:t xml:space="preserve">Owen, C., Ziebell, L., Lessard, C., Churcher, E., &amp; Bourget, V., &amp; Villenueve, H.  (2012). Interprofessional group intervention for parents of children age 3 and younger with feeding difficulties: Pilot program evaluation. </w:t>
      </w:r>
      <w:r w:rsidRPr="004E141D">
        <w:rPr>
          <w:i/>
          <w:sz w:val="16"/>
          <w:szCs w:val="16"/>
        </w:rPr>
        <w:t>Nutrition in Clinical Practice, 27</w:t>
      </w:r>
      <w:r w:rsidRPr="004E141D">
        <w:rPr>
          <w:sz w:val="16"/>
          <w:szCs w:val="16"/>
        </w:rPr>
        <w:t>(1), 129-135. doi: 10.1177/0884533611430231</w:t>
      </w:r>
    </w:p>
    <w:p w:rsidR="00AE3E37" w:rsidRPr="004E141D" w:rsidRDefault="00AE3E37" w:rsidP="004E141D">
      <w:pPr>
        <w:jc w:val="both"/>
        <w:rPr>
          <w:rFonts w:ascii="Calibri" w:hAnsi="Calibri"/>
          <w:sz w:val="16"/>
          <w:szCs w:val="16"/>
        </w:rPr>
        <w:sectPr w:rsidR="00AE3E37" w:rsidRPr="004E141D">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8237E2" w:rsidRPr="008237E2" w:rsidRDefault="004E141D" w:rsidP="008237E2">
      <w:pPr>
        <w:rPr>
          <w:rFonts w:ascii="Arial" w:hAnsi="Arial" w:cs="Arial"/>
          <w:sz w:val="14"/>
          <w:szCs w:val="14"/>
        </w:rPr>
      </w:pPr>
      <w:r>
        <w:rPr>
          <w:rFonts w:ascii="Arial"/>
          <w:noProof/>
          <w:color w:val="BF5A14"/>
        </w:rPr>
        <w:drawing>
          <wp:anchor distT="0" distB="0" distL="114300" distR="114300" simplePos="0" relativeHeight="251658240" behindDoc="0" locked="0" layoutInCell="1" allowOverlap="1" wp14:anchorId="4F756761" wp14:editId="660BCF6D">
            <wp:simplePos x="0" y="0"/>
            <wp:positionH relativeFrom="column">
              <wp:posOffset>1270</wp:posOffset>
            </wp:positionH>
            <wp:positionV relativeFrom="paragraph">
              <wp:posOffset>22225</wp:posOffset>
            </wp:positionV>
            <wp:extent cx="840740" cy="771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0740" cy="771525"/>
                    </a:xfrm>
                    <a:prstGeom prst="rect">
                      <a:avLst/>
                    </a:prstGeom>
                  </pic:spPr>
                </pic:pic>
              </a:graphicData>
            </a:graphic>
            <wp14:sizeRelH relativeFrom="page">
              <wp14:pctWidth>0</wp14:pctWidth>
            </wp14:sizeRelH>
            <wp14:sizeRelV relativeFrom="page">
              <wp14:pctHeight>0</wp14:pctHeight>
            </wp14:sizeRelV>
          </wp:anchor>
        </w:drawing>
      </w:r>
      <w:r w:rsidR="008237E2" w:rsidRPr="008237E2">
        <w:rPr>
          <w:rFonts w:ascii="Arial" w:hAnsi="Arial" w:cs="Arial"/>
          <w:sz w:val="14"/>
          <w:szCs w:val="14"/>
        </w:rPr>
        <w:t>Carrie Owen is a registered Occupational Therapist and Lactation Consultant specializing in infants, toddlers, young children, and teens with feeding challenges.  She has provided expert advice and guidance to parents on subjects including development, feeding, and sensory processing. Carrie is the creator and coordinator of the Interprofessional Feeding Groups for children between the ages of 5 months and 14 years at the Children’s Hospital of Eastern Ontario. She is presently studying the effectiveness of the feeding group for children between 4 and12 years of age.</w:t>
      </w:r>
    </w:p>
    <w:p w:rsidR="008237E2" w:rsidRPr="008237E2" w:rsidRDefault="008237E2" w:rsidP="008237E2">
      <w:pPr>
        <w:rPr>
          <w:rFonts w:ascii="Arial" w:hAnsi="Arial" w:cs="Arial"/>
          <w:sz w:val="14"/>
          <w:szCs w:val="14"/>
        </w:rPr>
      </w:pPr>
    </w:p>
    <w:p w:rsidR="008237E2" w:rsidRDefault="008237E2" w:rsidP="008237E2">
      <w:pPr>
        <w:rPr>
          <w:rFonts w:ascii="Arial" w:hAnsi="Arial" w:cs="Arial"/>
          <w:sz w:val="14"/>
          <w:szCs w:val="14"/>
        </w:rPr>
      </w:pPr>
      <w:r w:rsidRPr="008237E2">
        <w:rPr>
          <w:rFonts w:ascii="Arial" w:hAnsi="Arial" w:cs="Arial"/>
          <w:sz w:val="14"/>
          <w:szCs w:val="14"/>
        </w:rPr>
        <w:t xml:space="preserve">Carrie was the principle author on a manuscript published in Nutrition in Clinical Practice and has also published in Today’s Parent magazine. Presently, she is working both at the Children’s Hospital of Eastern Ontario and in private practice.  Her teaching experience includes the University of Ottawa, the University of Toronto, and York University. </w:t>
      </w:r>
    </w:p>
    <w:p w:rsidR="004E141D" w:rsidRPr="008237E2" w:rsidRDefault="004E141D" w:rsidP="008237E2">
      <w:pPr>
        <w:rPr>
          <w:rFonts w:ascii="Arial" w:hAnsi="Arial" w:cs="Arial"/>
          <w:sz w:val="14"/>
          <w:szCs w:val="14"/>
        </w:rPr>
      </w:pPr>
    </w:p>
    <w:p w:rsidR="002013B8" w:rsidRPr="008237E2" w:rsidRDefault="00A9710C" w:rsidP="008237E2">
      <w:pPr>
        <w:ind w:left="4217" w:right="4235"/>
        <w:jc w:val="center"/>
        <w:rPr>
          <w:rFonts w:ascii="Arial"/>
          <w:sz w:val="14"/>
          <w:lang w:val="fr-CA"/>
        </w:rPr>
      </w:pPr>
      <w:r w:rsidRPr="008237E2">
        <w:rPr>
          <w:rFonts w:ascii="Arial"/>
          <w:sz w:val="14"/>
          <w:lang w:val="fr-CA"/>
        </w:rPr>
        <w:t xml:space="preserve">Email: </w:t>
      </w:r>
      <w:hyperlink r:id="rId12" w:history="1">
        <w:r w:rsidR="00075630" w:rsidRPr="008237E2">
          <w:rPr>
            <w:rStyle w:val="Hyperlink"/>
            <w:rFonts w:ascii="Arial"/>
            <w:sz w:val="14"/>
            <w:lang w:val="fr-CA"/>
          </w:rPr>
          <w:t>Cowen@cheo.on.ca</w:t>
        </w:r>
      </w:hyperlink>
      <w:r w:rsidR="00075630" w:rsidRPr="008237E2">
        <w:rPr>
          <w:rFonts w:ascii="Arial"/>
          <w:sz w:val="14"/>
          <w:lang w:val="fr-CA"/>
        </w:rPr>
        <w:t xml:space="preserve"> </w:t>
      </w:r>
      <w:r w:rsidR="00292ED9">
        <w:rPr>
          <w:noProof/>
        </w:rPr>
        <mc:AlternateContent>
          <mc:Choice Requires="wps">
            <w:drawing>
              <wp:anchor distT="0" distB="0" distL="0" distR="0" simplePos="0" relativeHeight="1072" behindDoc="0" locked="0" layoutInCell="1" allowOverlap="1" wp14:anchorId="598E76DA" wp14:editId="49727FA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8237E2" w:rsidRDefault="00A9710C" w:rsidP="008237E2">
      <w:pPr>
        <w:ind w:left="100"/>
        <w:rPr>
          <w:rFonts w:ascii="Minion Pro"/>
          <w:b/>
          <w:sz w:val="20"/>
          <w:lang w:val="fr-CA"/>
        </w:rPr>
      </w:pPr>
      <w:r w:rsidRPr="008237E2">
        <w:rPr>
          <w:rFonts w:ascii="Minion Pro"/>
          <w:b/>
          <w:sz w:val="20"/>
          <w:lang w:val="fr-CA"/>
        </w:rPr>
        <w:t>Notes/Comments:</w:t>
      </w:r>
    </w:p>
    <w:sectPr w:rsidR="00AE3E37" w:rsidRPr="008237E2" w:rsidSect="002013B8">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C2D" w:rsidRDefault="00315C2D">
      <w:r>
        <w:separator/>
      </w:r>
    </w:p>
  </w:endnote>
  <w:endnote w:type="continuationSeparator" w:id="0">
    <w:p w:rsidR="00315C2D" w:rsidRDefault="0031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630" w:rsidRDefault="00075630">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5630" w:rsidRPr="005B3A56" w:rsidRDefault="0007563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75630" w:rsidRPr="005B3A56" w:rsidRDefault="0007563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75630" w:rsidRPr="005B3A56" w:rsidRDefault="0007563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75630" w:rsidRPr="005B3A56" w:rsidRDefault="0007563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5630" w:rsidRPr="005B3A56" w:rsidRDefault="0007563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75630" w:rsidRPr="005B3A56" w:rsidRDefault="0007563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75630" w:rsidRPr="005B3A56" w:rsidRDefault="0007563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75630" w:rsidRPr="005B3A56" w:rsidRDefault="0007563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5630" w:rsidRPr="005B3A56" w:rsidRDefault="0007563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075630" w:rsidRPr="005B3A56" w:rsidRDefault="0007563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75630" w:rsidRPr="005B3A56" w:rsidRDefault="0007563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75630" w:rsidRPr="005B3A56" w:rsidRDefault="0007563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C2D" w:rsidRDefault="00315C2D">
      <w:r>
        <w:separator/>
      </w:r>
    </w:p>
  </w:footnote>
  <w:footnote w:type="continuationSeparator" w:id="0">
    <w:p w:rsidR="00315C2D" w:rsidRDefault="00315C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630" w:rsidRDefault="00075630">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5630" w:rsidRPr="00075630" w:rsidRDefault="00075630">
                          <w:pPr>
                            <w:spacing w:before="2" w:line="249" w:lineRule="auto"/>
                            <w:ind w:left="156" w:right="18" w:hanging="137"/>
                            <w:rPr>
                              <w:rFonts w:ascii="Arial"/>
                              <w:color w:val="FFFFFF" w:themeColor="background1"/>
                              <w:sz w:val="14"/>
                              <w:lang w:val="fr-CA"/>
                            </w:rPr>
                          </w:pPr>
                          <w:r w:rsidRPr="00075630">
                            <w:rPr>
                              <w:rFonts w:ascii="Arial"/>
                              <w:color w:val="FFFFFF" w:themeColor="background1"/>
                              <w:sz w:val="14"/>
                              <w:lang w:val="fr-CA"/>
                            </w:rPr>
                            <w:t xml:space="preserve">T Furuta et al., J Pai n Relief 2016, 5:3(Suppl) </w:t>
                          </w:r>
                          <w:hyperlink r:id="rId1">
                            <w:r w:rsidRPr="00075630">
                              <w:rPr>
                                <w:rFonts w:ascii="Arial"/>
                                <w:color w:val="FFFFFF" w:themeColor="background1"/>
                                <w:sz w:val="14"/>
                                <w:lang w:val="fr-CA"/>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75630" w:rsidRPr="00075630" w:rsidRDefault="00075630">
                    <w:pPr>
                      <w:spacing w:before="2" w:line="249" w:lineRule="auto"/>
                      <w:ind w:left="156" w:right="18" w:hanging="137"/>
                      <w:rPr>
                        <w:rFonts w:ascii="Arial"/>
                        <w:color w:val="FFFFFF" w:themeColor="background1"/>
                        <w:sz w:val="14"/>
                        <w:lang w:val="fr-CA"/>
                      </w:rPr>
                    </w:pPr>
                    <w:r w:rsidRPr="00075630">
                      <w:rPr>
                        <w:rFonts w:ascii="Arial"/>
                        <w:color w:val="FFFFFF" w:themeColor="background1"/>
                        <w:sz w:val="14"/>
                        <w:lang w:val="fr-CA"/>
                      </w:rPr>
                      <w:t xml:space="preserve">T Furuta et </w:t>
                    </w:r>
                    <w:proofErr w:type="gramStart"/>
                    <w:r w:rsidRPr="00075630">
                      <w:rPr>
                        <w:rFonts w:ascii="Arial"/>
                        <w:color w:val="FFFFFF" w:themeColor="background1"/>
                        <w:sz w:val="14"/>
                        <w:lang w:val="fr-CA"/>
                      </w:rPr>
                      <w:t>al.,</w:t>
                    </w:r>
                    <w:proofErr w:type="gramEnd"/>
                    <w:r w:rsidRPr="00075630">
                      <w:rPr>
                        <w:rFonts w:ascii="Arial"/>
                        <w:color w:val="FFFFFF" w:themeColor="background1"/>
                        <w:sz w:val="14"/>
                        <w:lang w:val="fr-CA"/>
                      </w:rPr>
                      <w:t xml:space="preserve"> J Pai n Relief 2016, 5:3(</w:t>
                    </w:r>
                    <w:proofErr w:type="spellStart"/>
                    <w:r w:rsidRPr="00075630">
                      <w:rPr>
                        <w:rFonts w:ascii="Arial"/>
                        <w:color w:val="FFFFFF" w:themeColor="background1"/>
                        <w:sz w:val="14"/>
                        <w:lang w:val="fr-CA"/>
                      </w:rPr>
                      <w:t>Suppl</w:t>
                    </w:r>
                    <w:proofErr w:type="spellEnd"/>
                    <w:r w:rsidRPr="00075630">
                      <w:rPr>
                        <w:rFonts w:ascii="Arial"/>
                        <w:color w:val="FFFFFF" w:themeColor="background1"/>
                        <w:sz w:val="14"/>
                        <w:lang w:val="fr-CA"/>
                      </w:rPr>
                      <w:t xml:space="preserve">) </w:t>
                    </w:r>
                    <w:hyperlink r:id="rId2">
                      <w:r w:rsidRPr="00075630">
                        <w:rPr>
                          <w:rFonts w:ascii="Arial"/>
                          <w:color w:val="FFFFFF" w:themeColor="background1"/>
                          <w:sz w:val="14"/>
                          <w:lang w:val="fr-CA"/>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5630" w:rsidRPr="005B3A56" w:rsidRDefault="0007563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75630" w:rsidRPr="005B3A56" w:rsidRDefault="0007563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75630" w:rsidRPr="005B3A56" w:rsidRDefault="0007563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75630" w:rsidRPr="005B3A56" w:rsidRDefault="0007563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5A5E1D"/>
    <w:multiLevelType w:val="hybridMultilevel"/>
    <w:tmpl w:val="85B87D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630"/>
    <w:rsid w:val="000E2911"/>
    <w:rsid w:val="001263DF"/>
    <w:rsid w:val="002013B8"/>
    <w:rsid w:val="00292ED9"/>
    <w:rsid w:val="00315C2D"/>
    <w:rsid w:val="00404E5B"/>
    <w:rsid w:val="00414F7B"/>
    <w:rsid w:val="004355DC"/>
    <w:rsid w:val="004749B4"/>
    <w:rsid w:val="00494130"/>
    <w:rsid w:val="004E141D"/>
    <w:rsid w:val="004F3523"/>
    <w:rsid w:val="005973B9"/>
    <w:rsid w:val="005B3A56"/>
    <w:rsid w:val="006060CE"/>
    <w:rsid w:val="0063497F"/>
    <w:rsid w:val="006F0967"/>
    <w:rsid w:val="008237E2"/>
    <w:rsid w:val="00873DF0"/>
    <w:rsid w:val="008756E6"/>
    <w:rsid w:val="008F725E"/>
    <w:rsid w:val="009A18A6"/>
    <w:rsid w:val="009B2D44"/>
    <w:rsid w:val="00A07E82"/>
    <w:rsid w:val="00A9710C"/>
    <w:rsid w:val="00AE3E37"/>
    <w:rsid w:val="00B21A57"/>
    <w:rsid w:val="00C33602"/>
    <w:rsid w:val="00CD6F55"/>
    <w:rsid w:val="00DD306F"/>
    <w:rsid w:val="00DE3104"/>
    <w:rsid w:val="00DF07D5"/>
    <w:rsid w:val="00EB112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owen@cheo.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4367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Owen, Carrie</cp:lastModifiedBy>
  <cp:revision>2</cp:revision>
  <dcterms:created xsi:type="dcterms:W3CDTF">2017-06-05T15:08:00Z</dcterms:created>
  <dcterms:modified xsi:type="dcterms:W3CDTF">2017-06-05T15:08:00Z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