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2CE5" w:rsidRPr="00E8424F" w:rsidRDefault="00002CE5" w:rsidP="00002CE5">
      <w:pPr>
        <w:autoSpaceDE w:val="0"/>
        <w:autoSpaceDN w:val="0"/>
        <w:adjustRightInd w:val="0"/>
        <w:rPr>
          <w:rFonts w:ascii="Arial Unicode MS" w:eastAsia="Arial Unicode MS" w:hAnsi="Arial Unicode MS" w:cs="Arial Unicode MS"/>
          <w:szCs w:val="21"/>
        </w:rPr>
      </w:pPr>
      <w:r w:rsidRPr="00E8424F">
        <w:rPr>
          <w:rFonts w:ascii="Arial Unicode MS" w:eastAsia="Arial Unicode MS" w:hAnsi="Arial Unicode MS" w:cs="Arial Unicode MS"/>
          <w:szCs w:val="21"/>
        </w:rPr>
        <w:t>A controlled clinical study of seq</w:t>
      </w:r>
      <w:r>
        <w:rPr>
          <w:rFonts w:ascii="Arial Unicode MS" w:eastAsia="Arial Unicode MS" w:hAnsi="Arial Unicode MS" w:cs="Arial Unicode MS"/>
          <w:szCs w:val="21"/>
        </w:rPr>
        <w:t xml:space="preserve">uential combination therapy of </w:t>
      </w:r>
      <w:r>
        <w:rPr>
          <w:rFonts w:ascii="Arial Unicode MS" w:eastAsia="Arial Unicode MS" w:hAnsi="Arial Unicode MS" w:cs="Arial Unicode MS" w:hint="eastAsia"/>
          <w:szCs w:val="21"/>
        </w:rPr>
        <w:t>I</w:t>
      </w:r>
      <w:r>
        <w:rPr>
          <w:rFonts w:ascii="Arial Unicode MS" w:eastAsia="Arial Unicode MS" w:hAnsi="Arial Unicode MS" w:cs="Arial Unicode MS"/>
          <w:szCs w:val="21"/>
        </w:rPr>
        <w:t xml:space="preserve">nterferon and </w:t>
      </w:r>
      <w:r>
        <w:rPr>
          <w:rFonts w:ascii="Arial Unicode MS" w:eastAsia="Arial Unicode MS" w:hAnsi="Arial Unicode MS" w:cs="Arial Unicode MS" w:hint="eastAsia"/>
          <w:szCs w:val="21"/>
        </w:rPr>
        <w:t>L</w:t>
      </w:r>
      <w:r w:rsidRPr="00E8424F">
        <w:rPr>
          <w:rFonts w:ascii="Arial Unicode MS" w:eastAsia="Arial Unicode MS" w:hAnsi="Arial Unicode MS" w:cs="Arial Unicode MS"/>
          <w:szCs w:val="21"/>
        </w:rPr>
        <w:t>amivudine in children with</w:t>
      </w:r>
      <w:r>
        <w:rPr>
          <w:rFonts w:ascii="Arial Unicode MS" w:eastAsia="Arial Unicode MS" w:hAnsi="Arial Unicode MS" w:cs="Arial Unicode MS" w:hint="eastAsia"/>
          <w:szCs w:val="21"/>
        </w:rPr>
        <w:t xml:space="preserve"> </w:t>
      </w:r>
      <w:r w:rsidRPr="00E8424F">
        <w:rPr>
          <w:rFonts w:ascii="Arial Unicode MS" w:eastAsia="Arial Unicode MS" w:hAnsi="Arial Unicode MS" w:cs="Arial Unicode MS"/>
          <w:szCs w:val="21"/>
        </w:rPr>
        <w:t>immune-tolerant chronic hepatitis B</w:t>
      </w:r>
    </w:p>
    <w:p w:rsidR="00002CE5" w:rsidRPr="00E8424F" w:rsidRDefault="00002CE5" w:rsidP="00002CE5">
      <w:pPr>
        <w:autoSpaceDE w:val="0"/>
        <w:autoSpaceDN w:val="0"/>
        <w:adjustRightInd w:val="0"/>
        <w:rPr>
          <w:rFonts w:ascii="Arial Unicode MS" w:eastAsia="Arial Unicode MS" w:hAnsi="Arial Unicode MS" w:cs="Arial Unicode MS"/>
          <w:szCs w:val="21"/>
        </w:rPr>
      </w:pPr>
      <w:r w:rsidRPr="00E8424F">
        <w:rPr>
          <w:rFonts w:ascii="Arial Unicode MS" w:eastAsia="Arial Unicode MS" w:hAnsi="Arial Unicode MS" w:cs="Arial Unicode MS"/>
          <w:szCs w:val="21"/>
        </w:rPr>
        <w:t>Shishu Zhu, Yi Dong</w:t>
      </w:r>
      <w:r>
        <w:rPr>
          <w:rFonts w:ascii="Arial Unicode MS" w:eastAsia="Arial Unicode MS" w:hAnsi="Arial Unicode MS" w:cs="Arial Unicode MS"/>
          <w:szCs w:val="21"/>
        </w:rPr>
        <w:t xml:space="preserve">, </w:t>
      </w:r>
      <w:r>
        <w:rPr>
          <w:rFonts w:ascii="Arial Unicode MS" w:eastAsia="Arial Unicode MS" w:hAnsi="Arial Unicode MS" w:cs="Arial Unicode MS" w:hint="eastAsia"/>
          <w:szCs w:val="21"/>
        </w:rPr>
        <w:t>H</w:t>
      </w:r>
      <w:r w:rsidRPr="00E8424F">
        <w:rPr>
          <w:rFonts w:ascii="Arial Unicode MS" w:eastAsia="Arial Unicode MS" w:hAnsi="Arial Unicode MS" w:cs="Arial Unicode MS"/>
          <w:szCs w:val="21"/>
        </w:rPr>
        <w:t>ongfei zhang, Limin Wang</w:t>
      </w:r>
      <w:r>
        <w:rPr>
          <w:rFonts w:ascii="Arial Unicode MS" w:eastAsia="Arial Unicode MS" w:hAnsi="Arial Unicode MS" w:cs="Arial Unicode MS"/>
          <w:szCs w:val="21"/>
        </w:rPr>
        <w:t xml:space="preserve">, </w:t>
      </w:r>
      <w:r>
        <w:rPr>
          <w:rFonts w:ascii="Arial Unicode MS" w:eastAsia="Arial Unicode MS" w:hAnsi="Arial Unicode MS" w:cs="Arial Unicode MS" w:hint="eastAsia"/>
          <w:szCs w:val="21"/>
        </w:rPr>
        <w:t>Z</w:t>
      </w:r>
      <w:r w:rsidRPr="00E8424F">
        <w:rPr>
          <w:rFonts w:ascii="Arial Unicode MS" w:eastAsia="Arial Unicode MS" w:hAnsi="Arial Unicode MS" w:cs="Arial Unicode MS"/>
          <w:szCs w:val="21"/>
        </w:rPr>
        <w:t>hiqiang xu, Min</w:t>
      </w:r>
    </w:p>
    <w:p w:rsidR="00002CE5" w:rsidRPr="00E8424F" w:rsidRDefault="00002CE5" w:rsidP="00002CE5">
      <w:pPr>
        <w:autoSpaceDE w:val="0"/>
        <w:autoSpaceDN w:val="0"/>
        <w:adjustRightInd w:val="0"/>
        <w:rPr>
          <w:rFonts w:ascii="Arial Unicode MS" w:eastAsia="Arial Unicode MS" w:hAnsi="Arial Unicode MS" w:cs="Arial Unicode MS"/>
          <w:szCs w:val="21"/>
        </w:rPr>
      </w:pPr>
      <w:r w:rsidRPr="00E8424F">
        <w:rPr>
          <w:rFonts w:ascii="Arial Unicode MS" w:eastAsia="Arial Unicode MS" w:hAnsi="Arial Unicode MS" w:cs="Arial Unicode MS"/>
          <w:szCs w:val="21"/>
        </w:rPr>
        <w:t>Zhang</w:t>
      </w:r>
      <w:r>
        <w:rPr>
          <w:rFonts w:ascii="Arial Unicode MS" w:eastAsia="Arial Unicode MS" w:hAnsi="Arial Unicode MS" w:cs="Arial Unicode MS"/>
          <w:szCs w:val="21"/>
        </w:rPr>
        <w:t xml:space="preserve">, </w:t>
      </w:r>
      <w:r>
        <w:rPr>
          <w:rFonts w:ascii="Arial Unicode MS" w:eastAsia="Arial Unicode MS" w:hAnsi="Arial Unicode MS" w:cs="Arial Unicode MS" w:hint="eastAsia"/>
          <w:szCs w:val="21"/>
        </w:rPr>
        <w:t>Y</w:t>
      </w:r>
      <w:r>
        <w:rPr>
          <w:rFonts w:ascii="Arial Unicode MS" w:eastAsia="Arial Unicode MS" w:hAnsi="Arial Unicode MS" w:cs="Arial Unicode MS"/>
          <w:szCs w:val="21"/>
        </w:rPr>
        <w:t xml:space="preserve">u </w:t>
      </w:r>
      <w:r>
        <w:rPr>
          <w:rFonts w:ascii="Arial Unicode MS" w:eastAsia="Arial Unicode MS" w:hAnsi="Arial Unicode MS" w:cs="Arial Unicode MS" w:hint="eastAsia"/>
          <w:szCs w:val="21"/>
        </w:rPr>
        <w:t>G</w:t>
      </w:r>
      <w:r w:rsidRPr="00E8424F">
        <w:rPr>
          <w:rFonts w:ascii="Arial Unicode MS" w:eastAsia="Arial Unicode MS" w:hAnsi="Arial Unicode MS" w:cs="Arial Unicode MS"/>
          <w:szCs w:val="21"/>
        </w:rPr>
        <w:t>an, Fuchuan Wang, Dawei Chen</w:t>
      </w:r>
    </w:p>
    <w:p w:rsidR="00002CE5" w:rsidRPr="00E8424F" w:rsidRDefault="00002CE5" w:rsidP="00002CE5">
      <w:pPr>
        <w:autoSpaceDE w:val="0"/>
        <w:autoSpaceDN w:val="0"/>
        <w:adjustRightInd w:val="0"/>
        <w:rPr>
          <w:rFonts w:ascii="Arial Unicode MS" w:eastAsia="Arial Unicode MS" w:hAnsi="Arial Unicode MS" w:cs="Arial Unicode MS"/>
          <w:szCs w:val="21"/>
        </w:rPr>
      </w:pPr>
      <w:r>
        <w:rPr>
          <w:rFonts w:ascii="Arial Unicode MS" w:eastAsia="Arial Unicode MS" w:hAnsi="Arial Unicode MS" w:cs="Arial Unicode MS" w:hint="eastAsia"/>
          <w:szCs w:val="21"/>
        </w:rPr>
        <w:t>P</w:t>
      </w:r>
      <w:r w:rsidRPr="00E8424F">
        <w:rPr>
          <w:rFonts w:ascii="Arial Unicode MS" w:eastAsia="Arial Unicode MS" w:hAnsi="Arial Unicode MS" w:cs="Arial Unicode MS"/>
          <w:szCs w:val="21"/>
        </w:rPr>
        <w:t>ediatric liver disease therapy and research center, Beijing</w:t>
      </w:r>
      <w:r>
        <w:rPr>
          <w:rFonts w:ascii="Arial Unicode MS" w:eastAsia="Arial Unicode MS" w:hAnsi="Arial Unicode MS" w:cs="Arial Unicode MS"/>
          <w:szCs w:val="21"/>
        </w:rPr>
        <w:t xml:space="preserve"> 302 hospital, Beijing, China.</w:t>
      </w:r>
    </w:p>
    <w:p w:rsidR="00002CE5" w:rsidRPr="00E8424F" w:rsidRDefault="00002CE5" w:rsidP="00002CE5">
      <w:pPr>
        <w:autoSpaceDE w:val="0"/>
        <w:autoSpaceDN w:val="0"/>
        <w:adjustRightInd w:val="0"/>
        <w:rPr>
          <w:rFonts w:ascii="Arial Unicode MS" w:eastAsia="Arial Unicode MS" w:hAnsi="Arial Unicode MS" w:cs="Arial Unicode MS"/>
          <w:szCs w:val="21"/>
        </w:rPr>
      </w:pPr>
      <w:r w:rsidRPr="00E8424F">
        <w:rPr>
          <w:rFonts w:ascii="Arial Unicode MS" w:eastAsia="Arial Unicode MS" w:hAnsi="Arial Unicode MS" w:cs="Arial Unicode MS"/>
          <w:szCs w:val="21"/>
        </w:rPr>
        <w:t>Objective: To prospectively study the efficacy, safety and related factors of sequential combination</w:t>
      </w:r>
      <w:r>
        <w:rPr>
          <w:rFonts w:ascii="Arial Unicode MS" w:eastAsia="Arial Unicode MS" w:hAnsi="Arial Unicode MS" w:cs="Arial Unicode MS" w:hint="eastAsia"/>
          <w:szCs w:val="21"/>
        </w:rPr>
        <w:t xml:space="preserve"> </w:t>
      </w:r>
      <w:r w:rsidRPr="00E8424F">
        <w:rPr>
          <w:rFonts w:ascii="Arial Unicode MS" w:eastAsia="Arial Unicode MS" w:hAnsi="Arial Unicode MS" w:cs="Arial Unicode MS"/>
          <w:szCs w:val="21"/>
        </w:rPr>
        <w:t>therapy of</w:t>
      </w:r>
      <w:r>
        <w:rPr>
          <w:rFonts w:ascii="Arial Unicode MS" w:eastAsia="Arial Unicode MS" w:hAnsi="Arial Unicode MS" w:cs="Arial Unicode MS" w:hint="eastAsia"/>
          <w:szCs w:val="21"/>
          <w:lang w:eastAsia="zh-CN"/>
        </w:rPr>
        <w:t xml:space="preserve"> </w:t>
      </w:r>
      <w:r>
        <w:rPr>
          <w:rFonts w:ascii="Arial Unicode MS" w:eastAsia="Arial Unicode MS" w:hAnsi="Arial Unicode MS" w:cs="Arial Unicode MS"/>
          <w:szCs w:val="21"/>
        </w:rPr>
        <w:t>IFN</w:t>
      </w:r>
      <w:r>
        <w:rPr>
          <w:rFonts w:ascii="Arial Unicode MS" w:eastAsia="Arial Unicode MS" w:hAnsi="Arial Unicode MS" w:cs="Arial Unicode MS" w:hint="eastAsia"/>
          <w:szCs w:val="21"/>
          <w:lang w:eastAsia="zh-CN"/>
        </w:rPr>
        <w:t xml:space="preserve"> </w:t>
      </w:r>
      <w:r w:rsidRPr="00E8424F">
        <w:rPr>
          <w:rFonts w:ascii="Arial Unicode MS" w:eastAsia="Arial Unicode MS" w:hAnsi="Arial Unicode MS" w:cs="Arial Unicode MS"/>
          <w:szCs w:val="21"/>
        </w:rPr>
        <w:t xml:space="preserve">and </w:t>
      </w:r>
      <w:r>
        <w:rPr>
          <w:rFonts w:ascii="Arial Unicode MS" w:eastAsia="Arial Unicode MS" w:hAnsi="Arial Unicode MS" w:cs="Arial Unicode MS"/>
          <w:szCs w:val="21"/>
        </w:rPr>
        <w:t>LAM in children with</w:t>
      </w:r>
      <w:r>
        <w:rPr>
          <w:rFonts w:ascii="Arial Unicode MS" w:eastAsia="Arial Unicode MS" w:hAnsi="Arial Unicode MS" w:cs="Arial Unicode MS" w:hint="eastAsia"/>
          <w:szCs w:val="21"/>
        </w:rPr>
        <w:t xml:space="preserve"> </w:t>
      </w:r>
      <w:r w:rsidRPr="00E8424F">
        <w:rPr>
          <w:rFonts w:ascii="Arial Unicode MS" w:eastAsia="Arial Unicode MS" w:hAnsi="Arial Unicode MS" w:cs="Arial Unicode MS"/>
          <w:szCs w:val="21"/>
        </w:rPr>
        <w:t xml:space="preserve">immune-tolerant </w:t>
      </w:r>
      <w:r>
        <w:rPr>
          <w:rFonts w:ascii="Arial Unicode MS" w:eastAsia="Arial Unicode MS" w:hAnsi="Arial Unicode MS" w:cs="Arial Unicode MS"/>
          <w:szCs w:val="21"/>
        </w:rPr>
        <w:t>CHB</w:t>
      </w:r>
      <w:r w:rsidRPr="00E8424F">
        <w:rPr>
          <w:rFonts w:ascii="Arial Unicode MS" w:eastAsia="Arial Unicode MS" w:hAnsi="Arial Unicode MS" w:cs="Arial Unicode MS"/>
          <w:szCs w:val="21"/>
        </w:rPr>
        <w:t>.</w:t>
      </w:r>
    </w:p>
    <w:p w:rsidR="00002CE5" w:rsidRPr="00E8424F" w:rsidRDefault="00002CE5" w:rsidP="00002CE5">
      <w:pPr>
        <w:autoSpaceDE w:val="0"/>
        <w:autoSpaceDN w:val="0"/>
        <w:adjustRightInd w:val="0"/>
        <w:rPr>
          <w:rFonts w:ascii="Arial Unicode MS" w:eastAsia="Arial Unicode MS" w:hAnsi="Arial Unicode MS" w:cs="Arial Unicode MS"/>
          <w:szCs w:val="21"/>
        </w:rPr>
      </w:pPr>
      <w:r w:rsidRPr="00E8424F">
        <w:rPr>
          <w:rFonts w:ascii="Arial Unicode MS" w:eastAsia="Arial Unicode MS" w:hAnsi="Arial Unicode MS" w:cs="Arial Unicode MS"/>
          <w:szCs w:val="21"/>
        </w:rPr>
        <w:t xml:space="preserve">Method: 46 children with CHB in immune-tolerant phase (HBsAg positive for </w:t>
      </w:r>
      <w:r w:rsidRPr="00E8424F">
        <w:rPr>
          <w:rFonts w:ascii="Arial Unicode MS" w:eastAsia="Arial Unicode MS" w:hAnsi="Arial Unicode MS" w:cs="Arial Unicode MS" w:hint="eastAsia"/>
          <w:szCs w:val="21"/>
        </w:rPr>
        <w:t>＞</w:t>
      </w:r>
      <w:r w:rsidRPr="00E8424F">
        <w:rPr>
          <w:rFonts w:ascii="Arial Unicode MS" w:eastAsia="Arial Unicode MS" w:hAnsi="Arial Unicode MS" w:cs="Arial Unicode MS"/>
          <w:szCs w:val="21"/>
        </w:rPr>
        <w:t>6 months, HBeAg positive,</w:t>
      </w:r>
      <w:r>
        <w:rPr>
          <w:rFonts w:ascii="Arial Unicode MS" w:eastAsia="Arial Unicode MS" w:hAnsi="Arial Unicode MS" w:cs="Arial Unicode MS" w:hint="eastAsia"/>
          <w:szCs w:val="21"/>
        </w:rPr>
        <w:t xml:space="preserve"> </w:t>
      </w:r>
      <w:r w:rsidRPr="00E8424F">
        <w:rPr>
          <w:rFonts w:ascii="Arial Unicode MS" w:eastAsia="Arial Unicode MS" w:hAnsi="Arial Unicode MS" w:cs="Arial Unicode MS"/>
          <w:szCs w:val="21"/>
        </w:rPr>
        <w:t>HBVDNA&gt;107IU/mL,</w:t>
      </w:r>
      <w:r>
        <w:rPr>
          <w:rFonts w:ascii="Arial Unicode MS" w:eastAsia="Arial Unicode MS" w:hAnsi="Arial Unicode MS" w:cs="Arial Unicode MS" w:hint="eastAsia"/>
          <w:szCs w:val="21"/>
        </w:rPr>
        <w:t xml:space="preserve"> </w:t>
      </w:r>
      <w:r w:rsidRPr="00E8424F">
        <w:rPr>
          <w:rFonts w:ascii="Arial Unicode MS" w:eastAsia="Arial Unicode MS" w:hAnsi="Arial Unicode MS" w:cs="Arial Unicode MS"/>
          <w:szCs w:val="21"/>
        </w:rPr>
        <w:t xml:space="preserve"> </w:t>
      </w:r>
      <w:r>
        <w:rPr>
          <w:rFonts w:ascii="Arial Unicode MS" w:eastAsia="Arial Unicode MS" w:hAnsi="Arial Unicode MS" w:cs="Arial Unicode MS"/>
          <w:szCs w:val="21"/>
        </w:rPr>
        <w:t>ALT</w:t>
      </w:r>
      <w:r w:rsidRPr="00E8424F">
        <w:rPr>
          <w:rFonts w:ascii="Arial Unicode MS" w:eastAsia="Arial Unicode MS" w:hAnsi="Arial Unicode MS" w:cs="Arial Unicode MS"/>
          <w:szCs w:val="21"/>
        </w:rPr>
        <w:t>&lt;60 U/L, minimal/no inflammation in liver histology) between 1</w:t>
      </w:r>
      <w:r w:rsidRPr="00E8424F">
        <w:rPr>
          <w:rFonts w:ascii="Arial Unicode MS" w:eastAsia="Arial Unicode MS" w:hAnsi="Arial Unicode MS" w:cs="Arial Unicode MS" w:hint="eastAsia"/>
          <w:szCs w:val="21"/>
        </w:rPr>
        <w:t>～</w:t>
      </w:r>
      <w:r w:rsidRPr="00E8424F">
        <w:rPr>
          <w:rFonts w:ascii="Arial Unicode MS" w:eastAsia="Arial Unicode MS" w:hAnsi="Arial Unicode MS" w:cs="Arial Unicode MS"/>
          <w:szCs w:val="21"/>
        </w:rPr>
        <w:t>15</w:t>
      </w:r>
      <w:r>
        <w:rPr>
          <w:rFonts w:ascii="Arial Unicode MS" w:eastAsia="Arial Unicode MS" w:hAnsi="Arial Unicode MS" w:cs="Arial Unicode MS" w:hint="eastAsia"/>
          <w:szCs w:val="21"/>
        </w:rPr>
        <w:t xml:space="preserve"> </w:t>
      </w:r>
      <w:r w:rsidRPr="00E8424F">
        <w:rPr>
          <w:rFonts w:ascii="Arial Unicode MS" w:eastAsia="Arial Unicode MS" w:hAnsi="Arial Unicode MS" w:cs="Arial Unicode MS"/>
          <w:szCs w:val="21"/>
        </w:rPr>
        <w:t xml:space="preserve">years of age, participated in this study (treatment group). They received with IFN alone </w:t>
      </w:r>
    </w:p>
    <w:p w:rsidR="00002CE5" w:rsidRPr="00E8424F" w:rsidRDefault="00002CE5" w:rsidP="00002CE5">
      <w:pPr>
        <w:autoSpaceDE w:val="0"/>
        <w:autoSpaceDN w:val="0"/>
        <w:adjustRightInd w:val="0"/>
        <w:rPr>
          <w:rFonts w:ascii="Arial Unicode MS" w:eastAsia="Arial Unicode MS" w:hAnsi="Arial Unicode MS" w:cs="Arial Unicode MS"/>
          <w:szCs w:val="21"/>
        </w:rPr>
      </w:pPr>
      <w:r w:rsidRPr="00E8424F">
        <w:rPr>
          <w:rFonts w:ascii="Arial Unicode MS" w:eastAsia="Arial Unicode MS" w:hAnsi="Arial Unicode MS" w:cs="Arial Unicode MS"/>
          <w:szCs w:val="21"/>
        </w:rPr>
        <w:t xml:space="preserve"> for 12 weeks followed by IFN plus LAM (if HBVDNA declined </w:t>
      </w:r>
      <w:r w:rsidRPr="00E8424F">
        <w:rPr>
          <w:rFonts w:ascii="Arial Unicode MS" w:eastAsia="Arial Unicode MS" w:hAnsi="Arial Unicode MS" w:cs="Arial Unicode MS" w:hint="eastAsia"/>
          <w:szCs w:val="21"/>
        </w:rPr>
        <w:t>＜</w:t>
      </w:r>
      <w:r w:rsidRPr="00E8424F">
        <w:rPr>
          <w:rFonts w:ascii="Arial Unicode MS" w:eastAsia="Arial Unicode MS" w:hAnsi="Arial Unicode MS" w:cs="Arial Unicode MS"/>
          <w:szCs w:val="21"/>
        </w:rPr>
        <w:t>2log</w:t>
      </w:r>
      <w:r w:rsidRPr="00F40803">
        <w:rPr>
          <w:rFonts w:ascii="Arial Unicode MS" w:eastAsia="Arial Unicode MS" w:hAnsi="Arial Unicode MS" w:cs="Arial Unicode MS"/>
          <w:szCs w:val="21"/>
          <w:vertAlign w:val="subscript"/>
        </w:rPr>
        <w:t>10</w:t>
      </w:r>
      <w:r w:rsidRPr="00E8424F">
        <w:rPr>
          <w:rFonts w:ascii="Arial Unicode MS" w:eastAsia="Arial Unicode MS" w:hAnsi="Arial Unicode MS" w:cs="Arial Unicode MS"/>
          <w:szCs w:val="21"/>
        </w:rPr>
        <w:t>) for another 60 weeks,</w:t>
      </w:r>
      <w:r>
        <w:rPr>
          <w:rFonts w:ascii="Arial Unicode MS" w:eastAsia="Arial Unicode MS" w:hAnsi="Arial Unicode MS" w:cs="Arial Unicode MS" w:hint="eastAsia"/>
          <w:szCs w:val="21"/>
        </w:rPr>
        <w:t xml:space="preserve"> </w:t>
      </w:r>
      <w:r w:rsidRPr="00E8424F">
        <w:rPr>
          <w:rFonts w:ascii="Arial Unicode MS" w:eastAsia="Arial Unicode MS" w:hAnsi="Arial Unicode MS" w:cs="Arial Unicode MS"/>
          <w:szCs w:val="21"/>
        </w:rPr>
        <w:t>LAM alone continued for 24 weeks during follow-up. Twenty-three cases of immune-tolerant CHB children free of</w:t>
      </w:r>
      <w:r>
        <w:rPr>
          <w:rFonts w:ascii="Arial Unicode MS" w:eastAsia="Arial Unicode MS" w:hAnsi="Arial Unicode MS" w:cs="Arial Unicode MS" w:hint="eastAsia"/>
          <w:szCs w:val="21"/>
        </w:rPr>
        <w:t xml:space="preserve"> </w:t>
      </w:r>
      <w:r w:rsidRPr="00E8424F">
        <w:rPr>
          <w:rFonts w:ascii="Arial Unicode MS" w:eastAsia="Arial Unicode MS" w:hAnsi="Arial Unicode MS" w:cs="Arial Unicode MS"/>
          <w:szCs w:val="21"/>
        </w:rPr>
        <w:t>treatment were involved as a control group.</w:t>
      </w:r>
    </w:p>
    <w:p w:rsidR="00002CE5" w:rsidRPr="00E8424F" w:rsidRDefault="00002CE5" w:rsidP="00002CE5">
      <w:pPr>
        <w:autoSpaceDE w:val="0"/>
        <w:autoSpaceDN w:val="0"/>
        <w:adjustRightInd w:val="0"/>
        <w:rPr>
          <w:rFonts w:ascii="Arial Unicode MS" w:eastAsia="Arial Unicode MS" w:hAnsi="Arial Unicode MS" w:cs="Arial Unicode MS"/>
          <w:szCs w:val="21"/>
        </w:rPr>
      </w:pPr>
      <w:r w:rsidRPr="00E8424F">
        <w:rPr>
          <w:rFonts w:ascii="Arial Unicode MS" w:eastAsia="Arial Unicode MS" w:hAnsi="Arial Unicode MS" w:cs="Arial Unicode MS"/>
          <w:szCs w:val="21"/>
        </w:rPr>
        <w:t>Results:</w:t>
      </w:r>
    </w:p>
    <w:p w:rsidR="00002CE5" w:rsidRPr="00E8424F" w:rsidRDefault="00002CE5" w:rsidP="00002CE5">
      <w:pPr>
        <w:autoSpaceDE w:val="0"/>
        <w:autoSpaceDN w:val="0"/>
        <w:adjustRightInd w:val="0"/>
        <w:rPr>
          <w:rFonts w:ascii="Arial Unicode MS" w:eastAsia="Arial Unicode MS" w:hAnsi="Arial Unicode MS" w:cs="Arial Unicode MS"/>
          <w:szCs w:val="21"/>
        </w:rPr>
      </w:pPr>
      <w:r w:rsidRPr="00E8424F">
        <w:rPr>
          <w:rFonts w:ascii="Arial Unicode MS" w:eastAsia="Arial Unicode MS" w:hAnsi="Arial Unicode MS" w:cs="Arial Unicode MS"/>
          <w:szCs w:val="21"/>
        </w:rPr>
        <w:t>(1) For children aged 1-7 years, there were 22 (47.8%) cases in the treatment group and 12 (52.2%) cases in the</w:t>
      </w:r>
      <w:r>
        <w:rPr>
          <w:rFonts w:ascii="Arial Unicode MS" w:eastAsia="Arial Unicode MS" w:hAnsi="Arial Unicode MS" w:cs="Arial Unicode MS" w:hint="eastAsia"/>
          <w:szCs w:val="21"/>
        </w:rPr>
        <w:t xml:space="preserve"> </w:t>
      </w:r>
      <w:r w:rsidRPr="00E8424F">
        <w:rPr>
          <w:rFonts w:ascii="Arial Unicode MS" w:eastAsia="Arial Unicode MS" w:hAnsi="Arial Unicode MS" w:cs="Arial Unicode MS"/>
          <w:szCs w:val="21"/>
        </w:rPr>
        <w:t xml:space="preserve">control group. The cases of </w:t>
      </w:r>
      <w:r>
        <w:rPr>
          <w:rFonts w:ascii="Arial Unicode MS" w:eastAsia="Arial Unicode MS" w:hAnsi="Arial Unicode MS" w:cs="Arial Unicode MS"/>
          <w:szCs w:val="21"/>
        </w:rPr>
        <w:t>MTCT</w:t>
      </w:r>
      <w:r w:rsidRPr="00E8424F">
        <w:rPr>
          <w:rFonts w:ascii="Arial Unicode MS" w:eastAsia="Arial Unicode MS" w:hAnsi="Arial Unicode MS" w:cs="Arial Unicode MS"/>
          <w:szCs w:val="21"/>
        </w:rPr>
        <w:t xml:space="preserve"> in treatment and control group were 34 (73.9%)and17(73.9%), while those with normal baseline ALT in the treatment and control group were 18 (39.1%) and 10 (43.5%).</w:t>
      </w:r>
    </w:p>
    <w:p w:rsidR="00002CE5" w:rsidRPr="00E8424F" w:rsidRDefault="00002CE5" w:rsidP="00002CE5">
      <w:pPr>
        <w:autoSpaceDE w:val="0"/>
        <w:autoSpaceDN w:val="0"/>
        <w:adjustRightInd w:val="0"/>
        <w:rPr>
          <w:rFonts w:ascii="Arial Unicode MS" w:eastAsia="Arial Unicode MS" w:hAnsi="Arial Unicode MS" w:cs="Arial Unicode MS"/>
          <w:szCs w:val="21"/>
        </w:rPr>
      </w:pPr>
      <w:r w:rsidRPr="00E8424F">
        <w:rPr>
          <w:rFonts w:ascii="Arial Unicode MS" w:eastAsia="Arial Unicode MS" w:hAnsi="Arial Unicode MS" w:cs="Arial Unicode MS"/>
          <w:szCs w:val="21"/>
        </w:rPr>
        <w:t>(2) In the treatment group at week 96 HBeAg seroconversion was achieved in 15(32.6%) cases. Ten (21.7%) cases</w:t>
      </w:r>
      <w:r>
        <w:rPr>
          <w:rFonts w:ascii="Arial Unicode MS" w:eastAsia="Arial Unicode MS" w:hAnsi="Arial Unicode MS" w:cs="Arial Unicode MS" w:hint="eastAsia"/>
          <w:szCs w:val="21"/>
        </w:rPr>
        <w:t xml:space="preserve"> </w:t>
      </w:r>
      <w:r>
        <w:rPr>
          <w:rFonts w:ascii="Arial Unicode MS" w:eastAsia="Arial Unicode MS" w:hAnsi="Arial Unicode MS" w:cs="Arial Unicode MS"/>
          <w:szCs w:val="21"/>
        </w:rPr>
        <w:t>achieved HBsAg clearance</w:t>
      </w:r>
      <w:r w:rsidRPr="00E8424F">
        <w:rPr>
          <w:rFonts w:ascii="Arial Unicode MS" w:eastAsia="Arial Unicode MS" w:hAnsi="Arial Unicode MS" w:cs="Arial Unicode MS"/>
          <w:szCs w:val="21"/>
        </w:rPr>
        <w:t>. In control group only 1 case achieved undetectable HBV DNA and HBeAg</w:t>
      </w:r>
      <w:r>
        <w:rPr>
          <w:rFonts w:ascii="Arial Unicode MS" w:eastAsia="Arial Unicode MS" w:hAnsi="Arial Unicode MS" w:cs="Arial Unicode MS" w:hint="eastAsia"/>
          <w:szCs w:val="21"/>
        </w:rPr>
        <w:t xml:space="preserve"> </w:t>
      </w:r>
      <w:r w:rsidRPr="00E8424F">
        <w:rPr>
          <w:rFonts w:ascii="Arial Unicode MS" w:eastAsia="Arial Unicode MS" w:hAnsi="Arial Unicode MS" w:cs="Arial Unicode MS"/>
          <w:szCs w:val="21"/>
        </w:rPr>
        <w:t>seroconversion, but no HBsAg clearance occurred.</w:t>
      </w:r>
    </w:p>
    <w:p w:rsidR="00002CE5" w:rsidRPr="00E8424F" w:rsidRDefault="00002CE5" w:rsidP="00002CE5">
      <w:pPr>
        <w:autoSpaceDE w:val="0"/>
        <w:autoSpaceDN w:val="0"/>
        <w:adjustRightInd w:val="0"/>
        <w:rPr>
          <w:rFonts w:ascii="Arial Unicode MS" w:eastAsia="Arial Unicode MS" w:hAnsi="Arial Unicode MS" w:cs="Arial Unicode MS"/>
          <w:szCs w:val="21"/>
        </w:rPr>
      </w:pPr>
      <w:r w:rsidRPr="00E8424F">
        <w:rPr>
          <w:rFonts w:ascii="Arial Unicode MS" w:eastAsia="Arial Unicode MS" w:hAnsi="Arial Unicode MS" w:cs="Arial Unicode MS"/>
          <w:szCs w:val="21"/>
        </w:rPr>
        <w:t xml:space="preserve">(3) At week 96 HBeAg seroconversion rate was 45.5% </w:t>
      </w:r>
      <w:r w:rsidRPr="00E8424F">
        <w:rPr>
          <w:rFonts w:ascii="Arial Unicode MS" w:eastAsia="Arial Unicode MS" w:hAnsi="Arial Unicode MS" w:cs="Arial Unicode MS"/>
          <w:szCs w:val="21"/>
        </w:rPr>
        <w:lastRenderedPageBreak/>
        <w:t>and 20.8% in 1~7 and 7~15 year old group,</w:t>
      </w:r>
      <w:r>
        <w:rPr>
          <w:rFonts w:ascii="Arial Unicode MS" w:eastAsia="Arial Unicode MS" w:hAnsi="Arial Unicode MS" w:cs="Arial Unicode MS" w:hint="eastAsia"/>
          <w:szCs w:val="21"/>
        </w:rPr>
        <w:t xml:space="preserve"> </w:t>
      </w:r>
      <w:r w:rsidRPr="00E8424F">
        <w:rPr>
          <w:rFonts w:ascii="Arial Unicode MS" w:eastAsia="Arial Unicode MS" w:hAnsi="Arial Unicode MS" w:cs="Arial Unicode MS"/>
          <w:szCs w:val="21"/>
        </w:rPr>
        <w:t>respectively(P=0.075); and HBsAg clearance rate was 36.4% and 8.3% in 1~7 and 7~15 year old group,</w:t>
      </w:r>
      <w:r>
        <w:rPr>
          <w:rFonts w:ascii="Arial Unicode MS" w:eastAsia="Arial Unicode MS" w:hAnsi="Arial Unicode MS" w:cs="Arial Unicode MS" w:hint="eastAsia"/>
          <w:szCs w:val="21"/>
        </w:rPr>
        <w:t xml:space="preserve"> </w:t>
      </w:r>
      <w:r w:rsidRPr="00E8424F">
        <w:rPr>
          <w:rFonts w:ascii="Arial Unicode MS" w:eastAsia="Arial Unicode MS" w:hAnsi="Arial Unicode MS" w:cs="Arial Unicode MS"/>
          <w:szCs w:val="21"/>
        </w:rPr>
        <w:t>respectively(P=0.021). HBeAg seroconversion rate was 5.6% and 50% in patients with normal ALT and abnormal</w:t>
      </w:r>
      <w:r>
        <w:rPr>
          <w:rFonts w:ascii="Arial Unicode MS" w:eastAsia="Arial Unicode MS" w:hAnsi="Arial Unicode MS" w:cs="Arial Unicode MS" w:hint="eastAsia"/>
          <w:szCs w:val="21"/>
        </w:rPr>
        <w:t xml:space="preserve"> </w:t>
      </w:r>
      <w:r w:rsidRPr="00E8424F">
        <w:rPr>
          <w:rFonts w:ascii="Arial Unicode MS" w:eastAsia="Arial Unicode MS" w:hAnsi="Arial Unicode MS" w:cs="Arial Unicode MS"/>
          <w:szCs w:val="21"/>
        </w:rPr>
        <w:t>ALT, respectively(p=0.005); HBsAg clearence rate was 5.6% and 32.1% in patients with normal ALT and abnormal</w:t>
      </w:r>
      <w:r>
        <w:rPr>
          <w:rFonts w:ascii="Arial Unicode MS" w:eastAsia="Arial Unicode MS" w:hAnsi="Arial Unicode MS" w:cs="Arial Unicode MS" w:hint="eastAsia"/>
          <w:szCs w:val="21"/>
        </w:rPr>
        <w:t xml:space="preserve"> </w:t>
      </w:r>
      <w:r w:rsidRPr="00E8424F">
        <w:rPr>
          <w:rFonts w:ascii="Arial Unicode MS" w:eastAsia="Arial Unicode MS" w:hAnsi="Arial Unicode MS" w:cs="Arial Unicode MS"/>
          <w:szCs w:val="21"/>
        </w:rPr>
        <w:t>ALT, respectively(P=0.077). The gender of children</w:t>
      </w:r>
      <w:r>
        <w:rPr>
          <w:rFonts w:ascii="Arial Unicode MS" w:eastAsia="Arial Unicode MS" w:hAnsi="Arial Unicode MS" w:cs="Arial Unicode MS" w:hint="eastAsia"/>
          <w:szCs w:val="21"/>
          <w:lang w:eastAsia="zh-CN"/>
        </w:rPr>
        <w:t xml:space="preserve">, </w:t>
      </w:r>
      <w:r w:rsidRPr="00E8424F">
        <w:rPr>
          <w:rFonts w:ascii="Arial Unicode MS" w:eastAsia="Arial Unicode MS" w:hAnsi="Arial Unicode MS" w:cs="Arial Unicode MS"/>
          <w:szCs w:val="21"/>
        </w:rPr>
        <w:t>whether they are MTCT, the genotype of HBVDNA and baseline</w:t>
      </w:r>
      <w:r>
        <w:rPr>
          <w:rFonts w:ascii="Arial Unicode MS" w:eastAsia="Arial Unicode MS" w:hAnsi="Arial Unicode MS" w:cs="Arial Unicode MS" w:hint="eastAsia"/>
          <w:szCs w:val="21"/>
        </w:rPr>
        <w:t xml:space="preserve"> </w:t>
      </w:r>
      <w:r w:rsidRPr="00E8424F">
        <w:rPr>
          <w:rFonts w:ascii="Arial Unicode MS" w:eastAsia="Arial Unicode MS" w:hAnsi="Arial Unicode MS" w:cs="Arial Unicode MS"/>
          <w:szCs w:val="21"/>
        </w:rPr>
        <w:t>HBsAg level are not significantly associated with antiviral effect.</w:t>
      </w:r>
    </w:p>
    <w:p w:rsidR="00002CE5" w:rsidRPr="00E8424F" w:rsidRDefault="00002CE5" w:rsidP="00002CE5">
      <w:pPr>
        <w:autoSpaceDE w:val="0"/>
        <w:autoSpaceDN w:val="0"/>
        <w:adjustRightInd w:val="0"/>
        <w:rPr>
          <w:rFonts w:ascii="Arial Unicode MS" w:eastAsia="Arial Unicode MS" w:hAnsi="Arial Unicode MS" w:cs="Arial Unicode MS"/>
          <w:szCs w:val="21"/>
        </w:rPr>
      </w:pPr>
      <w:r w:rsidRPr="00E8424F">
        <w:rPr>
          <w:rFonts w:ascii="Arial Unicode MS" w:eastAsia="Arial Unicode MS" w:hAnsi="Arial Unicode MS" w:cs="Arial Unicode MS"/>
          <w:szCs w:val="21"/>
        </w:rPr>
        <w:t>(4) Multiple logistic regression analysis revealed HBeAg seroconversion rate was correlated with non-MTCT</w:t>
      </w:r>
      <w:r>
        <w:rPr>
          <w:rFonts w:ascii="Arial Unicode MS" w:eastAsia="Arial Unicode MS" w:hAnsi="Arial Unicode MS" w:cs="Arial Unicode MS" w:hint="eastAsia"/>
          <w:szCs w:val="21"/>
        </w:rPr>
        <w:t xml:space="preserve"> </w:t>
      </w:r>
      <w:r w:rsidRPr="00E8424F">
        <w:rPr>
          <w:rFonts w:ascii="Arial Unicode MS" w:eastAsia="Arial Unicode MS" w:hAnsi="Arial Unicode MS" w:cs="Arial Unicode MS"/>
          <w:szCs w:val="21"/>
        </w:rPr>
        <w:t>transmission and abnormal ALT; HBsAg clearance rate was correlated with the age of children.</w:t>
      </w:r>
    </w:p>
    <w:p w:rsidR="00002CE5" w:rsidRPr="00E8424F" w:rsidRDefault="00002CE5" w:rsidP="00002CE5">
      <w:pPr>
        <w:autoSpaceDE w:val="0"/>
        <w:autoSpaceDN w:val="0"/>
        <w:adjustRightInd w:val="0"/>
        <w:rPr>
          <w:rFonts w:ascii="Arial Unicode MS" w:eastAsia="Arial Unicode MS" w:hAnsi="Arial Unicode MS" w:cs="Arial Unicode MS"/>
          <w:szCs w:val="21"/>
        </w:rPr>
      </w:pPr>
      <w:r w:rsidRPr="00E8424F">
        <w:rPr>
          <w:rFonts w:ascii="Arial Unicode MS" w:eastAsia="Arial Unicode MS" w:hAnsi="Arial Unicode MS" w:cs="Arial Unicode MS"/>
          <w:szCs w:val="21"/>
        </w:rPr>
        <w:t>(5) no serious adverse effects were observed</w:t>
      </w:r>
      <w:r w:rsidRPr="00F40803">
        <w:rPr>
          <w:rFonts w:ascii="Arial Unicode MS" w:eastAsia="Arial Unicode MS" w:hAnsi="Arial Unicode MS" w:cs="Arial Unicode MS"/>
          <w:szCs w:val="21"/>
        </w:rPr>
        <w:t xml:space="preserve"> </w:t>
      </w:r>
      <w:r>
        <w:rPr>
          <w:rFonts w:ascii="Arial Unicode MS" w:eastAsia="Arial Unicode MS" w:hAnsi="Arial Unicode MS" w:cs="Arial Unicode MS" w:hint="eastAsia"/>
          <w:szCs w:val="21"/>
          <w:lang w:eastAsia="zh-CN"/>
        </w:rPr>
        <w:t>u</w:t>
      </w:r>
      <w:r w:rsidRPr="00E8424F">
        <w:rPr>
          <w:rFonts w:ascii="Arial Unicode MS" w:eastAsia="Arial Unicode MS" w:hAnsi="Arial Unicode MS" w:cs="Arial Unicode MS"/>
          <w:szCs w:val="21"/>
        </w:rPr>
        <w:t>sing IFN.</w:t>
      </w:r>
    </w:p>
    <w:p w:rsidR="00002CE5" w:rsidRPr="00E8424F" w:rsidRDefault="00002CE5" w:rsidP="00002CE5">
      <w:pPr>
        <w:autoSpaceDE w:val="0"/>
        <w:autoSpaceDN w:val="0"/>
        <w:adjustRightInd w:val="0"/>
        <w:rPr>
          <w:rFonts w:ascii="Arial Unicode MS" w:eastAsia="Arial Unicode MS" w:hAnsi="Arial Unicode MS" w:cs="Arial Unicode MS"/>
          <w:szCs w:val="21"/>
        </w:rPr>
      </w:pPr>
      <w:r w:rsidRPr="00E8424F">
        <w:rPr>
          <w:rFonts w:ascii="Arial Unicode MS" w:eastAsia="Arial Unicode MS" w:hAnsi="Arial Unicode MS" w:cs="Arial Unicode MS"/>
          <w:szCs w:val="21"/>
        </w:rPr>
        <w:t>Conclusion:</w:t>
      </w:r>
    </w:p>
    <w:p w:rsidR="00002CE5" w:rsidRPr="00E8424F" w:rsidRDefault="00002CE5" w:rsidP="00002CE5">
      <w:pPr>
        <w:autoSpaceDE w:val="0"/>
        <w:autoSpaceDN w:val="0"/>
        <w:adjustRightInd w:val="0"/>
        <w:rPr>
          <w:rFonts w:ascii="Arial Unicode MS" w:eastAsia="Arial Unicode MS" w:hAnsi="Arial Unicode MS" w:cs="Arial Unicode MS"/>
          <w:szCs w:val="21"/>
        </w:rPr>
      </w:pPr>
      <w:r w:rsidRPr="00E8424F">
        <w:rPr>
          <w:rFonts w:ascii="Arial Unicode MS" w:eastAsia="Arial Unicode MS" w:hAnsi="Arial Unicode MS" w:cs="Arial Unicode MS"/>
          <w:szCs w:val="21"/>
        </w:rPr>
        <w:t>A part of children with immune-tolerant CHB under the age of 7 years and mild abnormal ALT could achieve HBsAg</w:t>
      </w:r>
      <w:r>
        <w:rPr>
          <w:rFonts w:ascii="Arial Unicode MS" w:eastAsia="Arial Unicode MS" w:hAnsi="Arial Unicode MS" w:cs="Arial Unicode MS" w:hint="eastAsia"/>
          <w:szCs w:val="21"/>
        </w:rPr>
        <w:t xml:space="preserve"> </w:t>
      </w:r>
      <w:r w:rsidRPr="00E8424F">
        <w:rPr>
          <w:rFonts w:ascii="Arial Unicode MS" w:eastAsia="Arial Unicode MS" w:hAnsi="Arial Unicode MS" w:cs="Arial Unicode MS"/>
          <w:szCs w:val="21"/>
        </w:rPr>
        <w:t>clearance and HBeAg seroconversion with antiviral therapy, and possesses good safety.</w:t>
      </w:r>
    </w:p>
    <w:p w:rsidR="00002CE5" w:rsidRPr="00F40803" w:rsidRDefault="00002CE5" w:rsidP="00002CE5">
      <w:pPr>
        <w:pStyle w:val="a5"/>
        <w:spacing w:before="3"/>
        <w:rPr>
          <w:rFonts w:ascii="Minion Pro" w:eastAsiaTheme="minorEastAsia" w:hint="eastAsia"/>
          <w:sz w:val="26"/>
          <w:lang w:eastAsia="zh-CN"/>
        </w:rPr>
      </w:pPr>
    </w:p>
    <w:p w:rsidR="00002CE5" w:rsidRPr="00F40803" w:rsidRDefault="00002CE5" w:rsidP="00002CE5">
      <w:pPr>
        <w:pStyle w:val="a5"/>
        <w:spacing w:before="3"/>
        <w:rPr>
          <w:rFonts w:ascii="Minion Pro" w:eastAsiaTheme="minorEastAsia" w:hint="eastAsia"/>
          <w:sz w:val="26"/>
          <w:lang w:eastAsia="zh-CN"/>
        </w:rPr>
      </w:pPr>
    </w:p>
    <w:p w:rsidR="00C5170D" w:rsidRDefault="00C5170D"/>
    <w:sectPr w:rsidR="00C5170D" w:rsidSect="00002CE5"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170D" w:rsidRDefault="00C5170D" w:rsidP="00002CE5">
      <w:r>
        <w:separator/>
      </w:r>
    </w:p>
  </w:endnote>
  <w:endnote w:type="continuationSeparator" w:id="1">
    <w:p w:rsidR="00C5170D" w:rsidRDefault="00C5170D" w:rsidP="00002C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170D" w:rsidRDefault="00C5170D" w:rsidP="00002CE5">
      <w:r>
        <w:separator/>
      </w:r>
    </w:p>
  </w:footnote>
  <w:footnote w:type="continuationSeparator" w:id="1">
    <w:p w:rsidR="00C5170D" w:rsidRDefault="00C5170D" w:rsidP="00002CE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02CE5"/>
    <w:rsid w:val="00002CE5"/>
    <w:rsid w:val="00C517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02CE5"/>
    <w:pPr>
      <w:widowControl w:val="0"/>
    </w:pPr>
    <w:rPr>
      <w:rFonts w:ascii="Tw Cen MT" w:eastAsia="Tw Cen MT" w:hAnsi="Tw Cen MT" w:cs="Tw Cen MT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02C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002CE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02CE5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002CE5"/>
    <w:rPr>
      <w:sz w:val="18"/>
      <w:szCs w:val="18"/>
    </w:rPr>
  </w:style>
  <w:style w:type="paragraph" w:styleId="a5">
    <w:name w:val="Body Text"/>
    <w:basedOn w:val="a"/>
    <w:link w:val="Char1"/>
    <w:uiPriority w:val="1"/>
    <w:qFormat/>
    <w:rsid w:val="00002CE5"/>
    <w:rPr>
      <w:sz w:val="18"/>
      <w:szCs w:val="18"/>
    </w:rPr>
  </w:style>
  <w:style w:type="character" w:customStyle="1" w:styleId="Char1">
    <w:name w:val="正文文本 Char"/>
    <w:basedOn w:val="a0"/>
    <w:link w:val="a5"/>
    <w:uiPriority w:val="1"/>
    <w:rsid w:val="00002CE5"/>
    <w:rPr>
      <w:rFonts w:ascii="Tw Cen MT" w:eastAsia="Tw Cen MT" w:hAnsi="Tw Cen MT" w:cs="Tw Cen MT"/>
      <w:kern w:val="0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395</Words>
  <Characters>2255</Characters>
  <Application>Microsoft Office Word</Application>
  <DocSecurity>0</DocSecurity>
  <Lines>18</Lines>
  <Paragraphs>5</Paragraphs>
  <ScaleCrop>false</ScaleCrop>
  <Company/>
  <LinksUpToDate>false</LinksUpToDate>
  <CharactersWithSpaces>2645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wuxiqun</dc:creator>
  <cp:keywords/>
  <dc:description/>
  <cp:lastModifiedBy>wuxiqun</cp:lastModifiedBy>
  <cp:revision>2</cp:revision>
  <dcterms:created xsi:type="dcterms:W3CDTF">2017-06-04T14:43:00Z</dcterms:created>
  <dcterms:modified xsi:type="dcterms:W3CDTF">2017-06-04T14:43:00Z</dcterms:modified>
</cp:coreProperties>
</file>