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75C" w:rsidRPr="0053275C" w:rsidRDefault="008B6573" w:rsidP="008B6573">
      <w:pPr>
        <w:widowControl w:val="0"/>
        <w:autoSpaceDE w:val="0"/>
        <w:autoSpaceDN w:val="0"/>
        <w:adjustRightInd w:val="0"/>
        <w:spacing w:line="240" w:lineRule="auto"/>
        <w:rPr>
          <w:rFonts w:ascii="Times New Roman" w:hAnsi="Times New Roman"/>
          <w:b/>
          <w:bCs/>
          <w:sz w:val="24"/>
          <w:szCs w:val="24"/>
        </w:rPr>
      </w:pPr>
      <w:r w:rsidRPr="0053275C">
        <w:rPr>
          <w:rFonts w:ascii="Times New Roman" w:hAnsi="Times New Roman"/>
          <w:b/>
          <w:bCs/>
          <w:sz w:val="24"/>
          <w:szCs w:val="24"/>
        </w:rPr>
        <w:t>EFFECTIVENESS OF ZINC SUPPLEMENTATION AS PROPHYLAXIS FOR STUNTING IN CHILDREN: AN EVIDENCE-BASED CASE REPORT</w:t>
      </w:r>
    </w:p>
    <w:p w:rsidR="0053275C" w:rsidRPr="0053275C" w:rsidRDefault="0053275C" w:rsidP="008B6573">
      <w:pPr>
        <w:widowControl w:val="0"/>
        <w:autoSpaceDE w:val="0"/>
        <w:autoSpaceDN w:val="0"/>
        <w:adjustRightInd w:val="0"/>
        <w:spacing w:after="0" w:line="240" w:lineRule="auto"/>
        <w:rPr>
          <w:rFonts w:ascii="Times New Roman" w:hAnsi="Times New Roman"/>
          <w:b/>
          <w:i/>
          <w:sz w:val="24"/>
          <w:szCs w:val="24"/>
          <w:vertAlign w:val="superscript"/>
        </w:rPr>
      </w:pPr>
      <w:proofErr w:type="spellStart"/>
      <w:r w:rsidRPr="0053275C">
        <w:rPr>
          <w:rFonts w:ascii="Times New Roman" w:hAnsi="Times New Roman"/>
          <w:b/>
          <w:i/>
          <w:sz w:val="24"/>
          <w:szCs w:val="24"/>
        </w:rPr>
        <w:t>Rahmah</w:t>
      </w:r>
      <w:proofErr w:type="spellEnd"/>
      <w:r w:rsidRPr="0053275C">
        <w:rPr>
          <w:rFonts w:ascii="Times New Roman" w:hAnsi="Times New Roman"/>
          <w:b/>
          <w:i/>
          <w:sz w:val="24"/>
          <w:szCs w:val="24"/>
        </w:rPr>
        <w:t xml:space="preserve"> Amran</w:t>
      </w:r>
      <w:r w:rsidRPr="0053275C">
        <w:rPr>
          <w:rFonts w:ascii="Times New Roman" w:hAnsi="Times New Roman"/>
          <w:b/>
          <w:i/>
          <w:sz w:val="24"/>
          <w:szCs w:val="24"/>
          <w:vertAlign w:val="superscript"/>
        </w:rPr>
        <w:t>1</w:t>
      </w:r>
      <w:r w:rsidRPr="0053275C">
        <w:rPr>
          <w:rFonts w:ascii="Times New Roman" w:hAnsi="Times New Roman"/>
          <w:b/>
          <w:i/>
          <w:sz w:val="24"/>
          <w:szCs w:val="24"/>
        </w:rPr>
        <w:t xml:space="preserve">, </w:t>
      </w:r>
      <w:proofErr w:type="spellStart"/>
      <w:r w:rsidRPr="0053275C">
        <w:rPr>
          <w:rFonts w:ascii="Times New Roman" w:hAnsi="Times New Roman"/>
          <w:b/>
          <w:i/>
          <w:sz w:val="24"/>
          <w:szCs w:val="24"/>
        </w:rPr>
        <w:t>Titis</w:t>
      </w:r>
      <w:proofErr w:type="spellEnd"/>
      <w:r w:rsidRPr="0053275C">
        <w:rPr>
          <w:rFonts w:ascii="Times New Roman" w:hAnsi="Times New Roman"/>
          <w:b/>
          <w:i/>
          <w:sz w:val="24"/>
          <w:szCs w:val="24"/>
        </w:rPr>
        <w:t xml:space="preserve"> Prawitasari</w:t>
      </w:r>
      <w:r w:rsidRPr="0053275C">
        <w:rPr>
          <w:rFonts w:ascii="Times New Roman" w:hAnsi="Times New Roman"/>
          <w:b/>
          <w:i/>
          <w:sz w:val="24"/>
          <w:szCs w:val="24"/>
          <w:vertAlign w:val="superscript"/>
        </w:rPr>
        <w:t>2</w:t>
      </w:r>
    </w:p>
    <w:p w:rsidR="0053275C" w:rsidRPr="0053275C" w:rsidRDefault="0053275C" w:rsidP="008B6573">
      <w:pPr>
        <w:widowControl w:val="0"/>
        <w:autoSpaceDE w:val="0"/>
        <w:autoSpaceDN w:val="0"/>
        <w:adjustRightInd w:val="0"/>
        <w:spacing w:after="0" w:line="240" w:lineRule="auto"/>
        <w:rPr>
          <w:rFonts w:ascii="Times New Roman" w:hAnsi="Times New Roman"/>
          <w:b/>
          <w:i/>
          <w:sz w:val="24"/>
          <w:szCs w:val="24"/>
        </w:rPr>
      </w:pPr>
    </w:p>
    <w:p w:rsidR="0053275C" w:rsidRPr="0053275C" w:rsidRDefault="0053275C" w:rsidP="008B6573">
      <w:pPr>
        <w:widowControl w:val="0"/>
        <w:numPr>
          <w:ilvl w:val="0"/>
          <w:numId w:val="1"/>
        </w:numPr>
        <w:tabs>
          <w:tab w:val="clear" w:pos="720"/>
          <w:tab w:val="num" w:pos="120"/>
        </w:tabs>
        <w:overflowPunct w:val="0"/>
        <w:autoSpaceDE w:val="0"/>
        <w:autoSpaceDN w:val="0"/>
        <w:adjustRightInd w:val="0"/>
        <w:spacing w:after="0" w:line="240" w:lineRule="auto"/>
        <w:ind w:left="120" w:hanging="120"/>
        <w:jc w:val="both"/>
        <w:rPr>
          <w:rFonts w:ascii="Times New Roman" w:hAnsi="Times New Roman"/>
          <w:sz w:val="24"/>
          <w:szCs w:val="24"/>
          <w:vertAlign w:val="superscript"/>
        </w:rPr>
      </w:pPr>
      <w:r w:rsidRPr="0053275C">
        <w:rPr>
          <w:rFonts w:ascii="Times New Roman" w:hAnsi="Times New Roman"/>
          <w:sz w:val="24"/>
          <w:szCs w:val="24"/>
        </w:rPr>
        <w:t xml:space="preserve">Faculty of Medicine, </w:t>
      </w:r>
      <w:proofErr w:type="spellStart"/>
      <w:r w:rsidRPr="0053275C">
        <w:rPr>
          <w:rFonts w:ascii="Times New Roman" w:hAnsi="Times New Roman"/>
          <w:sz w:val="24"/>
          <w:szCs w:val="24"/>
        </w:rPr>
        <w:t>Universitas</w:t>
      </w:r>
      <w:proofErr w:type="spellEnd"/>
      <w:r w:rsidRPr="0053275C">
        <w:rPr>
          <w:rFonts w:ascii="Times New Roman" w:hAnsi="Times New Roman"/>
          <w:sz w:val="24"/>
          <w:szCs w:val="24"/>
        </w:rPr>
        <w:t xml:space="preserve"> Indonesia</w:t>
      </w:r>
    </w:p>
    <w:p w:rsidR="00441D9D" w:rsidRPr="0053275C" w:rsidRDefault="0053275C" w:rsidP="008B6573">
      <w:pPr>
        <w:spacing w:line="240" w:lineRule="auto"/>
        <w:rPr>
          <w:rFonts w:ascii="Times New Roman" w:hAnsi="Times New Roman"/>
          <w:sz w:val="24"/>
          <w:szCs w:val="24"/>
        </w:rPr>
      </w:pPr>
      <w:r w:rsidRPr="0053275C">
        <w:rPr>
          <w:rFonts w:ascii="Times New Roman" w:hAnsi="Times New Roman"/>
          <w:sz w:val="24"/>
          <w:szCs w:val="24"/>
          <w:vertAlign w:val="superscript"/>
        </w:rPr>
        <w:t>2</w:t>
      </w:r>
      <w:r w:rsidRPr="0053275C">
        <w:rPr>
          <w:rFonts w:ascii="Times New Roman" w:hAnsi="Times New Roman"/>
          <w:sz w:val="24"/>
          <w:szCs w:val="24"/>
        </w:rPr>
        <w:t xml:space="preserve">Departement of Pediatrics, Faculty of Medicine </w:t>
      </w:r>
      <w:proofErr w:type="spellStart"/>
      <w:r w:rsidRPr="0053275C">
        <w:rPr>
          <w:rFonts w:ascii="Times New Roman" w:hAnsi="Times New Roman"/>
          <w:sz w:val="24"/>
          <w:szCs w:val="24"/>
        </w:rPr>
        <w:t>Universitas</w:t>
      </w:r>
      <w:proofErr w:type="spellEnd"/>
      <w:r w:rsidRPr="0053275C">
        <w:rPr>
          <w:rFonts w:ascii="Times New Roman" w:hAnsi="Times New Roman"/>
          <w:sz w:val="24"/>
          <w:szCs w:val="24"/>
        </w:rPr>
        <w:t xml:space="preserve"> Indonesia/</w:t>
      </w:r>
      <w:proofErr w:type="spellStart"/>
      <w:r w:rsidRPr="0053275C">
        <w:rPr>
          <w:rFonts w:ascii="Times New Roman" w:hAnsi="Times New Roman"/>
          <w:sz w:val="24"/>
          <w:szCs w:val="24"/>
        </w:rPr>
        <w:t>Cipto</w:t>
      </w:r>
      <w:proofErr w:type="spellEnd"/>
      <w:r w:rsidRPr="0053275C">
        <w:rPr>
          <w:rFonts w:ascii="Times New Roman" w:hAnsi="Times New Roman"/>
          <w:sz w:val="24"/>
          <w:szCs w:val="24"/>
        </w:rPr>
        <w:t xml:space="preserve"> </w:t>
      </w:r>
      <w:proofErr w:type="spellStart"/>
      <w:r w:rsidRPr="0053275C">
        <w:rPr>
          <w:rFonts w:ascii="Times New Roman" w:hAnsi="Times New Roman"/>
          <w:sz w:val="24"/>
          <w:szCs w:val="24"/>
        </w:rPr>
        <w:t>Mangunkusumo</w:t>
      </w:r>
      <w:proofErr w:type="spellEnd"/>
      <w:r w:rsidRPr="0053275C">
        <w:rPr>
          <w:rFonts w:ascii="Times New Roman" w:hAnsi="Times New Roman"/>
          <w:sz w:val="24"/>
          <w:szCs w:val="24"/>
        </w:rPr>
        <w:t xml:space="preserve"> Hospital, Jakarta Indonesia</w:t>
      </w:r>
    </w:p>
    <w:p w:rsidR="0053275C" w:rsidRPr="0053275C" w:rsidRDefault="0053275C" w:rsidP="008B6573">
      <w:pPr>
        <w:spacing w:line="240" w:lineRule="auto"/>
        <w:rPr>
          <w:rFonts w:ascii="Times New Roman" w:hAnsi="Times New Roman"/>
          <w:sz w:val="24"/>
          <w:szCs w:val="24"/>
        </w:rPr>
      </w:pPr>
    </w:p>
    <w:p w:rsidR="0053275C" w:rsidRDefault="0053275C" w:rsidP="008B6573">
      <w:pPr>
        <w:spacing w:line="240" w:lineRule="auto"/>
        <w:rPr>
          <w:rFonts w:ascii="Times New Roman" w:hAnsi="Times New Roman"/>
          <w:b/>
          <w:sz w:val="24"/>
          <w:szCs w:val="24"/>
        </w:rPr>
      </w:pPr>
      <w:r w:rsidRPr="0053275C">
        <w:rPr>
          <w:rFonts w:ascii="Times New Roman" w:hAnsi="Times New Roman"/>
          <w:b/>
          <w:sz w:val="24"/>
          <w:szCs w:val="24"/>
        </w:rPr>
        <w:t>ABSTRACT</w:t>
      </w:r>
    </w:p>
    <w:p w:rsidR="00137580" w:rsidRDefault="00137580" w:rsidP="008B6573">
      <w:pPr>
        <w:spacing w:line="240" w:lineRule="auto"/>
        <w:rPr>
          <w:rFonts w:ascii="Times New Roman" w:hAnsi="Times New Roman"/>
          <w:b/>
          <w:sz w:val="24"/>
          <w:szCs w:val="24"/>
        </w:rPr>
      </w:pPr>
      <w:r>
        <w:rPr>
          <w:rFonts w:ascii="Times New Roman" w:hAnsi="Times New Roman"/>
          <w:b/>
          <w:sz w:val="24"/>
          <w:szCs w:val="24"/>
        </w:rPr>
        <w:t>Introduction</w:t>
      </w:r>
    </w:p>
    <w:p w:rsidR="00673C39" w:rsidRDefault="00250710" w:rsidP="008B6573">
      <w:pPr>
        <w:spacing w:line="240" w:lineRule="auto"/>
        <w:rPr>
          <w:rFonts w:ascii="Times New Roman" w:hAnsi="Times New Roman"/>
          <w:sz w:val="24"/>
          <w:szCs w:val="24"/>
        </w:rPr>
      </w:pPr>
      <w:r>
        <w:rPr>
          <w:rFonts w:ascii="Times New Roman" w:hAnsi="Times New Roman"/>
          <w:sz w:val="24"/>
          <w:szCs w:val="24"/>
        </w:rPr>
        <w:t xml:space="preserve">Stunting is one of many health issues in children that has been a great burden for so many years. Stunting is highly associated with malnutrition. It can lead to a number of disorders, including defect of immune system, </w:t>
      </w:r>
      <w:r w:rsidR="002730C2">
        <w:rPr>
          <w:rFonts w:ascii="Times New Roman" w:hAnsi="Times New Roman"/>
          <w:sz w:val="24"/>
          <w:szCs w:val="24"/>
        </w:rPr>
        <w:t>infections, and impairment of cognitive development which increase the rate of morbidity and mortality in patients with stunting and malnutrition. It has been postulated that zinc supplementation has a potential use for prevention of stunting in children. Unfortunately, the results were inconsistent over studies. Thus, this study was conducted to evaluate the effectiveness of zinc supplementation in preventing the incidence of stunting in children under two years old.</w:t>
      </w:r>
    </w:p>
    <w:p w:rsidR="00673C39" w:rsidRDefault="00673C39" w:rsidP="008B6573">
      <w:pPr>
        <w:widowControl w:val="0"/>
        <w:overflowPunct w:val="0"/>
        <w:autoSpaceDE w:val="0"/>
        <w:autoSpaceDN w:val="0"/>
        <w:adjustRightInd w:val="0"/>
        <w:spacing w:after="0" w:line="240" w:lineRule="auto"/>
        <w:ind w:right="180"/>
        <w:jc w:val="both"/>
        <w:rPr>
          <w:rFonts w:ascii="Times New Roman" w:hAnsi="Times New Roman"/>
          <w:b/>
          <w:sz w:val="24"/>
          <w:szCs w:val="24"/>
        </w:rPr>
      </w:pPr>
      <w:r>
        <w:rPr>
          <w:rFonts w:ascii="Times New Roman" w:hAnsi="Times New Roman"/>
          <w:b/>
          <w:sz w:val="24"/>
          <w:szCs w:val="24"/>
        </w:rPr>
        <w:t>Methods:</w:t>
      </w:r>
    </w:p>
    <w:p w:rsidR="00673C39" w:rsidRPr="00673C39" w:rsidRDefault="00673C39" w:rsidP="008B6573">
      <w:pPr>
        <w:widowControl w:val="0"/>
        <w:overflowPunct w:val="0"/>
        <w:autoSpaceDE w:val="0"/>
        <w:autoSpaceDN w:val="0"/>
        <w:adjustRightInd w:val="0"/>
        <w:spacing w:after="0" w:line="240" w:lineRule="auto"/>
        <w:ind w:right="180"/>
        <w:jc w:val="both"/>
        <w:rPr>
          <w:rFonts w:ascii="Times New Roman" w:hAnsi="Times New Roman"/>
          <w:sz w:val="24"/>
          <w:szCs w:val="24"/>
        </w:rPr>
      </w:pPr>
      <w:r>
        <w:rPr>
          <w:rFonts w:ascii="Times New Roman" w:hAnsi="Times New Roman"/>
          <w:sz w:val="24"/>
          <w:szCs w:val="24"/>
        </w:rPr>
        <w:t>The literature search was done through several scientific databases, including PubMed, Cochrane, EBSCO, and Science Direct. A total of two randomized controlled trial (RCT) were selected based on inclusion and exclusion criteria. Further assessment was done to evaluate its validity, importance and applicability using worksheet that is suitable for therapeutic studies.</w:t>
      </w:r>
    </w:p>
    <w:p w:rsidR="0053275C" w:rsidRPr="0053275C" w:rsidRDefault="0053275C" w:rsidP="008B6573">
      <w:pPr>
        <w:widowControl w:val="0"/>
        <w:autoSpaceDE w:val="0"/>
        <w:autoSpaceDN w:val="0"/>
        <w:adjustRightInd w:val="0"/>
        <w:spacing w:after="0" w:line="240" w:lineRule="auto"/>
        <w:rPr>
          <w:rFonts w:ascii="Times New Roman" w:hAnsi="Times New Roman"/>
          <w:sz w:val="24"/>
          <w:szCs w:val="24"/>
        </w:rPr>
      </w:pPr>
    </w:p>
    <w:p w:rsidR="0053275C" w:rsidRDefault="00673C39" w:rsidP="008B6573">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Results</w:t>
      </w:r>
    </w:p>
    <w:p w:rsidR="00673C39" w:rsidRPr="00673C39" w:rsidRDefault="00673C39" w:rsidP="008B6573">
      <w:pPr>
        <w:widowControl w:val="0"/>
        <w:autoSpaceDE w:val="0"/>
        <w:autoSpaceDN w:val="0"/>
        <w:adjustRightInd w:val="0"/>
        <w:spacing w:after="0" w:line="240" w:lineRule="auto"/>
        <w:rPr>
          <w:rFonts w:ascii="Times New Roman" w:hAnsi="Times New Roman"/>
          <w:sz w:val="24"/>
          <w:szCs w:val="24"/>
        </w:rPr>
      </w:pPr>
      <w:r>
        <w:rPr>
          <w:rFonts w:ascii="Times New Roman" w:hAnsi="Times New Roman"/>
          <w:bCs/>
          <w:sz w:val="24"/>
          <w:szCs w:val="24"/>
        </w:rPr>
        <w:t>According</w:t>
      </w:r>
      <w:r w:rsidR="001F4743">
        <w:rPr>
          <w:rFonts w:ascii="Times New Roman" w:hAnsi="Times New Roman"/>
          <w:bCs/>
          <w:sz w:val="24"/>
          <w:szCs w:val="24"/>
        </w:rPr>
        <w:t xml:space="preserve"> to the articles assessed, it was found that there was no significant effect of zinc supplementation in preventing the occurrence of stunting in children.</w:t>
      </w:r>
      <w:r w:rsidR="00250710">
        <w:rPr>
          <w:rFonts w:ascii="Times New Roman" w:hAnsi="Times New Roman"/>
          <w:bCs/>
          <w:sz w:val="24"/>
          <w:szCs w:val="24"/>
        </w:rPr>
        <w:t xml:space="preserve"> The increase of height in both control and experiment group were comparable.</w:t>
      </w:r>
    </w:p>
    <w:p w:rsidR="0053275C" w:rsidRPr="0053275C" w:rsidRDefault="0053275C" w:rsidP="008B6573">
      <w:pPr>
        <w:widowControl w:val="0"/>
        <w:autoSpaceDE w:val="0"/>
        <w:autoSpaceDN w:val="0"/>
        <w:adjustRightInd w:val="0"/>
        <w:spacing w:after="0" w:line="240" w:lineRule="auto"/>
        <w:ind w:firstLine="720"/>
        <w:rPr>
          <w:rFonts w:ascii="Times New Roman" w:hAnsi="Times New Roman"/>
          <w:sz w:val="24"/>
          <w:szCs w:val="24"/>
        </w:rPr>
      </w:pPr>
    </w:p>
    <w:p w:rsidR="00250710" w:rsidRDefault="00250710" w:rsidP="008B6573">
      <w:pPr>
        <w:widowControl w:val="0"/>
        <w:overflowPunct w:val="0"/>
        <w:autoSpaceDE w:val="0"/>
        <w:autoSpaceDN w:val="0"/>
        <w:adjustRightInd w:val="0"/>
        <w:spacing w:after="0" w:line="240" w:lineRule="auto"/>
        <w:ind w:right="180"/>
        <w:jc w:val="both"/>
        <w:rPr>
          <w:rFonts w:ascii="Times New Roman" w:hAnsi="Times New Roman"/>
          <w:b/>
          <w:bCs/>
          <w:sz w:val="24"/>
          <w:szCs w:val="24"/>
        </w:rPr>
      </w:pPr>
      <w:r>
        <w:rPr>
          <w:rFonts w:ascii="Times New Roman" w:hAnsi="Times New Roman"/>
          <w:b/>
          <w:bCs/>
          <w:sz w:val="24"/>
          <w:szCs w:val="24"/>
        </w:rPr>
        <w:t>Conclusion</w:t>
      </w:r>
    </w:p>
    <w:p w:rsidR="00250710" w:rsidRPr="00250710" w:rsidRDefault="00250710" w:rsidP="008B6573">
      <w:pPr>
        <w:widowControl w:val="0"/>
        <w:overflowPunct w:val="0"/>
        <w:autoSpaceDE w:val="0"/>
        <w:autoSpaceDN w:val="0"/>
        <w:adjustRightInd w:val="0"/>
        <w:spacing w:after="0" w:line="240" w:lineRule="auto"/>
        <w:ind w:right="180"/>
        <w:jc w:val="both"/>
        <w:rPr>
          <w:rFonts w:ascii="Times New Roman" w:hAnsi="Times New Roman"/>
          <w:bCs/>
          <w:sz w:val="24"/>
          <w:szCs w:val="24"/>
        </w:rPr>
      </w:pPr>
      <w:r>
        <w:rPr>
          <w:rFonts w:ascii="Times New Roman" w:hAnsi="Times New Roman"/>
          <w:bCs/>
          <w:sz w:val="24"/>
          <w:szCs w:val="24"/>
        </w:rPr>
        <w:t>Zinc supplementation give</w:t>
      </w:r>
      <w:bookmarkStart w:id="0" w:name="_GoBack"/>
      <w:bookmarkEnd w:id="0"/>
      <w:r>
        <w:rPr>
          <w:rFonts w:ascii="Times New Roman" w:hAnsi="Times New Roman"/>
          <w:bCs/>
          <w:sz w:val="24"/>
          <w:szCs w:val="24"/>
        </w:rPr>
        <w:t>n for children under two years old is considered to be clinically ineffective for</w:t>
      </w:r>
      <w:r w:rsidR="002730C2">
        <w:rPr>
          <w:rFonts w:ascii="Times New Roman" w:hAnsi="Times New Roman"/>
          <w:bCs/>
          <w:sz w:val="24"/>
          <w:szCs w:val="24"/>
        </w:rPr>
        <w:t xml:space="preserve"> the</w:t>
      </w:r>
      <w:r>
        <w:rPr>
          <w:rFonts w:ascii="Times New Roman" w:hAnsi="Times New Roman"/>
          <w:bCs/>
          <w:sz w:val="24"/>
          <w:szCs w:val="24"/>
        </w:rPr>
        <w:t xml:space="preserve"> prevention of stunting.</w:t>
      </w:r>
    </w:p>
    <w:p w:rsidR="0053275C" w:rsidRPr="0053275C" w:rsidRDefault="0053275C" w:rsidP="008B6573">
      <w:pPr>
        <w:spacing w:line="240" w:lineRule="auto"/>
        <w:rPr>
          <w:sz w:val="24"/>
          <w:szCs w:val="24"/>
        </w:rPr>
      </w:pPr>
    </w:p>
    <w:sectPr w:rsidR="0053275C" w:rsidRPr="0053275C" w:rsidSect="0053275C">
      <w:pgSz w:w="11907" w:h="16839" w:code="9"/>
      <w:pgMar w:top="1411" w:right="1411" w:bottom="1411" w:left="141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75C"/>
    <w:rsid w:val="00137580"/>
    <w:rsid w:val="001F4743"/>
    <w:rsid w:val="00250710"/>
    <w:rsid w:val="002730C2"/>
    <w:rsid w:val="00441D9D"/>
    <w:rsid w:val="0053275C"/>
    <w:rsid w:val="00550578"/>
    <w:rsid w:val="00673C39"/>
    <w:rsid w:val="00850D0B"/>
    <w:rsid w:val="008B6573"/>
    <w:rsid w:val="00BD0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F1A8FD-7193-405F-AED3-6C9FC0B1F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3275C"/>
    <w:rPr>
      <w:rFonts w:eastAsiaTheme="minorEastAs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268</Words>
  <Characters>1530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Rahma</cp:lastModifiedBy>
  <cp:revision>5</cp:revision>
  <dcterms:created xsi:type="dcterms:W3CDTF">2017-05-17T22:47:00Z</dcterms:created>
  <dcterms:modified xsi:type="dcterms:W3CDTF">2017-05-18T09:56:00Z</dcterms:modified>
</cp:coreProperties>
</file>