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DD2" w:rsidRDefault="006E3DD2" w:rsidP="00837B55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FE5681" w:rsidRPr="00837B55" w:rsidRDefault="00FE5681" w:rsidP="006E3DD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6E3DD2">
        <w:rPr>
          <w:rFonts w:asciiTheme="majorBidi" w:hAnsiTheme="majorBidi" w:cstheme="majorBidi"/>
          <w:b/>
          <w:bCs/>
          <w:sz w:val="28"/>
          <w:szCs w:val="28"/>
        </w:rPr>
        <w:t>Background:</w:t>
      </w:r>
    </w:p>
    <w:p w:rsidR="003C69B6" w:rsidRDefault="003C69B6" w:rsidP="00F919E9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FE5681">
        <w:rPr>
          <w:rFonts w:asciiTheme="majorBidi" w:hAnsiTheme="majorBidi" w:cstheme="majorBidi"/>
          <w:sz w:val="28"/>
          <w:szCs w:val="28"/>
        </w:rPr>
        <w:t>Nephrotic syndrome may be caused by primary (idiopathic) renal disease or by a variety of</w:t>
      </w:r>
      <w:r w:rsidR="00FE5681">
        <w:rPr>
          <w:rFonts w:asciiTheme="majorBidi" w:hAnsiTheme="majorBidi" w:cstheme="majorBidi"/>
          <w:sz w:val="28"/>
          <w:szCs w:val="28"/>
        </w:rPr>
        <w:t xml:space="preserve"> </w:t>
      </w:r>
      <w:r w:rsidRPr="00FE5681">
        <w:rPr>
          <w:rFonts w:asciiTheme="majorBidi" w:hAnsiTheme="majorBidi" w:cstheme="majorBidi"/>
          <w:sz w:val="28"/>
          <w:szCs w:val="28"/>
        </w:rPr>
        <w:t>secondary causes. Patients present with marked edema, proteinuria, hypoalbuminemia, and</w:t>
      </w:r>
      <w:r w:rsidR="00FE5681">
        <w:rPr>
          <w:rFonts w:asciiTheme="majorBidi" w:hAnsiTheme="majorBidi" w:cstheme="majorBidi"/>
          <w:sz w:val="28"/>
          <w:szCs w:val="28"/>
        </w:rPr>
        <w:t xml:space="preserve"> </w:t>
      </w:r>
      <w:r w:rsidRPr="00FE5681">
        <w:rPr>
          <w:rFonts w:asciiTheme="majorBidi" w:hAnsiTheme="majorBidi" w:cstheme="majorBidi"/>
          <w:sz w:val="28"/>
          <w:szCs w:val="28"/>
        </w:rPr>
        <w:t>often hyperlipidemia.</w:t>
      </w:r>
      <w:r w:rsidR="00F919E9">
        <w:rPr>
          <w:rFonts w:asciiTheme="majorBidi" w:hAnsiTheme="majorBidi" w:cstheme="majorBidi"/>
          <w:sz w:val="28"/>
          <w:szCs w:val="28"/>
        </w:rPr>
        <w:t xml:space="preserve"> </w:t>
      </w:r>
      <w:r w:rsidRPr="00FE5681">
        <w:rPr>
          <w:rFonts w:asciiTheme="majorBidi" w:hAnsiTheme="majorBidi" w:cstheme="majorBidi"/>
          <w:sz w:val="28"/>
          <w:szCs w:val="28"/>
        </w:rPr>
        <w:t>Treatment of most patients should include fluid and sodium restriction,</w:t>
      </w:r>
      <w:r w:rsidR="00FE5681" w:rsidRPr="00FE5681">
        <w:rPr>
          <w:rFonts w:asciiTheme="majorBidi" w:hAnsiTheme="majorBidi" w:cstheme="majorBidi"/>
          <w:sz w:val="28"/>
          <w:szCs w:val="28"/>
        </w:rPr>
        <w:t xml:space="preserve"> </w:t>
      </w:r>
      <w:r w:rsidRPr="00FE5681">
        <w:rPr>
          <w:rFonts w:asciiTheme="majorBidi" w:hAnsiTheme="majorBidi" w:cstheme="majorBidi"/>
          <w:sz w:val="28"/>
          <w:szCs w:val="28"/>
        </w:rPr>
        <w:t xml:space="preserve">oral or intravenous diuretics, and angiotensin-converting enzyme inhibitors. </w:t>
      </w:r>
      <w:r w:rsidR="00FE5681" w:rsidRPr="00FE5681">
        <w:rPr>
          <w:rFonts w:asciiTheme="majorBidi" w:hAnsiTheme="majorBidi" w:cstheme="majorBidi"/>
          <w:sz w:val="28"/>
          <w:szCs w:val="28"/>
        </w:rPr>
        <w:t>A</w:t>
      </w:r>
      <w:r w:rsidRPr="00FE5681">
        <w:rPr>
          <w:rFonts w:asciiTheme="majorBidi" w:hAnsiTheme="majorBidi" w:cstheme="majorBidi"/>
          <w:sz w:val="28"/>
          <w:szCs w:val="28"/>
        </w:rPr>
        <w:t>dults</w:t>
      </w:r>
      <w:r w:rsidR="00FE5681" w:rsidRPr="00FE5681">
        <w:rPr>
          <w:rFonts w:asciiTheme="majorBidi" w:hAnsiTheme="majorBidi" w:cstheme="majorBidi"/>
          <w:sz w:val="28"/>
          <w:szCs w:val="28"/>
        </w:rPr>
        <w:t xml:space="preserve"> </w:t>
      </w:r>
      <w:r w:rsidRPr="00FE5681">
        <w:rPr>
          <w:rFonts w:asciiTheme="majorBidi" w:hAnsiTheme="majorBidi" w:cstheme="majorBidi"/>
          <w:sz w:val="28"/>
          <w:szCs w:val="28"/>
        </w:rPr>
        <w:t>with nephrotic syndrome may benefit from corticosteroid treatment</w:t>
      </w:r>
      <w:r w:rsidR="00FE5681">
        <w:rPr>
          <w:rFonts w:asciiTheme="majorBidi" w:hAnsiTheme="majorBidi" w:cstheme="majorBidi"/>
          <w:sz w:val="28"/>
          <w:szCs w:val="28"/>
        </w:rPr>
        <w:t>.</w:t>
      </w:r>
      <w:r w:rsidR="00837B55">
        <w:rPr>
          <w:rFonts w:asciiTheme="majorBidi" w:hAnsiTheme="majorBidi" w:cstheme="majorBidi"/>
          <w:sz w:val="28"/>
          <w:szCs w:val="28"/>
        </w:rPr>
        <w:t xml:space="preserve"> </w:t>
      </w:r>
      <w:r w:rsidR="00837B55" w:rsidRPr="00837B55">
        <w:rPr>
          <w:rFonts w:asciiTheme="majorBidi" w:hAnsiTheme="majorBidi" w:cstheme="majorBidi"/>
          <w:sz w:val="28"/>
          <w:szCs w:val="28"/>
        </w:rPr>
        <w:t xml:space="preserve">The treatment of patients with the steroid-resistant nephrotic syndrome (SRNS) and steroid-dependent  nephrotic syndrome </w:t>
      </w:r>
      <w:r w:rsidR="00837B55">
        <w:rPr>
          <w:rFonts w:asciiTheme="majorBidi" w:hAnsiTheme="majorBidi" w:cstheme="majorBidi"/>
          <w:sz w:val="28"/>
          <w:szCs w:val="28"/>
        </w:rPr>
        <w:t>(</w:t>
      </w:r>
      <w:r w:rsidR="00837B55" w:rsidRPr="00837B55">
        <w:rPr>
          <w:rFonts w:asciiTheme="majorBidi" w:hAnsiTheme="majorBidi" w:cstheme="majorBidi"/>
          <w:sz w:val="28"/>
          <w:szCs w:val="28"/>
        </w:rPr>
        <w:t>SDNS</w:t>
      </w:r>
      <w:r w:rsidR="00837B55">
        <w:rPr>
          <w:rFonts w:asciiTheme="majorBidi" w:hAnsiTheme="majorBidi" w:cstheme="majorBidi"/>
          <w:sz w:val="28"/>
          <w:szCs w:val="28"/>
        </w:rPr>
        <w:t>)</w:t>
      </w:r>
      <w:r w:rsidR="00837B55" w:rsidRPr="00837B55">
        <w:rPr>
          <w:rFonts w:asciiTheme="majorBidi" w:hAnsiTheme="majorBidi" w:cstheme="majorBidi"/>
          <w:sz w:val="28"/>
          <w:szCs w:val="28"/>
        </w:rPr>
        <w:t xml:space="preserve"> is challenging.  On the basis of suggestions that B lymphocytes are crucial in the pathogenesis of the nephrotic syndrome, rituximab ( a monoclonal antibody against CD20 antigen ) is used  in treatment of these  patients .</w:t>
      </w:r>
    </w:p>
    <w:p w:rsidR="00837B55" w:rsidRDefault="00837B55" w:rsidP="00837B55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837B55" w:rsidRPr="006E3DD2" w:rsidRDefault="00837B55" w:rsidP="00837B55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E3DD2">
        <w:rPr>
          <w:rFonts w:asciiTheme="majorBidi" w:hAnsiTheme="majorBidi" w:cstheme="majorBidi"/>
          <w:b/>
          <w:bCs/>
          <w:sz w:val="28"/>
          <w:szCs w:val="28"/>
        </w:rPr>
        <w:t>Aim of study:</w:t>
      </w:r>
    </w:p>
    <w:p w:rsidR="00837B55" w:rsidRDefault="00837B55" w:rsidP="00C83B58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bookmarkStart w:id="0" w:name="_GoBack"/>
      <w:r>
        <w:rPr>
          <w:rFonts w:asciiTheme="majorBidi" w:hAnsiTheme="majorBidi" w:cstheme="majorBidi"/>
          <w:sz w:val="28"/>
          <w:szCs w:val="28"/>
        </w:rPr>
        <w:t xml:space="preserve">To evaluate the role of </w:t>
      </w:r>
      <w:r w:rsidRPr="00837B55">
        <w:rPr>
          <w:rFonts w:asciiTheme="majorBidi" w:hAnsiTheme="majorBidi" w:cstheme="majorBidi"/>
          <w:sz w:val="28"/>
          <w:szCs w:val="28"/>
        </w:rPr>
        <w:t>rituximab</w:t>
      </w:r>
      <w:r w:rsidR="00C83B58">
        <w:rPr>
          <w:rFonts w:asciiTheme="majorBidi" w:hAnsiTheme="majorBidi" w:cstheme="majorBidi"/>
          <w:sz w:val="28"/>
          <w:szCs w:val="28"/>
        </w:rPr>
        <w:t xml:space="preserve"> </w:t>
      </w:r>
      <w:r w:rsidR="00C83B58" w:rsidRPr="00C83B58">
        <w:rPr>
          <w:rFonts w:asciiTheme="majorBidi" w:hAnsiTheme="majorBidi" w:cstheme="majorBidi"/>
          <w:sz w:val="28"/>
          <w:szCs w:val="28"/>
        </w:rPr>
        <w:t>and mycophenolic</w:t>
      </w:r>
      <w:r w:rsidR="00C83B58">
        <w:rPr>
          <w:rFonts w:asciiTheme="majorBidi" w:hAnsiTheme="majorBidi" w:cstheme="majorBidi"/>
          <w:sz w:val="28"/>
          <w:szCs w:val="28"/>
        </w:rPr>
        <w:t xml:space="preserve"> </w:t>
      </w:r>
      <w:r w:rsidR="00C83B58" w:rsidRPr="00C83B58">
        <w:rPr>
          <w:rFonts w:asciiTheme="majorBidi" w:hAnsiTheme="majorBidi" w:cstheme="majorBidi"/>
          <w:sz w:val="28"/>
          <w:szCs w:val="28"/>
        </w:rPr>
        <w:t>acid</w:t>
      </w:r>
      <w:r>
        <w:rPr>
          <w:rFonts w:asciiTheme="majorBidi" w:hAnsiTheme="majorBidi" w:cstheme="majorBidi"/>
          <w:sz w:val="28"/>
          <w:szCs w:val="28"/>
        </w:rPr>
        <w:t xml:space="preserve"> in treatment </w:t>
      </w:r>
      <w:r w:rsidRPr="00837B55">
        <w:rPr>
          <w:rFonts w:asciiTheme="majorBidi" w:hAnsiTheme="majorBidi" w:cstheme="majorBidi"/>
          <w:sz w:val="28"/>
          <w:szCs w:val="28"/>
        </w:rPr>
        <w:t>of patients</w:t>
      </w:r>
      <w:r w:rsidR="00CE2772">
        <w:rPr>
          <w:rFonts w:asciiTheme="majorBidi" w:hAnsiTheme="majorBidi" w:cstheme="majorBidi"/>
          <w:sz w:val="28"/>
          <w:szCs w:val="28"/>
        </w:rPr>
        <w:t xml:space="preserve"> </w:t>
      </w:r>
      <w:r w:rsidRPr="00837B55">
        <w:rPr>
          <w:rFonts w:asciiTheme="majorBidi" w:hAnsiTheme="majorBidi" w:cstheme="majorBidi"/>
          <w:sz w:val="28"/>
          <w:szCs w:val="28"/>
        </w:rPr>
        <w:t xml:space="preserve">with steroid-resistant </w:t>
      </w:r>
      <w:r w:rsidR="00C83B58">
        <w:rPr>
          <w:rFonts w:asciiTheme="majorBidi" w:hAnsiTheme="majorBidi" w:cstheme="majorBidi"/>
          <w:sz w:val="28"/>
          <w:szCs w:val="28"/>
        </w:rPr>
        <w:t>(SRNS) and steroid-dependent</w:t>
      </w:r>
      <w:r w:rsidRPr="00837B55">
        <w:rPr>
          <w:rFonts w:asciiTheme="majorBidi" w:hAnsiTheme="majorBidi" w:cstheme="majorBidi"/>
          <w:sz w:val="28"/>
          <w:szCs w:val="28"/>
        </w:rPr>
        <w:t xml:space="preserve"> nephrotic syndrome </w:t>
      </w:r>
      <w:r>
        <w:rPr>
          <w:rFonts w:asciiTheme="majorBidi" w:hAnsiTheme="majorBidi" w:cstheme="majorBidi"/>
          <w:sz w:val="28"/>
          <w:szCs w:val="28"/>
        </w:rPr>
        <w:t>(</w:t>
      </w:r>
      <w:r w:rsidRPr="00837B55">
        <w:rPr>
          <w:rFonts w:asciiTheme="majorBidi" w:hAnsiTheme="majorBidi" w:cstheme="majorBidi"/>
          <w:sz w:val="28"/>
          <w:szCs w:val="28"/>
        </w:rPr>
        <w:t>SDNS</w:t>
      </w:r>
      <w:r>
        <w:rPr>
          <w:rFonts w:asciiTheme="majorBidi" w:hAnsiTheme="majorBidi" w:cstheme="majorBidi"/>
          <w:sz w:val="28"/>
          <w:szCs w:val="28"/>
        </w:rPr>
        <w:t>)</w:t>
      </w:r>
      <w:r w:rsidR="00CE2772">
        <w:rPr>
          <w:rFonts w:asciiTheme="majorBidi" w:hAnsiTheme="majorBidi" w:cstheme="majorBidi"/>
          <w:sz w:val="28"/>
          <w:szCs w:val="28"/>
        </w:rPr>
        <w:t>,</w:t>
      </w:r>
      <w:r w:rsidR="00F919E9">
        <w:rPr>
          <w:rFonts w:asciiTheme="majorBidi" w:hAnsiTheme="majorBidi" w:cstheme="majorBidi"/>
          <w:sz w:val="28"/>
          <w:szCs w:val="28"/>
        </w:rPr>
        <w:t xml:space="preserve"> whom not respond or relapse after calcineurin inhibitor ( CNI ) </w:t>
      </w:r>
      <w:r w:rsidR="00F919E9" w:rsidRPr="00F919E9">
        <w:rPr>
          <w:rFonts w:asciiTheme="majorBidi" w:hAnsiTheme="majorBidi" w:cstheme="majorBidi"/>
          <w:sz w:val="28"/>
          <w:szCs w:val="28"/>
        </w:rPr>
        <w:t>(tacrolimus or cyclosporine)</w:t>
      </w:r>
      <w:r w:rsidR="00CE2772">
        <w:rPr>
          <w:rFonts w:asciiTheme="majorBidi" w:hAnsiTheme="majorBidi" w:cstheme="majorBidi"/>
          <w:sz w:val="28"/>
          <w:szCs w:val="28"/>
        </w:rPr>
        <w:t xml:space="preserve">  had been </w:t>
      </w:r>
      <w:r w:rsidR="00F919E9">
        <w:rPr>
          <w:rFonts w:asciiTheme="majorBidi" w:hAnsiTheme="majorBidi" w:cstheme="majorBidi"/>
          <w:sz w:val="28"/>
          <w:szCs w:val="28"/>
        </w:rPr>
        <w:t xml:space="preserve"> used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C87C78" w:rsidRDefault="00C87C78" w:rsidP="00C87C78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bookmarkEnd w:id="0"/>
    <w:p w:rsidR="00C87C78" w:rsidRPr="006E3DD2" w:rsidRDefault="00C87C78" w:rsidP="00C87C78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E3DD2">
        <w:rPr>
          <w:rFonts w:asciiTheme="majorBidi" w:hAnsiTheme="majorBidi" w:cstheme="majorBidi"/>
          <w:b/>
          <w:bCs/>
          <w:sz w:val="28"/>
          <w:szCs w:val="28"/>
        </w:rPr>
        <w:t>Patients and methods:</w:t>
      </w:r>
    </w:p>
    <w:p w:rsidR="00C672BF" w:rsidRDefault="00CE2772" w:rsidP="004C73B2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Case series </w:t>
      </w:r>
      <w:r w:rsidR="00C87C78">
        <w:rPr>
          <w:rFonts w:asciiTheme="majorBidi" w:hAnsiTheme="majorBidi" w:cstheme="majorBidi"/>
          <w:sz w:val="28"/>
          <w:szCs w:val="28"/>
        </w:rPr>
        <w:t xml:space="preserve">study was done </w:t>
      </w:r>
      <w:r w:rsidR="003155BC">
        <w:rPr>
          <w:rFonts w:asciiTheme="majorBidi" w:hAnsiTheme="majorBidi" w:cstheme="majorBidi"/>
          <w:sz w:val="28"/>
          <w:szCs w:val="28"/>
        </w:rPr>
        <w:t>between 201</w:t>
      </w:r>
      <w:r w:rsidR="004D0D55">
        <w:rPr>
          <w:rFonts w:asciiTheme="majorBidi" w:hAnsiTheme="majorBidi" w:cstheme="majorBidi"/>
          <w:sz w:val="28"/>
          <w:szCs w:val="28"/>
        </w:rPr>
        <w:t>2</w:t>
      </w:r>
      <w:r w:rsidR="00EA5085" w:rsidRPr="004174AD">
        <w:rPr>
          <w:rFonts w:asciiTheme="majorBidi" w:hAnsiTheme="majorBidi" w:cstheme="majorBidi"/>
          <w:sz w:val="28"/>
          <w:szCs w:val="28"/>
        </w:rPr>
        <w:t xml:space="preserve"> – 2015  in AL-Sadder </w:t>
      </w:r>
      <w:r w:rsidR="00EA5085">
        <w:rPr>
          <w:rFonts w:asciiTheme="majorBidi" w:hAnsiTheme="majorBidi" w:cstheme="majorBidi"/>
          <w:sz w:val="28"/>
          <w:szCs w:val="28"/>
        </w:rPr>
        <w:t>Teaching H</w:t>
      </w:r>
      <w:r w:rsidR="00EA5085" w:rsidRPr="004174AD">
        <w:rPr>
          <w:rFonts w:asciiTheme="majorBidi" w:hAnsiTheme="majorBidi" w:cstheme="majorBidi"/>
          <w:sz w:val="28"/>
          <w:szCs w:val="28"/>
        </w:rPr>
        <w:t xml:space="preserve">ospital </w:t>
      </w:r>
      <w:r w:rsidR="00EA5085">
        <w:rPr>
          <w:rFonts w:asciiTheme="majorBidi" w:hAnsiTheme="majorBidi" w:cstheme="majorBidi"/>
          <w:sz w:val="28"/>
          <w:szCs w:val="28"/>
        </w:rPr>
        <w:t>N</w:t>
      </w:r>
      <w:r w:rsidR="00EA5085" w:rsidRPr="004174AD">
        <w:rPr>
          <w:rFonts w:asciiTheme="majorBidi" w:hAnsiTheme="majorBidi" w:cstheme="majorBidi"/>
          <w:sz w:val="28"/>
          <w:szCs w:val="28"/>
        </w:rPr>
        <w:t xml:space="preserve">ephrology </w:t>
      </w:r>
      <w:r w:rsidR="00EA5085">
        <w:rPr>
          <w:rFonts w:asciiTheme="majorBidi" w:hAnsiTheme="majorBidi" w:cstheme="majorBidi"/>
          <w:sz w:val="28"/>
          <w:szCs w:val="28"/>
        </w:rPr>
        <w:t xml:space="preserve">Center and record 40 patients with different </w:t>
      </w:r>
      <w:r w:rsidR="00EA5085" w:rsidRPr="004174AD">
        <w:rPr>
          <w:rFonts w:asciiTheme="majorBidi" w:hAnsiTheme="majorBidi" w:cstheme="majorBidi"/>
          <w:sz w:val="28"/>
          <w:szCs w:val="28"/>
        </w:rPr>
        <w:t>age groups</w:t>
      </w:r>
      <w:r w:rsidR="00EA5085">
        <w:rPr>
          <w:rFonts w:asciiTheme="majorBidi" w:hAnsiTheme="majorBidi" w:cstheme="majorBidi"/>
          <w:sz w:val="28"/>
          <w:szCs w:val="28"/>
        </w:rPr>
        <w:t xml:space="preserve">, males and females with different histopathological types </w:t>
      </w:r>
      <w:r w:rsidR="00EA5085" w:rsidRPr="004174AD">
        <w:rPr>
          <w:rFonts w:asciiTheme="majorBidi" w:hAnsiTheme="majorBidi" w:cstheme="majorBidi"/>
          <w:sz w:val="28"/>
          <w:szCs w:val="28"/>
        </w:rPr>
        <w:t>(</w:t>
      </w:r>
      <w:r w:rsidR="00F919E9">
        <w:rPr>
          <w:rFonts w:asciiTheme="majorBidi" w:hAnsiTheme="majorBidi" w:cstheme="majorBidi"/>
          <w:sz w:val="28"/>
          <w:szCs w:val="28"/>
        </w:rPr>
        <w:t xml:space="preserve"> </w:t>
      </w:r>
      <w:r w:rsidR="00F919E9" w:rsidRPr="00664B00">
        <w:rPr>
          <w:rFonts w:asciiTheme="majorBidi" w:hAnsiTheme="majorBidi" w:cstheme="majorBidi"/>
          <w:sz w:val="28"/>
          <w:szCs w:val="28"/>
        </w:rPr>
        <w:t>Minimal Change Glomerulonephritis</w:t>
      </w:r>
      <w:r w:rsidR="00EA5085" w:rsidRPr="004174AD">
        <w:rPr>
          <w:rFonts w:asciiTheme="majorBidi" w:hAnsiTheme="majorBidi" w:cstheme="majorBidi"/>
          <w:sz w:val="28"/>
          <w:szCs w:val="28"/>
        </w:rPr>
        <w:t xml:space="preserve">, </w:t>
      </w:r>
      <w:r w:rsidR="00F919E9" w:rsidRPr="00664B00">
        <w:rPr>
          <w:rFonts w:asciiTheme="majorBidi" w:hAnsiTheme="majorBidi" w:cstheme="majorBidi"/>
          <w:sz w:val="28"/>
          <w:szCs w:val="28"/>
        </w:rPr>
        <w:t>Focal Segmental Glomerulosclerosis</w:t>
      </w:r>
      <w:r w:rsidR="00EA5085">
        <w:rPr>
          <w:rFonts w:asciiTheme="majorBidi" w:hAnsiTheme="majorBidi" w:cstheme="majorBidi"/>
          <w:sz w:val="28"/>
          <w:szCs w:val="28"/>
        </w:rPr>
        <w:t xml:space="preserve">, </w:t>
      </w:r>
      <w:r w:rsidR="00F919E9" w:rsidRPr="00664B00">
        <w:rPr>
          <w:rFonts w:asciiTheme="majorBidi" w:hAnsiTheme="majorBidi" w:cstheme="majorBidi"/>
          <w:sz w:val="28"/>
          <w:szCs w:val="28"/>
        </w:rPr>
        <w:t>MesengeoProlifrative Glomerulonephritis</w:t>
      </w:r>
      <w:r w:rsidR="00F919E9">
        <w:rPr>
          <w:rFonts w:asciiTheme="majorBidi" w:hAnsiTheme="majorBidi" w:cstheme="majorBidi"/>
          <w:sz w:val="28"/>
          <w:szCs w:val="28"/>
        </w:rPr>
        <w:t xml:space="preserve"> </w:t>
      </w:r>
      <w:r w:rsidR="00EA5085">
        <w:rPr>
          <w:rFonts w:asciiTheme="majorBidi" w:hAnsiTheme="majorBidi" w:cstheme="majorBidi"/>
          <w:sz w:val="28"/>
          <w:szCs w:val="28"/>
        </w:rPr>
        <w:t xml:space="preserve">). </w:t>
      </w:r>
      <w:r w:rsidR="00EA5085" w:rsidRPr="004174AD">
        <w:rPr>
          <w:rFonts w:asciiTheme="majorBidi" w:hAnsiTheme="majorBidi" w:cstheme="majorBidi"/>
          <w:sz w:val="28"/>
          <w:szCs w:val="28"/>
        </w:rPr>
        <w:t>These patients were taking prednisilone and\or calcineurin inhibitor (tacrolimus "prograf"</w:t>
      </w:r>
      <w:r>
        <w:rPr>
          <w:rFonts w:asciiTheme="majorBidi" w:hAnsiTheme="majorBidi" w:cstheme="majorBidi"/>
          <w:sz w:val="28"/>
          <w:szCs w:val="28"/>
        </w:rPr>
        <w:t>)</w:t>
      </w:r>
      <w:r w:rsidR="00EA5085">
        <w:rPr>
          <w:rFonts w:asciiTheme="majorBidi" w:hAnsiTheme="majorBidi" w:cstheme="majorBidi"/>
          <w:sz w:val="28"/>
          <w:szCs w:val="28"/>
        </w:rPr>
        <w:t xml:space="preserve"> </w:t>
      </w:r>
      <w:r w:rsidR="00EA5085" w:rsidRPr="004174AD">
        <w:rPr>
          <w:rFonts w:asciiTheme="majorBidi" w:hAnsiTheme="majorBidi" w:cstheme="majorBidi"/>
          <w:sz w:val="28"/>
          <w:szCs w:val="28"/>
        </w:rPr>
        <w:t xml:space="preserve">or (cyclosporine "sandimmune"), and they get either </w:t>
      </w:r>
      <w:r w:rsidR="00F919E9" w:rsidRPr="00664B00">
        <w:rPr>
          <w:rFonts w:asciiTheme="majorBidi" w:hAnsiTheme="majorBidi" w:cstheme="majorBidi"/>
          <w:sz w:val="28"/>
          <w:szCs w:val="28"/>
        </w:rPr>
        <w:t>Steroid Dependent Nephrotic Syndrome</w:t>
      </w:r>
      <w:r w:rsidR="001B4E0F">
        <w:rPr>
          <w:rFonts w:asciiTheme="majorBidi" w:hAnsiTheme="majorBidi" w:cstheme="majorBidi"/>
          <w:sz w:val="28"/>
          <w:szCs w:val="28"/>
        </w:rPr>
        <w:t xml:space="preserve"> or </w:t>
      </w:r>
      <w:r w:rsidR="001B4E0F" w:rsidRPr="00664B00">
        <w:rPr>
          <w:rFonts w:asciiTheme="majorBidi" w:hAnsiTheme="majorBidi" w:cstheme="majorBidi"/>
          <w:sz w:val="28"/>
          <w:szCs w:val="28"/>
        </w:rPr>
        <w:t xml:space="preserve">Steroid Resistant Nephrotic </w:t>
      </w:r>
      <w:r w:rsidR="001B4E0F" w:rsidRPr="00664B00">
        <w:rPr>
          <w:rFonts w:asciiTheme="majorBidi" w:hAnsiTheme="majorBidi" w:cstheme="majorBidi"/>
          <w:sz w:val="28"/>
          <w:szCs w:val="28"/>
        </w:rPr>
        <w:lastRenderedPageBreak/>
        <w:t>Syndrome</w:t>
      </w:r>
      <w:r w:rsidR="001B4E0F">
        <w:rPr>
          <w:rFonts w:asciiTheme="majorBidi" w:hAnsiTheme="majorBidi" w:cstheme="majorBidi"/>
          <w:sz w:val="28"/>
          <w:szCs w:val="28"/>
        </w:rPr>
        <w:t xml:space="preserve"> </w:t>
      </w:r>
      <w:r w:rsidR="00EA5085" w:rsidRPr="004174AD">
        <w:rPr>
          <w:rFonts w:asciiTheme="majorBidi" w:hAnsiTheme="majorBidi" w:cstheme="majorBidi"/>
          <w:sz w:val="28"/>
          <w:szCs w:val="28"/>
        </w:rPr>
        <w:t>with frequent admission more than four time per year.</w:t>
      </w:r>
      <w:r w:rsidR="00EA5085">
        <w:rPr>
          <w:rFonts w:asciiTheme="majorBidi" w:hAnsiTheme="majorBidi" w:cstheme="majorBidi"/>
          <w:sz w:val="28"/>
          <w:szCs w:val="28"/>
        </w:rPr>
        <w:t xml:space="preserve"> </w:t>
      </w:r>
      <w:r w:rsidR="00C672BF" w:rsidRPr="004174AD">
        <w:rPr>
          <w:rFonts w:asciiTheme="majorBidi" w:hAnsiTheme="majorBidi" w:cstheme="majorBidi"/>
          <w:sz w:val="28"/>
          <w:szCs w:val="28"/>
        </w:rPr>
        <w:t>To these patients we start rituximab intravenous infusion monthly for at least six months</w:t>
      </w:r>
      <w:r w:rsidR="001B4E0F">
        <w:rPr>
          <w:rFonts w:asciiTheme="majorBidi" w:hAnsiTheme="majorBidi" w:cstheme="majorBidi"/>
          <w:sz w:val="28"/>
          <w:szCs w:val="28"/>
        </w:rPr>
        <w:t xml:space="preserve"> with the use of steroid and </w:t>
      </w:r>
      <w:r w:rsidR="004C73B2">
        <w:rPr>
          <w:rFonts w:asciiTheme="majorBidi" w:hAnsiTheme="majorBidi" w:cstheme="majorBidi"/>
          <w:sz w:val="28"/>
          <w:szCs w:val="28"/>
        </w:rPr>
        <w:t>mycophenolate m</w:t>
      </w:r>
      <w:r w:rsidR="001B4E0F" w:rsidRPr="00664B00">
        <w:rPr>
          <w:rFonts w:asciiTheme="majorBidi" w:hAnsiTheme="majorBidi" w:cstheme="majorBidi"/>
          <w:sz w:val="28"/>
          <w:szCs w:val="28"/>
        </w:rPr>
        <w:t>ofetil</w:t>
      </w:r>
      <w:r w:rsidR="001B4E0F">
        <w:rPr>
          <w:rFonts w:asciiTheme="majorBidi" w:hAnsiTheme="majorBidi" w:cstheme="majorBidi"/>
          <w:sz w:val="28"/>
          <w:szCs w:val="28"/>
        </w:rPr>
        <w:t xml:space="preserve"> during these six months</w:t>
      </w:r>
      <w:r w:rsidR="00C672BF">
        <w:rPr>
          <w:rFonts w:asciiTheme="majorBidi" w:hAnsiTheme="majorBidi" w:cstheme="majorBidi"/>
          <w:sz w:val="28"/>
          <w:szCs w:val="28"/>
        </w:rPr>
        <w:t xml:space="preserve">. </w:t>
      </w:r>
      <w:r w:rsidR="00C672BF" w:rsidRPr="004174AD">
        <w:rPr>
          <w:rFonts w:asciiTheme="majorBidi" w:hAnsiTheme="majorBidi" w:cstheme="majorBidi"/>
          <w:sz w:val="28"/>
          <w:szCs w:val="28"/>
        </w:rPr>
        <w:t xml:space="preserve">The patients followed up for </w:t>
      </w:r>
      <w:r w:rsidR="004C73B2">
        <w:rPr>
          <w:rFonts w:asciiTheme="majorBidi" w:hAnsiTheme="majorBidi" w:cstheme="majorBidi"/>
          <w:sz w:val="28"/>
          <w:szCs w:val="28"/>
        </w:rPr>
        <w:t>3</w:t>
      </w:r>
      <w:r w:rsidR="00C672BF" w:rsidRPr="004174AD">
        <w:rPr>
          <w:rFonts w:asciiTheme="majorBidi" w:hAnsiTheme="majorBidi" w:cstheme="majorBidi"/>
          <w:sz w:val="28"/>
          <w:szCs w:val="28"/>
        </w:rPr>
        <w:t xml:space="preserve"> </w:t>
      </w:r>
      <w:r w:rsidR="004C73B2">
        <w:rPr>
          <w:rFonts w:asciiTheme="majorBidi" w:hAnsiTheme="majorBidi" w:cstheme="majorBidi"/>
          <w:sz w:val="28"/>
          <w:szCs w:val="28"/>
        </w:rPr>
        <w:t>-</w:t>
      </w:r>
      <w:r w:rsidR="00C672BF" w:rsidRPr="004174AD">
        <w:rPr>
          <w:rFonts w:asciiTheme="majorBidi" w:hAnsiTheme="majorBidi" w:cstheme="majorBidi"/>
          <w:sz w:val="28"/>
          <w:szCs w:val="28"/>
        </w:rPr>
        <w:t xml:space="preserve"> </w:t>
      </w:r>
      <w:r w:rsidR="004C73B2">
        <w:rPr>
          <w:rFonts w:asciiTheme="majorBidi" w:hAnsiTheme="majorBidi" w:cstheme="majorBidi"/>
          <w:sz w:val="28"/>
          <w:szCs w:val="28"/>
        </w:rPr>
        <w:t>12</w:t>
      </w:r>
      <w:r w:rsidR="00C672BF" w:rsidRPr="004174AD">
        <w:rPr>
          <w:rFonts w:asciiTheme="majorBidi" w:hAnsiTheme="majorBidi" w:cstheme="majorBidi"/>
          <w:sz w:val="28"/>
          <w:szCs w:val="28"/>
        </w:rPr>
        <w:t xml:space="preserve"> months after initiation of rituximab by</w:t>
      </w:r>
      <w:r w:rsidR="00C672BF">
        <w:rPr>
          <w:rFonts w:asciiTheme="majorBidi" w:hAnsiTheme="majorBidi" w:cstheme="majorBidi"/>
          <w:sz w:val="28"/>
          <w:szCs w:val="28"/>
        </w:rPr>
        <w:t xml:space="preserve"> different investigations </w:t>
      </w:r>
      <w:r w:rsidR="00C672BF" w:rsidRPr="00C672BF">
        <w:rPr>
          <w:rFonts w:asciiTheme="majorBidi" w:hAnsiTheme="majorBidi" w:cstheme="majorBidi"/>
          <w:sz w:val="28"/>
          <w:szCs w:val="28"/>
        </w:rPr>
        <w:t>and the patients were classified according to their response into complete, partial and no response</w:t>
      </w:r>
      <w:r w:rsidR="00C672BF">
        <w:rPr>
          <w:rFonts w:asciiTheme="majorBidi" w:hAnsiTheme="majorBidi" w:cstheme="majorBidi"/>
          <w:sz w:val="28"/>
          <w:szCs w:val="28"/>
        </w:rPr>
        <w:t>. After one year stop rituximab treatment , follow the patients clinically and by investigations for (1-</w:t>
      </w:r>
      <w:r w:rsidR="0037276E">
        <w:rPr>
          <w:rFonts w:asciiTheme="majorBidi" w:hAnsiTheme="majorBidi" w:cstheme="majorBidi"/>
          <w:sz w:val="28"/>
          <w:szCs w:val="28"/>
        </w:rPr>
        <w:t>2</w:t>
      </w:r>
      <w:r w:rsidR="00C672BF">
        <w:rPr>
          <w:rFonts w:asciiTheme="majorBidi" w:hAnsiTheme="majorBidi" w:cstheme="majorBidi"/>
          <w:sz w:val="28"/>
          <w:szCs w:val="28"/>
        </w:rPr>
        <w:t>) years</w:t>
      </w:r>
      <w:r w:rsidR="00FD224E">
        <w:rPr>
          <w:rFonts w:asciiTheme="majorBidi" w:hAnsiTheme="majorBidi" w:cstheme="majorBidi"/>
          <w:sz w:val="28"/>
          <w:szCs w:val="28"/>
        </w:rPr>
        <w:t xml:space="preserve"> to determine which patients get relapse</w:t>
      </w:r>
      <w:r w:rsidR="00C672BF">
        <w:rPr>
          <w:rFonts w:asciiTheme="majorBidi" w:hAnsiTheme="majorBidi" w:cstheme="majorBidi"/>
          <w:sz w:val="28"/>
          <w:szCs w:val="28"/>
        </w:rPr>
        <w:t>.</w:t>
      </w:r>
    </w:p>
    <w:p w:rsidR="0037276E" w:rsidRDefault="0037276E" w:rsidP="0037276E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837B55" w:rsidRPr="006E3DD2" w:rsidRDefault="003155BC" w:rsidP="00837B55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E3DD2">
        <w:rPr>
          <w:rFonts w:asciiTheme="majorBidi" w:hAnsiTheme="majorBidi" w:cstheme="majorBidi"/>
          <w:b/>
          <w:bCs/>
          <w:sz w:val="28"/>
          <w:szCs w:val="28"/>
        </w:rPr>
        <w:t xml:space="preserve">Results </w:t>
      </w:r>
    </w:p>
    <w:p w:rsidR="0037276E" w:rsidRDefault="003155BC" w:rsidP="0037276E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75163D">
        <w:rPr>
          <w:rFonts w:asciiTheme="majorBidi" w:hAnsiTheme="majorBidi" w:cstheme="majorBidi"/>
          <w:sz w:val="28"/>
          <w:szCs w:val="28"/>
        </w:rPr>
        <w:t>Majority</w:t>
      </w:r>
      <w:r w:rsidR="00CE2772">
        <w:rPr>
          <w:rFonts w:asciiTheme="majorBidi" w:hAnsiTheme="majorBidi" w:cstheme="majorBidi"/>
          <w:sz w:val="28"/>
          <w:szCs w:val="28"/>
        </w:rPr>
        <w:t xml:space="preserve"> (80%)</w:t>
      </w:r>
      <w:r w:rsidRPr="0075163D">
        <w:rPr>
          <w:rFonts w:asciiTheme="majorBidi" w:hAnsiTheme="majorBidi" w:cstheme="majorBidi"/>
          <w:sz w:val="28"/>
          <w:szCs w:val="28"/>
        </w:rPr>
        <w:t xml:space="preserve"> of patients with nephrotic syndrome who had good response to rituximab were younger age group &lt; 15 years .</w:t>
      </w:r>
    </w:p>
    <w:p w:rsidR="0075163D" w:rsidRPr="0037276E" w:rsidRDefault="0075163D" w:rsidP="0037276E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37276E">
        <w:rPr>
          <w:rFonts w:asciiTheme="majorBidi" w:hAnsiTheme="majorBidi" w:cstheme="majorBidi"/>
          <w:sz w:val="28"/>
          <w:szCs w:val="28"/>
        </w:rPr>
        <w:t xml:space="preserve">Better response to rituximab associated with </w:t>
      </w:r>
      <w:r w:rsidR="0037276E" w:rsidRPr="0037276E">
        <w:rPr>
          <w:rFonts w:asciiTheme="majorBidi" w:hAnsiTheme="majorBidi" w:cstheme="majorBidi"/>
          <w:sz w:val="28"/>
          <w:szCs w:val="28"/>
        </w:rPr>
        <w:t>Minimal Change Glomerulonephritis</w:t>
      </w:r>
      <w:r w:rsidRPr="0037276E">
        <w:rPr>
          <w:rFonts w:asciiTheme="majorBidi" w:hAnsiTheme="majorBidi" w:cstheme="majorBidi"/>
          <w:sz w:val="28"/>
          <w:szCs w:val="28"/>
        </w:rPr>
        <w:t xml:space="preserve">. </w:t>
      </w:r>
    </w:p>
    <w:p w:rsidR="0075163D" w:rsidRDefault="0075163D" w:rsidP="0075163D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There was significant reduction in blood urea , serum creatinine,</w:t>
      </w:r>
      <w:r w:rsidR="0045302C">
        <w:rPr>
          <w:rFonts w:asciiTheme="majorBidi" w:hAnsiTheme="majorBidi" w:cstheme="majorBidi"/>
          <w:sz w:val="28"/>
          <w:szCs w:val="28"/>
        </w:rPr>
        <w:t xml:space="preserve"> urine (protein/creatinine) ratio and serum cholesterol . </w:t>
      </w:r>
    </w:p>
    <w:p w:rsidR="0045302C" w:rsidRDefault="0045302C" w:rsidP="0045302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Serum albumin was significant elevated .</w:t>
      </w:r>
    </w:p>
    <w:p w:rsidR="0045302C" w:rsidRDefault="0045302C" w:rsidP="0045302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Response to rituximab was not significantly associated with gender or steroid response .</w:t>
      </w:r>
    </w:p>
    <w:p w:rsidR="0045302C" w:rsidRDefault="0045302C" w:rsidP="0045302C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Majority of patients wi</w:t>
      </w:r>
      <w:r w:rsidR="00217388">
        <w:rPr>
          <w:rFonts w:asciiTheme="majorBidi" w:hAnsiTheme="majorBidi" w:cstheme="majorBidi"/>
          <w:sz w:val="28"/>
          <w:szCs w:val="28"/>
        </w:rPr>
        <w:t>th good response not relapse</w:t>
      </w:r>
      <w:r w:rsidR="004C73B2">
        <w:rPr>
          <w:rFonts w:asciiTheme="majorBidi" w:hAnsiTheme="majorBidi" w:cstheme="majorBidi"/>
          <w:sz w:val="28"/>
          <w:szCs w:val="28"/>
        </w:rPr>
        <w:t xml:space="preserve"> and need more time for follow up</w:t>
      </w:r>
      <w:r w:rsidR="00217388">
        <w:rPr>
          <w:rFonts w:asciiTheme="majorBidi" w:hAnsiTheme="majorBidi" w:cstheme="majorBidi"/>
          <w:sz w:val="28"/>
          <w:szCs w:val="28"/>
        </w:rPr>
        <w:t xml:space="preserve">. </w:t>
      </w:r>
    </w:p>
    <w:p w:rsidR="00217388" w:rsidRDefault="00217388" w:rsidP="00217388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Relapsing after stopping rituximab not significantly associated with age,gender,histopathological type and steroid response .</w:t>
      </w:r>
    </w:p>
    <w:p w:rsidR="0037276E" w:rsidRDefault="0037276E" w:rsidP="006E3DD2">
      <w:pPr>
        <w:bidi w:val="0"/>
        <w:rPr>
          <w:rFonts w:asciiTheme="majorBidi" w:hAnsiTheme="majorBidi" w:cstheme="majorBidi"/>
          <w:sz w:val="28"/>
          <w:szCs w:val="28"/>
        </w:rPr>
      </w:pPr>
    </w:p>
    <w:p w:rsidR="0037276E" w:rsidRDefault="0037276E" w:rsidP="0037276E">
      <w:pPr>
        <w:bidi w:val="0"/>
        <w:rPr>
          <w:rFonts w:asciiTheme="majorBidi" w:hAnsiTheme="majorBidi" w:cstheme="majorBidi"/>
          <w:sz w:val="28"/>
          <w:szCs w:val="28"/>
        </w:rPr>
      </w:pPr>
    </w:p>
    <w:p w:rsidR="0037276E" w:rsidRDefault="0037276E" w:rsidP="0037276E">
      <w:pPr>
        <w:bidi w:val="0"/>
        <w:rPr>
          <w:rFonts w:asciiTheme="majorBidi" w:hAnsiTheme="majorBidi" w:cstheme="majorBidi"/>
          <w:sz w:val="28"/>
          <w:szCs w:val="28"/>
        </w:rPr>
      </w:pPr>
    </w:p>
    <w:p w:rsidR="0037276E" w:rsidRDefault="0037276E" w:rsidP="0037276E">
      <w:pPr>
        <w:bidi w:val="0"/>
        <w:rPr>
          <w:rFonts w:asciiTheme="majorBidi" w:hAnsiTheme="majorBidi" w:cstheme="majorBidi"/>
          <w:sz w:val="28"/>
          <w:szCs w:val="28"/>
        </w:rPr>
      </w:pPr>
    </w:p>
    <w:p w:rsidR="006E3DD2" w:rsidRPr="00F71CB0" w:rsidRDefault="006E3DD2" w:rsidP="0037276E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F71CB0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Conclusion  </w:t>
      </w:r>
    </w:p>
    <w:p w:rsidR="00B60D5B" w:rsidRDefault="00B60D5B" w:rsidP="004C73B2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R</w:t>
      </w:r>
      <w:r w:rsidRPr="00B60D5B">
        <w:rPr>
          <w:rFonts w:asciiTheme="majorBidi" w:hAnsiTheme="majorBidi" w:cstheme="majorBidi"/>
          <w:sz w:val="28"/>
          <w:szCs w:val="28"/>
        </w:rPr>
        <w:t xml:space="preserve">ituximab and mycophenolate mofetil </w:t>
      </w:r>
      <w:r w:rsidR="004C73B2">
        <w:rPr>
          <w:rFonts w:asciiTheme="majorBidi" w:hAnsiTheme="majorBidi" w:cstheme="majorBidi"/>
          <w:sz w:val="28"/>
          <w:szCs w:val="28"/>
        </w:rPr>
        <w:t xml:space="preserve">used </w:t>
      </w:r>
      <w:r>
        <w:rPr>
          <w:rFonts w:asciiTheme="majorBidi" w:hAnsiTheme="majorBidi" w:cstheme="majorBidi"/>
          <w:sz w:val="28"/>
          <w:szCs w:val="28"/>
        </w:rPr>
        <w:t xml:space="preserve">in </w:t>
      </w:r>
      <w:r w:rsidRPr="00B60D5B">
        <w:rPr>
          <w:rFonts w:asciiTheme="majorBidi" w:hAnsiTheme="majorBidi" w:cstheme="majorBidi"/>
          <w:sz w:val="28"/>
          <w:szCs w:val="28"/>
        </w:rPr>
        <w:t>steroid-resistant nephrotic syndrome to get ride from side effects of calcineurine inhibitor (tacrolimus or cyclosporine)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B60D5B" w:rsidRDefault="00B60D5B" w:rsidP="004C73B2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R</w:t>
      </w:r>
      <w:r w:rsidRPr="00B60D5B">
        <w:rPr>
          <w:rFonts w:asciiTheme="majorBidi" w:hAnsiTheme="majorBidi" w:cstheme="majorBidi"/>
          <w:sz w:val="28"/>
          <w:szCs w:val="28"/>
        </w:rPr>
        <w:t>itux</w:t>
      </w:r>
      <w:r w:rsidR="004C73B2">
        <w:rPr>
          <w:rFonts w:asciiTheme="majorBidi" w:hAnsiTheme="majorBidi" w:cstheme="majorBidi"/>
          <w:sz w:val="28"/>
          <w:szCs w:val="28"/>
        </w:rPr>
        <w:t>imab and mycophenolate mofetil used</w:t>
      </w:r>
      <w:r>
        <w:rPr>
          <w:rFonts w:asciiTheme="majorBidi" w:hAnsiTheme="majorBidi" w:cstheme="majorBidi"/>
          <w:sz w:val="28"/>
          <w:szCs w:val="28"/>
        </w:rPr>
        <w:t xml:space="preserve"> in </w:t>
      </w:r>
      <w:r w:rsidRPr="00B60D5B">
        <w:rPr>
          <w:rFonts w:asciiTheme="majorBidi" w:hAnsiTheme="majorBidi" w:cstheme="majorBidi"/>
          <w:sz w:val="28"/>
          <w:szCs w:val="28"/>
        </w:rPr>
        <w:t>steroid-dependent  nephrotic syndrome after calcineurine inhibitor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B60D5B">
        <w:rPr>
          <w:rFonts w:asciiTheme="majorBidi" w:hAnsiTheme="majorBidi" w:cstheme="majorBidi"/>
          <w:sz w:val="28"/>
          <w:szCs w:val="28"/>
        </w:rPr>
        <w:t>to get ride from side effects</w:t>
      </w:r>
      <w:r>
        <w:rPr>
          <w:rFonts w:asciiTheme="majorBidi" w:hAnsiTheme="majorBidi" w:cstheme="majorBidi"/>
          <w:sz w:val="28"/>
          <w:szCs w:val="28"/>
        </w:rPr>
        <w:t xml:space="preserve"> of </w:t>
      </w:r>
      <w:r w:rsidRPr="00B60D5B">
        <w:rPr>
          <w:rFonts w:asciiTheme="majorBidi" w:hAnsiTheme="majorBidi" w:cstheme="majorBidi"/>
          <w:sz w:val="28"/>
          <w:szCs w:val="28"/>
        </w:rPr>
        <w:t>steroid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6E3DD2" w:rsidRDefault="00B60D5B" w:rsidP="00B60D5B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</w:t>
      </w:r>
      <w:r w:rsidR="006E3DD2" w:rsidRPr="00F71CB0">
        <w:rPr>
          <w:rFonts w:asciiTheme="majorBidi" w:hAnsiTheme="majorBidi" w:cstheme="majorBidi"/>
          <w:sz w:val="28"/>
          <w:szCs w:val="28"/>
        </w:rPr>
        <w:t xml:space="preserve">mprovement in renal function </w:t>
      </w:r>
      <w:r>
        <w:rPr>
          <w:rFonts w:asciiTheme="majorBidi" w:hAnsiTheme="majorBidi" w:cstheme="majorBidi"/>
          <w:sz w:val="28"/>
          <w:szCs w:val="28"/>
        </w:rPr>
        <w:t xml:space="preserve">is </w:t>
      </w:r>
      <w:r w:rsidR="006E3DD2" w:rsidRPr="00F71CB0">
        <w:rPr>
          <w:rFonts w:asciiTheme="majorBidi" w:hAnsiTheme="majorBidi" w:cstheme="majorBidi"/>
          <w:sz w:val="28"/>
          <w:szCs w:val="28"/>
        </w:rPr>
        <w:t xml:space="preserve">result from </w:t>
      </w:r>
      <w:r>
        <w:rPr>
          <w:rFonts w:asciiTheme="majorBidi" w:hAnsiTheme="majorBidi" w:cstheme="majorBidi"/>
          <w:sz w:val="28"/>
          <w:szCs w:val="28"/>
        </w:rPr>
        <w:t>stopping</w:t>
      </w:r>
      <w:r w:rsidR="006E3DD2" w:rsidRPr="00F71CB0">
        <w:rPr>
          <w:rFonts w:asciiTheme="majorBidi" w:hAnsiTheme="majorBidi" w:cstheme="majorBidi"/>
          <w:sz w:val="28"/>
          <w:szCs w:val="28"/>
        </w:rPr>
        <w:t xml:space="preserve"> of calcineurine in</w:t>
      </w:r>
      <w:r>
        <w:rPr>
          <w:rFonts w:asciiTheme="majorBidi" w:hAnsiTheme="majorBidi" w:cstheme="majorBidi"/>
          <w:sz w:val="28"/>
          <w:szCs w:val="28"/>
        </w:rPr>
        <w:t>hibitor (nephrotoxic drugs) and/</w:t>
      </w:r>
      <w:r w:rsidR="006E3DD2" w:rsidRPr="00F71CB0">
        <w:rPr>
          <w:rFonts w:asciiTheme="majorBidi" w:hAnsiTheme="majorBidi" w:cstheme="majorBidi"/>
          <w:sz w:val="28"/>
          <w:szCs w:val="28"/>
        </w:rPr>
        <w:t xml:space="preserve">or from </w:t>
      </w:r>
      <w:r w:rsidR="006E3DD2">
        <w:rPr>
          <w:rFonts w:asciiTheme="majorBidi" w:hAnsiTheme="majorBidi" w:cstheme="majorBidi"/>
          <w:sz w:val="28"/>
          <w:szCs w:val="28"/>
        </w:rPr>
        <w:t>rituximab</w:t>
      </w:r>
      <w:r w:rsidR="004E0B65">
        <w:rPr>
          <w:rFonts w:asciiTheme="majorBidi" w:hAnsiTheme="majorBidi" w:cstheme="majorBidi"/>
          <w:sz w:val="28"/>
          <w:szCs w:val="28"/>
        </w:rPr>
        <w:t xml:space="preserve"> and mycophenolate mofetil</w:t>
      </w:r>
      <w:r w:rsidR="006E3DD2" w:rsidRPr="00F71CB0">
        <w:rPr>
          <w:rFonts w:asciiTheme="majorBidi" w:hAnsiTheme="majorBidi" w:cstheme="majorBidi"/>
          <w:sz w:val="28"/>
          <w:szCs w:val="28"/>
        </w:rPr>
        <w:t>.</w:t>
      </w:r>
    </w:p>
    <w:p w:rsidR="006E3DD2" w:rsidRPr="00F71CB0" w:rsidRDefault="006E3DD2" w:rsidP="00B60D5B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Cost </w:t>
      </w:r>
      <w:r w:rsidR="00B60D5B">
        <w:rPr>
          <w:rFonts w:asciiTheme="majorBidi" w:hAnsiTheme="majorBidi" w:cstheme="majorBidi"/>
          <w:sz w:val="28"/>
          <w:szCs w:val="28"/>
        </w:rPr>
        <w:t xml:space="preserve">of rituximab is less than the </w:t>
      </w:r>
      <w:r>
        <w:rPr>
          <w:rFonts w:asciiTheme="majorBidi" w:hAnsiTheme="majorBidi" w:cstheme="majorBidi"/>
          <w:sz w:val="28"/>
          <w:szCs w:val="28"/>
        </w:rPr>
        <w:t>cost that needed if the patients had frequent admissions</w:t>
      </w:r>
      <w:r w:rsidRPr="00F71CB0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to the hospital or developed renal failure and ended with dialysis .</w:t>
      </w:r>
    </w:p>
    <w:p w:rsidR="006E3DD2" w:rsidRPr="006E3DD2" w:rsidRDefault="006E3DD2" w:rsidP="006E3DD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3155BC" w:rsidRPr="00FE5681" w:rsidRDefault="0075163D" w:rsidP="003155BC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</w:p>
    <w:sectPr w:rsidR="003155BC" w:rsidRPr="00FE5681" w:rsidSect="0069598A">
      <w:footerReference w:type="default" r:id="rId7"/>
      <w:pgSz w:w="11906" w:h="16838"/>
      <w:pgMar w:top="1440" w:right="1800" w:bottom="1440" w:left="180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619" w:rsidRDefault="00986619" w:rsidP="0069598A">
      <w:pPr>
        <w:spacing w:after="0" w:line="240" w:lineRule="auto"/>
      </w:pPr>
      <w:r>
        <w:separator/>
      </w:r>
    </w:p>
  </w:endnote>
  <w:endnote w:type="continuationSeparator" w:id="0">
    <w:p w:rsidR="00986619" w:rsidRDefault="00986619" w:rsidP="00695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4377"/>
      <w:docPartObj>
        <w:docPartGallery w:val="Page Numbers (Bottom of Page)"/>
        <w:docPartUnique/>
      </w:docPartObj>
    </w:sdtPr>
    <w:sdtEndPr/>
    <w:sdtContent>
      <w:p w:rsidR="0069598A" w:rsidRDefault="009866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3B58" w:rsidRPr="00C83B58">
          <w:rPr>
            <w:rFonts w:cs="Calibri"/>
            <w:noProof/>
            <w:rtl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69598A" w:rsidRDefault="006959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619" w:rsidRDefault="00986619" w:rsidP="0069598A">
      <w:pPr>
        <w:spacing w:after="0" w:line="240" w:lineRule="auto"/>
      </w:pPr>
      <w:r>
        <w:separator/>
      </w:r>
    </w:p>
  </w:footnote>
  <w:footnote w:type="continuationSeparator" w:id="0">
    <w:p w:rsidR="00986619" w:rsidRDefault="00986619" w:rsidP="00695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706EE"/>
    <w:multiLevelType w:val="hybridMultilevel"/>
    <w:tmpl w:val="F2F2F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D94C8C"/>
    <w:multiLevelType w:val="hybridMultilevel"/>
    <w:tmpl w:val="4E1C0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C69B6"/>
    <w:rsid w:val="00010135"/>
    <w:rsid w:val="001B4E0F"/>
    <w:rsid w:val="001D247E"/>
    <w:rsid w:val="00217388"/>
    <w:rsid w:val="003155BC"/>
    <w:rsid w:val="00347DF6"/>
    <w:rsid w:val="0037276E"/>
    <w:rsid w:val="003C69B6"/>
    <w:rsid w:val="0045302C"/>
    <w:rsid w:val="004C73B2"/>
    <w:rsid w:val="004D0D55"/>
    <w:rsid w:val="004E0B65"/>
    <w:rsid w:val="00576220"/>
    <w:rsid w:val="0069598A"/>
    <w:rsid w:val="006E3DD2"/>
    <w:rsid w:val="0075163D"/>
    <w:rsid w:val="007D72F6"/>
    <w:rsid w:val="00837B55"/>
    <w:rsid w:val="00986619"/>
    <w:rsid w:val="00A95C13"/>
    <w:rsid w:val="00B60D5B"/>
    <w:rsid w:val="00BA743D"/>
    <w:rsid w:val="00C672BF"/>
    <w:rsid w:val="00C83B58"/>
    <w:rsid w:val="00C87C78"/>
    <w:rsid w:val="00CE2772"/>
    <w:rsid w:val="00D70692"/>
    <w:rsid w:val="00D8786C"/>
    <w:rsid w:val="00E45495"/>
    <w:rsid w:val="00EA5085"/>
    <w:rsid w:val="00F31E87"/>
    <w:rsid w:val="00F53FCF"/>
    <w:rsid w:val="00F919E9"/>
    <w:rsid w:val="00FD224E"/>
    <w:rsid w:val="00FE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FA331E3-6CA2-4E67-BDC8-AED1A72D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FCF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6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959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598A"/>
  </w:style>
  <w:style w:type="paragraph" w:styleId="Footer">
    <w:name w:val="footer"/>
    <w:basedOn w:val="Normal"/>
    <w:link w:val="FooterChar"/>
    <w:uiPriority w:val="99"/>
    <w:unhideWhenUsed/>
    <w:rsid w:val="006959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98A"/>
  </w:style>
  <w:style w:type="table" w:styleId="TableGrid">
    <w:name w:val="Table Grid"/>
    <w:basedOn w:val="TableNormal"/>
    <w:uiPriority w:val="59"/>
    <w:rsid w:val="00F91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13</cp:revision>
  <dcterms:created xsi:type="dcterms:W3CDTF">2016-03-15T15:21:00Z</dcterms:created>
  <dcterms:modified xsi:type="dcterms:W3CDTF">2016-05-11T16:07:00Z</dcterms:modified>
</cp:coreProperties>
</file>