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F83" w:rsidRDefault="00C94CF4" w:rsidP="00C94CF4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</w:t>
      </w:r>
    </w:p>
    <w:p w:rsidR="00013F83" w:rsidRDefault="00013F83" w:rsidP="00C94CF4">
      <w:pPr>
        <w:jc w:val="both"/>
        <w:rPr>
          <w:sz w:val="22"/>
          <w:szCs w:val="22"/>
          <w:lang w:val="en-GB"/>
        </w:rPr>
      </w:pPr>
    </w:p>
    <w:p w:rsidR="00013F83" w:rsidRDefault="00013F83" w:rsidP="00C94CF4">
      <w:pPr>
        <w:jc w:val="both"/>
        <w:rPr>
          <w:sz w:val="22"/>
          <w:szCs w:val="22"/>
          <w:lang w:val="en-GB"/>
        </w:rPr>
      </w:pPr>
    </w:p>
    <w:p w:rsidR="00013F83" w:rsidRDefault="00013F83" w:rsidP="00013F83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To be presented at 17</w:t>
      </w:r>
      <w:r w:rsidRPr="00013F83">
        <w:rPr>
          <w:vertAlign w:val="superscript"/>
          <w:lang w:val="en-NZ"/>
        </w:rPr>
        <w:t>th</w:t>
      </w:r>
      <w:r>
        <w:rPr>
          <w:lang w:val="en-NZ"/>
        </w:rPr>
        <w:t xml:space="preserve"> Annual Conference of Nephrology, Dallas Tx, Dec 04-05, 2017</w:t>
      </w:r>
    </w:p>
    <w:p w:rsidR="00013F83" w:rsidRPr="00013F83" w:rsidRDefault="00013F83" w:rsidP="00C94CF4">
      <w:pPr>
        <w:jc w:val="both"/>
        <w:rPr>
          <w:sz w:val="22"/>
          <w:szCs w:val="22"/>
          <w:lang w:val="en-NZ"/>
        </w:rPr>
      </w:pPr>
    </w:p>
    <w:p w:rsidR="00C94CF4" w:rsidRDefault="00C94CF4" w:rsidP="00C94CF4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</w:t>
      </w:r>
      <w:bookmarkStart w:id="0" w:name="_GoBack"/>
      <w:bookmarkEnd w:id="0"/>
    </w:p>
    <w:p w:rsidR="00C94CF4" w:rsidRPr="007B4B6D" w:rsidRDefault="00C94CF4" w:rsidP="00514F68">
      <w:pPr>
        <w:rPr>
          <w:rFonts w:eastAsia="MS PGothic"/>
          <w:color w:val="000000"/>
          <w:sz w:val="28"/>
          <w:szCs w:val="28"/>
          <w:lang w:val="en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514F68" w:rsidRPr="007B4B6D">
        <w:rPr>
          <w:rFonts w:eastAsia="MS PGothic"/>
          <w:color w:val="000000"/>
          <w:sz w:val="28"/>
          <w:szCs w:val="28"/>
        </w:rPr>
        <w:t>Pharmacokinet</w:t>
      </w:r>
      <w:r w:rsidR="007B4B6D">
        <w:rPr>
          <w:rFonts w:eastAsia="MS PGothic"/>
          <w:color w:val="000000"/>
          <w:sz w:val="28"/>
          <w:szCs w:val="28"/>
        </w:rPr>
        <w:t>ics and Pharmacodynamics of Tolvaptan in Autosomal Dominant Polycystic Kidney Disease: Phase 2 Trials for Dose Selection in the Pivotal Phase 3 trial</w:t>
      </w:r>
    </w:p>
    <w:p w:rsidR="00514F68" w:rsidRPr="003D5139" w:rsidRDefault="00C94CF4" w:rsidP="00514F68">
      <w:pPr>
        <w:jc w:val="center"/>
      </w:pPr>
      <w:r>
        <w:rPr>
          <w:rFonts w:eastAsia="MS PGothic" w:hAnsi="Arial"/>
          <w:color w:val="000000"/>
        </w:rPr>
        <w:br/>
        <w:t xml:space="preserve">Name: </w:t>
      </w:r>
      <w:r w:rsidR="00514F68" w:rsidRPr="003D5139">
        <w:t xml:space="preserve">Susan </w:t>
      </w:r>
      <w:r w:rsidR="00514F68">
        <w:t xml:space="preserve">E. </w:t>
      </w:r>
      <w:r w:rsidR="00514F68" w:rsidRPr="003D5139">
        <w:t>Shoaf</w:t>
      </w:r>
      <w:r w:rsidR="00514F68">
        <w:t xml:space="preserve">, PhD </w:t>
      </w:r>
      <w:r w:rsidR="00514F68" w:rsidRPr="001F61CE">
        <w:rPr>
          <w:vertAlign w:val="superscript"/>
        </w:rPr>
        <w:t>1</w:t>
      </w:r>
      <w:r w:rsidR="00514F68" w:rsidRPr="003D5139">
        <w:t xml:space="preserve">, Arlene </w:t>
      </w:r>
      <w:r w:rsidR="00514F68">
        <w:t xml:space="preserve">B. Chapman, MD </w:t>
      </w:r>
      <w:r w:rsidR="00514F68" w:rsidRPr="002266E2">
        <w:rPr>
          <w:vertAlign w:val="superscript"/>
        </w:rPr>
        <w:t>2</w:t>
      </w:r>
      <w:r w:rsidR="00514F68">
        <w:t xml:space="preserve">, </w:t>
      </w:r>
      <w:r w:rsidR="00514F68">
        <w:br/>
      </w:r>
      <w:r w:rsidR="00514F68" w:rsidRPr="003D5139">
        <w:t xml:space="preserve">Vicente </w:t>
      </w:r>
      <w:r w:rsidR="00514F68">
        <w:t xml:space="preserve">E. Torres, MD, PhD </w:t>
      </w:r>
      <w:r w:rsidR="00514F68">
        <w:rPr>
          <w:vertAlign w:val="superscript"/>
        </w:rPr>
        <w:t>3</w:t>
      </w:r>
      <w:r w:rsidR="00514F68" w:rsidRPr="003D5139">
        <w:t>, John Ouyang</w:t>
      </w:r>
      <w:r w:rsidR="00514F68">
        <w:t>, PhD</w:t>
      </w:r>
      <w:r w:rsidR="00514F68" w:rsidRPr="003D5139">
        <w:t xml:space="preserve"> </w:t>
      </w:r>
      <w:r w:rsidR="00514F68" w:rsidRPr="001F61CE">
        <w:rPr>
          <w:vertAlign w:val="superscript"/>
        </w:rPr>
        <w:t>1</w:t>
      </w:r>
      <w:r w:rsidR="00514F68" w:rsidRPr="003D5139">
        <w:t xml:space="preserve">, Frank </w:t>
      </w:r>
      <w:r w:rsidR="00514F68">
        <w:t xml:space="preserve">S. Czerwiec, MD, PhD </w:t>
      </w:r>
      <w:r w:rsidR="00514F68" w:rsidRPr="001F61CE">
        <w:rPr>
          <w:vertAlign w:val="superscript"/>
        </w:rPr>
        <w:t>1</w:t>
      </w:r>
    </w:p>
    <w:p w:rsidR="00514F68" w:rsidRDefault="00514F68" w:rsidP="00514F68">
      <w:pPr>
        <w:rPr>
          <w:rFonts w:eastAsia="MS PGothic" w:hAnsi="Arial"/>
          <w:color w:val="000000"/>
        </w:rPr>
      </w:pPr>
    </w:p>
    <w:p w:rsidR="00514F68" w:rsidRDefault="00514F68" w:rsidP="00514F68">
      <w:pPr>
        <w:jc w:val="center"/>
      </w:pPr>
      <w:r>
        <w:rPr>
          <w:vertAlign w:val="superscript"/>
        </w:rPr>
        <w:t xml:space="preserve">1 </w:t>
      </w:r>
      <w:r>
        <w:t>Otsuka Pharmaceutical Development &amp; Commercialization, Rockville, MD, USA;</w:t>
      </w:r>
    </w:p>
    <w:p w:rsidR="00514F68" w:rsidRDefault="00514F68" w:rsidP="00514F68">
      <w:pPr>
        <w:jc w:val="center"/>
      </w:pPr>
      <w:r>
        <w:rPr>
          <w:vertAlign w:val="superscript"/>
        </w:rPr>
        <w:t xml:space="preserve">2 </w:t>
      </w:r>
      <w:r>
        <w:t>Division of Nephrology, Emory University School of Medicine, Atlanta, GA, USA;</w:t>
      </w:r>
    </w:p>
    <w:p w:rsidR="00C94CF4" w:rsidRDefault="00514F68" w:rsidP="00514F68">
      <w:pPr>
        <w:jc w:val="center"/>
      </w:pPr>
      <w:r>
        <w:rPr>
          <w:vertAlign w:val="superscript"/>
        </w:rPr>
        <w:t xml:space="preserve">3 </w:t>
      </w:r>
      <w:r>
        <w:t>D</w:t>
      </w:r>
      <w:r w:rsidRPr="00B34F68">
        <w:t>ivision of</w:t>
      </w:r>
      <w:r>
        <w:t xml:space="preserve"> </w:t>
      </w:r>
      <w:r w:rsidRPr="00B34F68">
        <w:t>Nephrology and</w:t>
      </w:r>
      <w:r>
        <w:t xml:space="preserve"> Hypertension, Mayo </w:t>
      </w:r>
      <w:r w:rsidRPr="00B34F68">
        <w:t xml:space="preserve">Clinic, </w:t>
      </w:r>
      <w:r>
        <w:t>Rochester, MN, USA</w:t>
      </w:r>
    </w:p>
    <w:p w:rsidR="00514F68" w:rsidRDefault="00514F68" w:rsidP="00514F68">
      <w:pPr>
        <w:rPr>
          <w:rFonts w:eastAsia="Batang"/>
          <w:color w:val="0000FF"/>
          <w:sz w:val="36"/>
          <w:szCs w:val="36"/>
        </w:rPr>
      </w:pPr>
    </w:p>
    <w:p w:rsidR="00C94CF4" w:rsidRDefault="007B4B6D" w:rsidP="00C94CF4">
      <w:pPr>
        <w:jc w:val="both"/>
        <w:rPr>
          <w:rFonts w:eastAsia="MS PGothic"/>
          <w:color w:val="000000"/>
          <w:szCs w:val="32"/>
        </w:rPr>
      </w:pPr>
      <w:r w:rsidRPr="007B4B6D">
        <w:rPr>
          <w:rFonts w:eastAsia="MS PGothic"/>
          <w:color w:val="000000"/>
          <w:szCs w:val="32"/>
        </w:rPr>
        <w:t>In the pivotal TEMPO 3:4 trial, the arginine vasopressin V2-receptor antagonist tolvaptan reduced the rate of kidney growth in patients with autosomal dominant polycystic kidney disease (ADPKD). Tolvaptan was initiated as daily morning/afternoon doses of 45/15 mg, and up-titrated weekly to 60/30 mg and 90/30 mg according to patient-reported tolerability. The current report describes three phase 2 trials in adult ADPKD subjects that were the basis for the titrated split-dose regimen: a single ascending dose trial (tolvaptan 15 to 120 mg; n=11), a multiple split-dose trial (tolvaptan 15/15 mg, 30/0 mg, 30/15 mg, and 30/30 mg; n=37) and an 8-week open-label safety and efficacy trial in 46 of the 48 subjects who participated in the prior two trials (tolvaptan 30/15 mg, 45/15 mg, 60/30 mg, and 90/30 mg). Urine osmolality (Uosm) was chosen as the biomarker of V2 receptor inhibition. Two tolvaptan doses per day were necessary to suppress Uosm to &lt;300mOsm/kg for 24h. The 45/15mg regimen was well-tolerated and effective in suppressing Uosm in &gt;50% of subjects. Therefore, this regimen was selected as the starting regimen for the TEMPO 3:4 trial. The 90/30 mg regimen suppressed Uosm in 85% of subjects tested, however, only 28/46 subjects agreed to up-titrate to 90/30 mg due to tolerability. Higher concentrations of tolvaptan were less well tolerated, resulting in adverse events of pollakiuria, thirst, polyuria, nocturia and a higher number of times out of bed to urinate. Subjects who agreed to up-titrate to 90/30mg had lower eGFR than those who did not up-titrate.</w:t>
      </w:r>
    </w:p>
    <w:p w:rsidR="007B4B6D" w:rsidRPr="007B4B6D" w:rsidRDefault="007B4B6D" w:rsidP="00C94CF4">
      <w:pPr>
        <w:jc w:val="both"/>
        <w:rPr>
          <w:color w:val="000000"/>
          <w:lang w:val="en-US"/>
        </w:rPr>
      </w:pPr>
    </w:p>
    <w:p w:rsidR="00C94CF4" w:rsidRDefault="00C94CF4" w:rsidP="00C94CF4">
      <w:pPr>
        <w:jc w:val="both"/>
        <w:rPr>
          <w:b/>
        </w:rPr>
      </w:pPr>
      <w:r>
        <w:rPr>
          <w:b/>
        </w:rPr>
        <w:t>Biography</w:t>
      </w:r>
    </w:p>
    <w:p w:rsidR="00C94CF4" w:rsidRDefault="00C94CF4" w:rsidP="00C94CF4">
      <w:pPr>
        <w:jc w:val="both"/>
        <w:rPr>
          <w:b/>
        </w:rPr>
      </w:pPr>
    </w:p>
    <w:p w:rsidR="00C94CF4" w:rsidRPr="00A41107" w:rsidRDefault="0044442F" w:rsidP="00C94CF4">
      <w:pPr>
        <w:jc w:val="both"/>
        <w:rPr>
          <w:rFonts w:eastAsia="MS PGothic"/>
          <w:b/>
          <w:color w:val="000000"/>
          <w:szCs w:val="32"/>
        </w:rPr>
      </w:pPr>
      <w:r>
        <w:t xml:space="preserve">Susan Shoaf </w:t>
      </w:r>
      <w:r w:rsidR="00C94CF4">
        <w:t xml:space="preserve">completed </w:t>
      </w:r>
      <w:r>
        <w:t>her</w:t>
      </w:r>
      <w:r w:rsidR="00C94CF4">
        <w:t xml:space="preserve"> PhD at </w:t>
      </w:r>
      <w:r>
        <w:t xml:space="preserve">the Cornell University Veterinary School </w:t>
      </w:r>
      <w:r w:rsidR="00C94CF4">
        <w:t xml:space="preserve">and postdoctoral studies </w:t>
      </w:r>
      <w:r>
        <w:t>at the Center for Food Science and Nutrition</w:t>
      </w:r>
      <w:r w:rsidR="00013F83">
        <w:t xml:space="preserve">, </w:t>
      </w:r>
      <w:r>
        <w:t>US FDA</w:t>
      </w:r>
      <w:r w:rsidR="00C94CF4">
        <w:t xml:space="preserve"> </w:t>
      </w:r>
      <w:r>
        <w:t>and National Institute on Alcohol Abuse and Alcoholism, NIH.</w:t>
      </w:r>
      <w:r w:rsidR="00013F83">
        <w:t xml:space="preserve"> </w:t>
      </w:r>
      <w:r>
        <w:t>Sh</w:t>
      </w:r>
      <w:r w:rsidR="00C94CF4">
        <w:t xml:space="preserve">e is </w:t>
      </w:r>
      <w:r>
        <w:t>Sr. D</w:t>
      </w:r>
      <w:r w:rsidR="00C94CF4">
        <w:t xml:space="preserve">irector of </w:t>
      </w:r>
      <w:r>
        <w:t>Clinical Pharmacology at Otsuka Pharmaceutical Development &amp; Commercialization. She</w:t>
      </w:r>
      <w:r w:rsidR="00C94CF4">
        <w:t xml:space="preserve"> has published more than </w:t>
      </w:r>
      <w:r w:rsidR="007B4B6D">
        <w:t>5</w:t>
      </w:r>
      <w:r>
        <w:t>0</w:t>
      </w:r>
      <w:r w:rsidR="00C94CF4">
        <w:t xml:space="preserve"> papers in reputed journals.</w:t>
      </w:r>
      <w:r w:rsidR="00C94CF4">
        <w:tab/>
      </w:r>
      <w:r w:rsidR="00C94CF4">
        <w:br/>
      </w:r>
    </w:p>
    <w:p w:rsidR="00C94CF4" w:rsidRPr="008A690F" w:rsidRDefault="00C94CF4" w:rsidP="00C94CF4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44442F">
        <w:rPr>
          <w:lang w:val="en-NZ"/>
        </w:rPr>
        <w:t>Susan E. Shoaf, PhD</w:t>
      </w:r>
      <w:r w:rsidRPr="008A690F">
        <w:rPr>
          <w:lang w:val="en-NZ"/>
        </w:rPr>
        <w:br/>
      </w:r>
      <w:r w:rsidRPr="008A690F">
        <w:rPr>
          <w:lang w:val="en-NZ"/>
        </w:rPr>
        <w:lastRenderedPageBreak/>
        <w:t>Contact number:</w:t>
      </w:r>
      <w:r w:rsidR="0044442F">
        <w:rPr>
          <w:lang w:val="en-NZ"/>
        </w:rPr>
        <w:t xml:space="preserve"> +1-240-683-3127</w:t>
      </w:r>
      <w:r w:rsidRPr="008A690F">
        <w:rPr>
          <w:lang w:val="en-NZ"/>
        </w:rPr>
        <w:br/>
        <w:t>Twitter account:</w:t>
      </w:r>
      <w:r w:rsidR="0044442F">
        <w:rPr>
          <w:lang w:val="en-NZ"/>
        </w:rPr>
        <w:t xml:space="preserve"> NA</w:t>
      </w:r>
      <w:r w:rsidRPr="008A690F">
        <w:rPr>
          <w:lang w:val="en-NZ"/>
        </w:rPr>
        <w:br/>
        <w:t>Linked In account:</w:t>
      </w:r>
      <w:r w:rsidR="0044442F">
        <w:rPr>
          <w:lang w:val="en-NZ"/>
        </w:rPr>
        <w:t xml:space="preserve"> Susan Shoaf</w:t>
      </w:r>
    </w:p>
    <w:p w:rsidR="00C94CF4" w:rsidRDefault="00C94CF4" w:rsidP="00C94CF4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Pr="008A690F">
        <w:rPr>
          <w:lang w:val="en-NZ"/>
        </w:rPr>
        <w:br/>
        <w:t>Category: (Oral presentation)</w:t>
      </w:r>
      <w:r>
        <w:rPr>
          <w:lang w:val="en-NZ"/>
        </w:rPr>
        <w:br/>
      </w:r>
    </w:p>
    <w:p w:rsidR="00C94CF4" w:rsidRDefault="00C94CF4" w:rsidP="00C94CF4">
      <w:pPr>
        <w:autoSpaceDE w:val="0"/>
        <w:autoSpaceDN w:val="0"/>
        <w:adjustRightInd w:val="0"/>
        <w:rPr>
          <w:lang w:val="en-NZ"/>
        </w:rPr>
      </w:pPr>
    </w:p>
    <w:sectPr w:rsidR="00C94CF4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170" w:rsidRDefault="007A5170" w:rsidP="007A5170">
      <w:r>
        <w:separator/>
      </w:r>
    </w:p>
  </w:endnote>
  <w:endnote w:type="continuationSeparator" w:id="0">
    <w:p w:rsidR="007A5170" w:rsidRDefault="007A5170" w:rsidP="007A5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170" w:rsidRDefault="007A5170" w:rsidP="007A5170">
      <w:r>
        <w:separator/>
      </w:r>
    </w:p>
  </w:footnote>
  <w:footnote w:type="continuationSeparator" w:id="0">
    <w:p w:rsidR="007A5170" w:rsidRDefault="007A5170" w:rsidP="007A51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CF4"/>
    <w:rsid w:val="00013F83"/>
    <w:rsid w:val="00412C89"/>
    <w:rsid w:val="0044442F"/>
    <w:rsid w:val="00514F68"/>
    <w:rsid w:val="007271CC"/>
    <w:rsid w:val="007A5170"/>
    <w:rsid w:val="007B4B6D"/>
    <w:rsid w:val="009A6B7D"/>
    <w:rsid w:val="00A01E1F"/>
    <w:rsid w:val="00C94CF4"/>
    <w:rsid w:val="00F5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CACB9EB-8D94-4D18-8E96-79D5C13D5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4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4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CF4"/>
    <w:rPr>
      <w:rFonts w:ascii="Tahoma" w:eastAsia="Times New Roman" w:hAnsi="Tahoma" w:cs="Tahoma"/>
      <w:sz w:val="16"/>
      <w:szCs w:val="16"/>
      <w:lang w:val="it-IT" w:eastAsia="it-IT"/>
    </w:rPr>
  </w:style>
  <w:style w:type="paragraph" w:styleId="Header">
    <w:name w:val="header"/>
    <w:basedOn w:val="Normal"/>
    <w:link w:val="HeaderChar"/>
    <w:uiPriority w:val="99"/>
    <w:unhideWhenUsed/>
    <w:rsid w:val="007A51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170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Footer">
    <w:name w:val="footer"/>
    <w:basedOn w:val="Normal"/>
    <w:link w:val="FooterChar"/>
    <w:uiPriority w:val="99"/>
    <w:unhideWhenUsed/>
    <w:rsid w:val="007A51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170"/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pediatriccongress</dc:creator>
  <cp:lastModifiedBy>Shoaf, Susan</cp:lastModifiedBy>
  <cp:revision>2</cp:revision>
  <dcterms:created xsi:type="dcterms:W3CDTF">2017-05-15T13:48:00Z</dcterms:created>
  <dcterms:modified xsi:type="dcterms:W3CDTF">2017-05-15T13:48:00Z</dcterms:modified>
</cp:coreProperties>
</file>