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CF4" w:rsidRDefault="00C94CF4" w:rsidP="00C94CF4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ED7E04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257300" cy="1552575"/>
            <wp:effectExtent l="19050" t="0" r="0" b="0"/>
            <wp:docPr id="13" name="Picture 13" descr="aks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ks 0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3AA" w:rsidRDefault="000623AA" w:rsidP="00ED7E04">
      <w:pPr>
        <w:autoSpaceDE w:val="0"/>
        <w:autoSpaceDN w:val="0"/>
        <w:adjustRightInd w:val="0"/>
        <w:rPr>
          <w:rFonts w:ascii="CapitoliumNews-Regular" w:eastAsiaTheme="minorHAnsi" w:hAnsi="CapitoliumNews-Regular" w:cs="CapitoliumNews-Regular"/>
          <w:sz w:val="30"/>
          <w:szCs w:val="30"/>
          <w:lang w:val="en-US" w:eastAsia="en-US"/>
        </w:rPr>
      </w:pPr>
    </w:p>
    <w:p w:rsidR="00ED7E04" w:rsidRDefault="00ED7E04" w:rsidP="00ED7E04">
      <w:pPr>
        <w:autoSpaceDE w:val="0"/>
        <w:autoSpaceDN w:val="0"/>
        <w:adjustRightInd w:val="0"/>
        <w:rPr>
          <w:rFonts w:ascii="CapitoliumNews-Regular" w:eastAsiaTheme="minorHAnsi" w:hAnsi="CapitoliumNews-Regular" w:cs="CapitoliumNews-Regular"/>
          <w:sz w:val="30"/>
          <w:szCs w:val="30"/>
          <w:lang w:val="en-US" w:eastAsia="en-US"/>
        </w:rPr>
      </w:pPr>
      <w:r>
        <w:rPr>
          <w:rFonts w:ascii="CapitoliumNews-Regular" w:eastAsiaTheme="minorHAnsi" w:hAnsi="CapitoliumNews-Regular" w:cs="CapitoliumNews-Regular"/>
          <w:sz w:val="30"/>
          <w:szCs w:val="30"/>
          <w:lang w:val="en-US" w:eastAsia="en-US"/>
        </w:rPr>
        <w:t>Comparison of the Efficacy of Tacrolimus Versus Cyclosporine in the</w:t>
      </w:r>
    </w:p>
    <w:p w:rsidR="000623AA" w:rsidRDefault="00ED7E04" w:rsidP="00ED7E04">
      <w:pPr>
        <w:rPr>
          <w:rFonts w:ascii="CapitoliumNews-Regular" w:eastAsiaTheme="minorHAnsi" w:hAnsi="CapitoliumNews-Regular" w:cs="CapitoliumNews-Regular"/>
          <w:sz w:val="30"/>
          <w:szCs w:val="30"/>
          <w:lang w:val="en-US" w:eastAsia="en-US"/>
        </w:rPr>
      </w:pPr>
      <w:r>
        <w:rPr>
          <w:rFonts w:ascii="CapitoliumNews-Regular" w:eastAsiaTheme="minorHAnsi" w:hAnsi="CapitoliumNews-Regular" w:cs="CapitoliumNews-Regular"/>
          <w:sz w:val="30"/>
          <w:szCs w:val="30"/>
          <w:lang w:val="en-US" w:eastAsia="en-US"/>
        </w:rPr>
        <w:t>Treatment of Idiopathic Membranous Nephropathy</w:t>
      </w:r>
    </w:p>
    <w:p w:rsidR="00ED7E04" w:rsidRDefault="00C94CF4" w:rsidP="00ED7E04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ED7E04">
        <w:rPr>
          <w:rFonts w:eastAsia="MS PGothic" w:hAnsi="Arial"/>
          <w:color w:val="000000"/>
        </w:rPr>
        <w:t>Name: Sima Golmohammadi</w:t>
      </w:r>
    </w:p>
    <w:p w:rsidR="00ED7E04" w:rsidRDefault="00ED7E04" w:rsidP="00ED7E04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 w:hAnsi="Arial"/>
          <w:color w:val="000000"/>
        </w:rPr>
        <w:t>Kermanshah University of Medical Sciences, Kermanshah, Iran.</w:t>
      </w:r>
    </w:p>
    <w:p w:rsidR="00C94CF4" w:rsidRDefault="00ED7E04" w:rsidP="00ED7E04">
      <w:pPr>
        <w:rPr>
          <w:rFonts w:eastAsia="Batang"/>
          <w:color w:val="0000FF"/>
          <w:sz w:val="36"/>
          <w:szCs w:val="36"/>
        </w:rPr>
      </w:pPr>
      <w:r>
        <w:rPr>
          <w:rFonts w:eastAsia="Batang"/>
          <w:color w:val="0000FF"/>
          <w:sz w:val="36"/>
          <w:szCs w:val="36"/>
        </w:rPr>
        <w:t xml:space="preserve"> </w:t>
      </w:r>
    </w:p>
    <w:p w:rsidR="00ED7E04" w:rsidRPr="00C80B68" w:rsidRDefault="00ED7E04" w:rsidP="00ED7E04">
      <w:pPr>
        <w:autoSpaceDE w:val="0"/>
        <w:autoSpaceDN w:val="0"/>
        <w:adjustRightInd w:val="0"/>
        <w:rPr>
          <w:rFonts w:asciiTheme="majorBidi" w:eastAsiaTheme="minorHAnsi" w:hAnsiTheme="majorBidi" w:cstheme="majorBidi"/>
          <w:b/>
          <w:bCs/>
          <w:sz w:val="22"/>
          <w:szCs w:val="22"/>
          <w:lang w:val="en-US" w:eastAsia="en-US"/>
        </w:rPr>
      </w:pPr>
      <w:r w:rsidRPr="00C80B68">
        <w:rPr>
          <w:rFonts w:asciiTheme="majorBidi" w:eastAsiaTheme="minorHAnsi" w:hAnsiTheme="majorBidi" w:cstheme="majorBidi"/>
          <w:b/>
          <w:bCs/>
          <w:sz w:val="22"/>
          <w:szCs w:val="22"/>
          <w:lang w:val="en-US" w:eastAsia="en-US"/>
        </w:rPr>
        <w:t>Abstract</w:t>
      </w:r>
    </w:p>
    <w:p w:rsidR="00ED7E04" w:rsidRPr="00C80B68" w:rsidRDefault="00ED7E04" w:rsidP="00C80B68">
      <w:pPr>
        <w:autoSpaceDE w:val="0"/>
        <w:autoSpaceDN w:val="0"/>
        <w:adjustRightInd w:val="0"/>
        <w:rPr>
          <w:rFonts w:asciiTheme="majorBidi" w:eastAsiaTheme="minorHAnsi" w:hAnsiTheme="majorBidi" w:cstheme="majorBidi"/>
          <w:sz w:val="22"/>
          <w:szCs w:val="22"/>
          <w:lang w:val="en-US" w:eastAsia="en-US"/>
        </w:rPr>
      </w:pPr>
      <w:r w:rsidRPr="00C80B68">
        <w:rPr>
          <w:rFonts w:asciiTheme="majorBidi" w:eastAsiaTheme="minorHAnsi" w:hAnsiTheme="majorBidi" w:cstheme="majorBidi"/>
          <w:b/>
          <w:bCs/>
          <w:sz w:val="22"/>
          <w:szCs w:val="22"/>
          <w:lang w:val="en-US" w:eastAsia="en-US"/>
        </w:rPr>
        <w:t xml:space="preserve">Background: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Immunosuppressive drugs have received the most attention for Idiopathic Membranous Nephropathy (IMN) that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include alkylating agents such as tacrolimus and cyclosporine.</w:t>
      </w:r>
    </w:p>
    <w:p w:rsidR="00ED7E04" w:rsidRPr="00C80B68" w:rsidRDefault="00ED7E04" w:rsidP="00C80B68">
      <w:pPr>
        <w:autoSpaceDE w:val="0"/>
        <w:autoSpaceDN w:val="0"/>
        <w:adjustRightInd w:val="0"/>
        <w:rPr>
          <w:rFonts w:asciiTheme="majorBidi" w:eastAsiaTheme="minorHAnsi" w:hAnsiTheme="majorBidi" w:cstheme="majorBidi"/>
          <w:sz w:val="22"/>
          <w:szCs w:val="22"/>
          <w:lang w:val="en-US" w:eastAsia="en-US"/>
        </w:rPr>
      </w:pPr>
      <w:r w:rsidRPr="00C80B68">
        <w:rPr>
          <w:rFonts w:asciiTheme="majorBidi" w:eastAsiaTheme="minorHAnsi" w:hAnsiTheme="majorBidi" w:cstheme="majorBidi"/>
          <w:b/>
          <w:bCs/>
          <w:sz w:val="22"/>
          <w:szCs w:val="22"/>
          <w:lang w:val="en-US" w:eastAsia="en-US"/>
        </w:rPr>
        <w:t xml:space="preserve">Objectives: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This study was aimed to evaluate the efficacy of tacrolimus versus cyclosporine in the treatment of IMN in theWestern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region of Iran.</w:t>
      </w:r>
    </w:p>
    <w:p w:rsidR="00ED7E04" w:rsidRPr="00C80B68" w:rsidRDefault="00ED7E04" w:rsidP="00C80B68">
      <w:pPr>
        <w:autoSpaceDE w:val="0"/>
        <w:autoSpaceDN w:val="0"/>
        <w:adjustRightInd w:val="0"/>
        <w:rPr>
          <w:rFonts w:asciiTheme="majorBidi" w:eastAsiaTheme="minorHAnsi" w:hAnsiTheme="majorBidi" w:cstheme="majorBidi"/>
          <w:sz w:val="22"/>
          <w:szCs w:val="22"/>
          <w:lang w:val="en-US" w:eastAsia="en-US"/>
        </w:rPr>
      </w:pPr>
      <w:r w:rsidRPr="00C80B68">
        <w:rPr>
          <w:rFonts w:asciiTheme="majorBidi" w:eastAsiaTheme="minorHAnsi" w:hAnsiTheme="majorBidi" w:cstheme="majorBidi"/>
          <w:b/>
          <w:bCs/>
          <w:sz w:val="22"/>
          <w:szCs w:val="22"/>
          <w:lang w:val="en-US" w:eastAsia="en-US"/>
        </w:rPr>
        <w:t xml:space="preserve">Methods: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This clinical trial and double-blind study was performedonIMNpatients based on the primary biopsy with a range of 15 to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70 years. The patients with secondary membranous nephropathy such as hepatitis B, hepatitis C and systemic lupus erythematosus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were censored from the study. Group C was treated with cyclosporine 3 - 6 mg/kg/d and a low dose of prednisolone and Group T was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treated with tacrolimus 0.05 mg/kg/d and low dose of prednisolone.</w:t>
      </w:r>
    </w:p>
    <w:p w:rsidR="00ED7E04" w:rsidRPr="00C80B68" w:rsidRDefault="00ED7E04" w:rsidP="00C80B68">
      <w:pPr>
        <w:autoSpaceDE w:val="0"/>
        <w:autoSpaceDN w:val="0"/>
        <w:adjustRightInd w:val="0"/>
        <w:rPr>
          <w:rFonts w:asciiTheme="majorBidi" w:eastAsiaTheme="minorHAnsi" w:hAnsiTheme="majorBidi" w:cstheme="majorBidi"/>
          <w:sz w:val="22"/>
          <w:szCs w:val="22"/>
          <w:lang w:val="en-US" w:eastAsia="en-US"/>
        </w:rPr>
      </w:pPr>
      <w:r w:rsidRPr="00C80B68">
        <w:rPr>
          <w:rFonts w:asciiTheme="majorBidi" w:eastAsiaTheme="minorHAnsi" w:hAnsiTheme="majorBidi" w:cstheme="majorBidi"/>
          <w:b/>
          <w:bCs/>
          <w:sz w:val="22"/>
          <w:szCs w:val="22"/>
          <w:lang w:val="en-US" w:eastAsia="en-US"/>
        </w:rPr>
        <w:t xml:space="preserve">Results: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68 patients were entered in our study, 34 patients were randomly selected in Group T and 34 patients in Group C. The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24-hour urine protein reduced significantly in the two groups after the 3rd and the 6th month compared with the baseline. Uric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acid increased in Group T after 3 and 6 months compared with the baseline (P &lt; 0.05), but there was no significant difference in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Group C. Creatinine clearance increased in two groups after 3 and 6 months compared with the baseline, however, it has been just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as significant in Group T after 6 months. There was no significant difference in the two groups after 3 or 6 months from the first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dialysis.</w:t>
      </w:r>
    </w:p>
    <w:p w:rsidR="00ED7E04" w:rsidRPr="00C80B68" w:rsidRDefault="00ED7E04" w:rsidP="00C80B68">
      <w:pPr>
        <w:autoSpaceDE w:val="0"/>
        <w:autoSpaceDN w:val="0"/>
        <w:adjustRightInd w:val="0"/>
        <w:rPr>
          <w:rFonts w:asciiTheme="majorBidi" w:eastAsiaTheme="minorHAnsi" w:hAnsiTheme="majorBidi" w:cstheme="majorBidi"/>
          <w:sz w:val="22"/>
          <w:szCs w:val="22"/>
          <w:lang w:val="en-US" w:eastAsia="en-US"/>
        </w:rPr>
      </w:pPr>
      <w:r w:rsidRPr="00C80B68">
        <w:rPr>
          <w:rFonts w:asciiTheme="majorBidi" w:eastAsiaTheme="minorHAnsi" w:hAnsiTheme="majorBidi" w:cstheme="majorBidi"/>
          <w:b/>
          <w:bCs/>
          <w:sz w:val="22"/>
          <w:szCs w:val="22"/>
          <w:lang w:val="en-US" w:eastAsia="en-US"/>
        </w:rPr>
        <w:t xml:space="preserve">Conclusions: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Cyclosporine and tacrolimus reduce proteinuria and serum creatinine after 6 months. Nonetheless, tacrolimus reduces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urea and cyclosporine increases it. However, since the prevalence of the side effects of both drugs is similar, tacrolimus has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 xml:space="preserve">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better results in the treatment of IMN patients compared with cyclosporine.</w:t>
      </w:r>
    </w:p>
    <w:p w:rsidR="00C94CF4" w:rsidRPr="00C80B68" w:rsidRDefault="00ED7E04" w:rsidP="00ED7E04">
      <w:pPr>
        <w:jc w:val="both"/>
        <w:rPr>
          <w:rFonts w:asciiTheme="majorBidi" w:eastAsiaTheme="minorHAnsi" w:hAnsiTheme="majorBidi" w:cstheme="majorBidi"/>
          <w:sz w:val="22"/>
          <w:szCs w:val="22"/>
          <w:lang w:val="en-US" w:eastAsia="en-US"/>
        </w:rPr>
      </w:pPr>
      <w:r w:rsidRPr="00C80B68">
        <w:rPr>
          <w:rFonts w:asciiTheme="majorBidi" w:eastAsiaTheme="minorHAnsi" w:hAnsiTheme="majorBidi" w:cstheme="majorBidi"/>
          <w:i/>
          <w:iCs/>
          <w:sz w:val="22"/>
          <w:szCs w:val="22"/>
          <w:lang w:val="en-US" w:eastAsia="en-US"/>
        </w:rPr>
        <w:t xml:space="preserve">Keywords: </w:t>
      </w:r>
      <w:r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Nephropathy, Cyclosporine, Tacrolimus, Proteinuria</w:t>
      </w:r>
      <w:r w:rsidR="00C80B68" w:rsidRPr="00C80B68">
        <w:rPr>
          <w:rFonts w:asciiTheme="majorBidi" w:eastAsiaTheme="minorHAnsi" w:hAnsiTheme="majorBidi" w:cstheme="majorBidi"/>
          <w:sz w:val="22"/>
          <w:szCs w:val="22"/>
          <w:lang w:val="en-US" w:eastAsia="en-US"/>
        </w:rPr>
        <w:t>.</w:t>
      </w:r>
    </w:p>
    <w:p w:rsidR="00ED7E04" w:rsidRDefault="00ED7E04" w:rsidP="00ED7E04">
      <w:pPr>
        <w:jc w:val="both"/>
        <w:rPr>
          <w:color w:val="000000"/>
        </w:rPr>
      </w:pPr>
    </w:p>
    <w:p w:rsidR="00C94CF4" w:rsidRDefault="00C94CF4" w:rsidP="00C94CF4">
      <w:pPr>
        <w:jc w:val="both"/>
        <w:rPr>
          <w:b/>
        </w:rPr>
      </w:pPr>
      <w:r>
        <w:rPr>
          <w:b/>
        </w:rPr>
        <w:t>Biography</w:t>
      </w:r>
    </w:p>
    <w:p w:rsidR="00C94CF4" w:rsidRDefault="00C94CF4" w:rsidP="00C94CF4">
      <w:pPr>
        <w:jc w:val="both"/>
        <w:rPr>
          <w:b/>
        </w:rPr>
      </w:pPr>
    </w:p>
    <w:p w:rsidR="00C94CF4" w:rsidRPr="00A41107" w:rsidRDefault="00360795" w:rsidP="00360795">
      <w:pPr>
        <w:rPr>
          <w:rFonts w:eastAsia="MS PGothic"/>
          <w:b/>
          <w:color w:val="000000"/>
          <w:szCs w:val="32"/>
        </w:rPr>
      </w:pPr>
      <w:r>
        <w:rPr>
          <w:rFonts w:eastAsia="MS PGothic" w:hAnsi="Arial"/>
          <w:color w:val="000000"/>
        </w:rPr>
        <w:t>Sima Golmohammadi</w:t>
      </w:r>
      <w:r>
        <w:t xml:space="preserve"> has completed her subspecialty of adult nephrology from Tehran University of Medical Sciences at 42 years of age.She is </w:t>
      </w:r>
      <w:r>
        <w:rPr>
          <w:lang w:val="en-US"/>
        </w:rPr>
        <w:t xml:space="preserve">assistant proffessor of nephrology in Kermanshah Univercity of Medical Science and </w:t>
      </w:r>
      <w:r>
        <w:t xml:space="preserve">work in Imam Reza Hospital.     </w:t>
      </w:r>
      <w:r w:rsidR="00C94CF4">
        <w:br/>
      </w:r>
    </w:p>
    <w:p w:rsidR="00D83179" w:rsidRDefault="00C94CF4" w:rsidP="00C94CF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</w:p>
    <w:p w:rsidR="00C94CF4" w:rsidRPr="008A690F" w:rsidRDefault="00C94CF4" w:rsidP="00C94CF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ED7E04" w:rsidRPr="00D83179">
        <w:rPr>
          <w:b/>
          <w:bCs/>
          <w:lang w:val="en-NZ"/>
        </w:rPr>
        <w:t>Sima Golmohammadi</w:t>
      </w:r>
      <w:r w:rsidR="00ED7E04">
        <w:rPr>
          <w:lang w:val="en-NZ"/>
        </w:rPr>
        <w:tab/>
      </w:r>
      <w:r w:rsidR="00ED7E04">
        <w:rPr>
          <w:lang w:val="en-NZ"/>
        </w:rPr>
        <w:tab/>
      </w:r>
      <w:r w:rsidRPr="008A690F">
        <w:rPr>
          <w:lang w:val="en-NZ"/>
        </w:rPr>
        <w:br/>
        <w:t>Contact number:</w:t>
      </w:r>
      <w:r w:rsidR="00ED7E04">
        <w:rPr>
          <w:lang w:val="en-NZ"/>
        </w:rPr>
        <w:t xml:space="preserve"> </w:t>
      </w:r>
      <w:r w:rsidR="00ED7E04" w:rsidRPr="00D83179">
        <w:rPr>
          <w:b/>
          <w:bCs/>
          <w:lang w:val="en-NZ"/>
        </w:rPr>
        <w:t>00989126444219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C94CF4" w:rsidRDefault="00C94CF4" w:rsidP="007F215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 xml:space="preserve">Session </w:t>
      </w:r>
      <w:r w:rsidR="00ED7E04">
        <w:rPr>
          <w:lang w:val="en-NZ"/>
        </w:rPr>
        <w:t>name/ number:</w:t>
      </w:r>
      <w:r w:rsidR="00ED7E04">
        <w:rPr>
          <w:lang w:val="en-NZ"/>
        </w:rPr>
        <w:br/>
        <w:t xml:space="preserve">Category: </w:t>
      </w:r>
      <w:r w:rsidR="00ED7E04" w:rsidRPr="00D83179">
        <w:rPr>
          <w:b/>
          <w:bCs/>
          <w:lang w:val="en-NZ"/>
        </w:rPr>
        <w:t>Poster Presentation</w:t>
      </w:r>
      <w:r>
        <w:rPr>
          <w:lang w:val="en-NZ"/>
        </w:rPr>
        <w:br/>
      </w:r>
      <w:bookmarkStart w:id="0" w:name="_GoBack"/>
      <w:bookmarkEnd w:id="0"/>
    </w:p>
    <w:sectPr w:rsidR="00C94CF4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pitoliumNew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C94CF4"/>
    <w:rsid w:val="000623AA"/>
    <w:rsid w:val="00170DB4"/>
    <w:rsid w:val="00360795"/>
    <w:rsid w:val="006A43E5"/>
    <w:rsid w:val="007F2156"/>
    <w:rsid w:val="009A6B7D"/>
    <w:rsid w:val="00C80B68"/>
    <w:rsid w:val="00C94CF4"/>
    <w:rsid w:val="00D83179"/>
    <w:rsid w:val="00ED7E04"/>
    <w:rsid w:val="00F50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pediatriccongress</dc:creator>
  <cp:lastModifiedBy>PARAND</cp:lastModifiedBy>
  <cp:revision>9</cp:revision>
  <dcterms:created xsi:type="dcterms:W3CDTF">2017-01-24T13:26:00Z</dcterms:created>
  <dcterms:modified xsi:type="dcterms:W3CDTF">2017-04-21T17:12:00Z</dcterms:modified>
</cp:coreProperties>
</file>