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143" w:rsidRDefault="005F6143">
      <w:pPr>
        <w:rPr>
          <w:color w:val="5C5C5C"/>
          <w:kern w:val="36"/>
          <w:sz w:val="33"/>
          <w:szCs w:val="33"/>
        </w:rPr>
      </w:pPr>
      <w:r>
        <w:rPr>
          <w:color w:val="5C5C5C"/>
          <w:kern w:val="36"/>
          <w:sz w:val="33"/>
          <w:szCs w:val="33"/>
        </w:rPr>
        <w:t xml:space="preserve">Title: </w:t>
      </w:r>
      <w:r>
        <w:rPr>
          <w:color w:val="5C5C5C"/>
          <w:kern w:val="36"/>
          <w:sz w:val="33"/>
          <w:szCs w:val="33"/>
        </w:rPr>
        <w:t xml:space="preserve">Randomized trial of </w:t>
      </w:r>
      <w:proofErr w:type="spellStart"/>
      <w:r>
        <w:rPr>
          <w:color w:val="5C5C5C"/>
          <w:kern w:val="36"/>
          <w:sz w:val="33"/>
          <w:szCs w:val="33"/>
        </w:rPr>
        <w:t>rATg</w:t>
      </w:r>
      <w:proofErr w:type="spellEnd"/>
      <w:r>
        <w:rPr>
          <w:color w:val="5C5C5C"/>
          <w:kern w:val="36"/>
          <w:sz w:val="33"/>
          <w:szCs w:val="33"/>
        </w:rPr>
        <w:t>/</w:t>
      </w:r>
      <w:proofErr w:type="spellStart"/>
      <w:r>
        <w:rPr>
          <w:color w:val="5C5C5C"/>
          <w:kern w:val="36"/>
          <w:sz w:val="33"/>
          <w:szCs w:val="33"/>
        </w:rPr>
        <w:t>Daclizumab</w:t>
      </w:r>
      <w:proofErr w:type="spellEnd"/>
      <w:r>
        <w:rPr>
          <w:color w:val="5C5C5C"/>
          <w:kern w:val="36"/>
          <w:sz w:val="33"/>
          <w:szCs w:val="33"/>
        </w:rPr>
        <w:t xml:space="preserve"> vs. </w:t>
      </w:r>
      <w:proofErr w:type="spellStart"/>
      <w:r>
        <w:rPr>
          <w:color w:val="5C5C5C"/>
          <w:kern w:val="36"/>
          <w:sz w:val="33"/>
          <w:szCs w:val="33"/>
        </w:rPr>
        <w:t>rATg</w:t>
      </w:r>
      <w:proofErr w:type="spellEnd"/>
      <w:r>
        <w:rPr>
          <w:color w:val="5C5C5C"/>
          <w:kern w:val="36"/>
          <w:sz w:val="33"/>
          <w:szCs w:val="33"/>
        </w:rPr>
        <w:t>/</w:t>
      </w:r>
      <w:proofErr w:type="spellStart"/>
      <w:r>
        <w:rPr>
          <w:color w:val="5C5C5C"/>
          <w:kern w:val="36"/>
          <w:sz w:val="33"/>
          <w:szCs w:val="33"/>
        </w:rPr>
        <w:t>Alemtuzumab</w:t>
      </w:r>
      <w:proofErr w:type="spellEnd"/>
      <w:r>
        <w:rPr>
          <w:color w:val="5C5C5C"/>
          <w:kern w:val="36"/>
          <w:sz w:val="33"/>
          <w:szCs w:val="33"/>
        </w:rPr>
        <w:t xml:space="preserve"> as dual induction therapy in renal transplantation: Results at 8 years of follow-up</w:t>
      </w:r>
    </w:p>
    <w:p w:rsidR="005F6143" w:rsidRDefault="005F6143" w:rsidP="005F61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hyperlink r:id="rId5" w:history="1"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 xml:space="preserve">Giselle </w:t>
        </w:r>
        <w:proofErr w:type="spellStart"/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>Guerra</w:t>
        </w:r>
      </w:hyperlink>
      <w:hyperlink r:id="rId6" w:anchor="af0010" w:tooltip="Affiliation: b" w:history="1">
        <w:r w:rsidRPr="005F6143">
          <w:rPr>
            <w:rFonts w:ascii="Times New Roman" w:eastAsia="Times New Roman" w:hAnsi="Times New Roman" w:cs="Times New Roman"/>
            <w:color w:val="316C9D"/>
            <w:sz w:val="18"/>
            <w:szCs w:val="18"/>
            <w:vertAlign w:val="superscript"/>
          </w:rPr>
          <w:t>b</w:t>
        </w:r>
        <w:proofErr w:type="spellEnd"/>
      </w:hyperlink>
      <w:r w:rsidRPr="005F6143">
        <w:rPr>
          <w:rFonts w:ascii="Times New Roman" w:eastAsia="Times New Roman" w:hAnsi="Times New Roman" w:cs="Times New Roman"/>
          <w:color w:val="2E2E2E"/>
          <w:sz w:val="18"/>
          <w:szCs w:val="18"/>
          <w:vertAlign w:val="superscript"/>
        </w:rPr>
        <w:t xml:space="preserve">, </w:t>
      </w:r>
      <w:r w:rsidRPr="005F6143">
        <w:rPr>
          <w:rFonts w:ascii="Times New Roman" w:eastAsia="Times New Roman" w:hAnsi="Times New Roman" w:cs="Times New Roman"/>
          <w:color w:val="2E2E2E"/>
          <w:sz w:val="24"/>
          <w:szCs w:val="24"/>
        </w:rPr>
        <w:t>,</w:t>
      </w:r>
    </w:p>
    <w:p w:rsidR="005F6143" w:rsidRPr="005F6143" w:rsidRDefault="005F6143" w:rsidP="005F61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hyperlink r:id="rId7" w:history="1"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 xml:space="preserve">Gaetano </w:t>
        </w:r>
        <w:proofErr w:type="spellStart"/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>Ciancio</w:t>
        </w:r>
      </w:hyperlink>
      <w:hyperlink r:id="rId8" w:anchor="af0005" w:tooltip="Affiliation: a" w:history="1">
        <w:r w:rsidRPr="005F6143">
          <w:rPr>
            <w:rFonts w:ascii="Times New Roman" w:eastAsia="Times New Roman" w:hAnsi="Times New Roman" w:cs="Times New Roman"/>
            <w:color w:val="316C9D"/>
            <w:sz w:val="18"/>
            <w:szCs w:val="18"/>
            <w:vertAlign w:val="superscript"/>
          </w:rPr>
          <w:t>a</w:t>
        </w:r>
        <w:proofErr w:type="spellEnd"/>
      </w:hyperlink>
      <w:r w:rsidRPr="005F6143">
        <w:rPr>
          <w:rFonts w:ascii="Times New Roman" w:eastAsia="Times New Roman" w:hAnsi="Times New Roman" w:cs="Times New Roman"/>
          <w:color w:val="2E2E2E"/>
          <w:sz w:val="18"/>
          <w:szCs w:val="18"/>
          <w:vertAlign w:val="superscript"/>
        </w:rPr>
        <w:t xml:space="preserve">, , </w:t>
      </w:r>
      <w:r w:rsidRPr="005F6143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, </w:t>
      </w:r>
    </w:p>
    <w:p w:rsidR="005F6143" w:rsidRPr="005F6143" w:rsidRDefault="005F6143" w:rsidP="005F61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hyperlink r:id="rId9" w:history="1"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 xml:space="preserve">Jeffrey J. </w:t>
        </w:r>
        <w:proofErr w:type="spellStart"/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>Gaynor</w:t>
        </w:r>
      </w:hyperlink>
      <w:hyperlink r:id="rId10" w:anchor="af0005" w:tooltip="Affiliation: a" w:history="1">
        <w:r w:rsidRPr="005F6143">
          <w:rPr>
            <w:rFonts w:ascii="Times New Roman" w:eastAsia="Times New Roman" w:hAnsi="Times New Roman" w:cs="Times New Roman"/>
            <w:color w:val="316C9D"/>
            <w:sz w:val="18"/>
            <w:szCs w:val="18"/>
            <w:vertAlign w:val="superscript"/>
          </w:rPr>
          <w:t>a</w:t>
        </w:r>
        <w:proofErr w:type="spellEnd"/>
      </w:hyperlink>
      <w:r w:rsidRPr="005F6143">
        <w:rPr>
          <w:rFonts w:ascii="Times New Roman" w:eastAsia="Times New Roman" w:hAnsi="Times New Roman" w:cs="Times New Roman"/>
          <w:color w:val="2E2E2E"/>
          <w:sz w:val="18"/>
          <w:szCs w:val="18"/>
          <w:vertAlign w:val="superscript"/>
        </w:rPr>
        <w:t xml:space="preserve">, </w:t>
      </w:r>
      <w:r w:rsidRPr="005F6143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,  </w:t>
      </w:r>
    </w:p>
    <w:p w:rsidR="005F6143" w:rsidRPr="005F6143" w:rsidRDefault="005F6143" w:rsidP="005F61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hyperlink r:id="rId11" w:history="1"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 xml:space="preserve">Junichiro </w:t>
        </w:r>
        <w:proofErr w:type="spellStart"/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>Sageshima</w:t>
        </w:r>
      </w:hyperlink>
      <w:hyperlink r:id="rId12" w:anchor="af0005" w:tooltip="Affiliation: a" w:history="1">
        <w:r w:rsidRPr="005F6143">
          <w:rPr>
            <w:rFonts w:ascii="Times New Roman" w:eastAsia="Times New Roman" w:hAnsi="Times New Roman" w:cs="Times New Roman"/>
            <w:color w:val="316C9D"/>
            <w:sz w:val="18"/>
            <w:szCs w:val="18"/>
            <w:vertAlign w:val="superscript"/>
          </w:rPr>
          <w:t>a</w:t>
        </w:r>
        <w:proofErr w:type="spellEnd"/>
      </w:hyperlink>
      <w:r w:rsidRPr="005F6143">
        <w:rPr>
          <w:rFonts w:ascii="Times New Roman" w:eastAsia="Times New Roman" w:hAnsi="Times New Roman" w:cs="Times New Roman"/>
          <w:color w:val="2E2E2E"/>
          <w:sz w:val="18"/>
          <w:szCs w:val="18"/>
          <w:vertAlign w:val="superscript"/>
        </w:rPr>
        <w:t xml:space="preserve">, </w:t>
      </w:r>
      <w:r w:rsidRPr="005F6143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, </w:t>
      </w:r>
    </w:p>
    <w:p w:rsidR="005F6143" w:rsidRPr="005F6143" w:rsidRDefault="005F6143" w:rsidP="005F61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hyperlink r:id="rId13" w:history="1"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 xml:space="preserve">David </w:t>
        </w:r>
        <w:proofErr w:type="spellStart"/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>Roth</w:t>
        </w:r>
      </w:hyperlink>
      <w:hyperlink r:id="rId14" w:anchor="af0010" w:tooltip="Affiliation: b" w:history="1">
        <w:r w:rsidRPr="005F6143">
          <w:rPr>
            <w:rFonts w:ascii="Times New Roman" w:eastAsia="Times New Roman" w:hAnsi="Times New Roman" w:cs="Times New Roman"/>
            <w:color w:val="316C9D"/>
            <w:sz w:val="18"/>
            <w:szCs w:val="18"/>
            <w:vertAlign w:val="superscript"/>
          </w:rPr>
          <w:t>b</w:t>
        </w:r>
        <w:proofErr w:type="spellEnd"/>
      </w:hyperlink>
      <w:r w:rsidRPr="005F6143">
        <w:rPr>
          <w:rFonts w:ascii="Times New Roman" w:eastAsia="Times New Roman" w:hAnsi="Times New Roman" w:cs="Times New Roman"/>
          <w:color w:val="2E2E2E"/>
          <w:sz w:val="18"/>
          <w:szCs w:val="18"/>
          <w:vertAlign w:val="superscript"/>
        </w:rPr>
        <w:t xml:space="preserve">, </w:t>
      </w:r>
      <w:r w:rsidRPr="005F6143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, </w:t>
      </w:r>
    </w:p>
    <w:p w:rsidR="005F6143" w:rsidRPr="005F6143" w:rsidRDefault="005F6143" w:rsidP="005F61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hyperlink r:id="rId15" w:history="1"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>Linda Chen</w:t>
        </w:r>
      </w:hyperlink>
      <w:hyperlink r:id="rId16" w:anchor="af0005" w:tooltip="Affiliation: a" w:history="1">
        <w:r w:rsidRPr="005F6143">
          <w:rPr>
            <w:rFonts w:ascii="Times New Roman" w:eastAsia="Times New Roman" w:hAnsi="Times New Roman" w:cs="Times New Roman"/>
            <w:color w:val="316C9D"/>
            <w:sz w:val="18"/>
            <w:szCs w:val="18"/>
            <w:vertAlign w:val="superscript"/>
          </w:rPr>
          <w:t>a</w:t>
        </w:r>
      </w:hyperlink>
      <w:r w:rsidRPr="005F6143">
        <w:rPr>
          <w:rFonts w:ascii="Times New Roman" w:eastAsia="Times New Roman" w:hAnsi="Times New Roman" w:cs="Times New Roman"/>
          <w:color w:val="2E2E2E"/>
          <w:sz w:val="18"/>
          <w:szCs w:val="18"/>
          <w:vertAlign w:val="superscript"/>
        </w:rPr>
        <w:t xml:space="preserve">, </w:t>
      </w:r>
      <w:r w:rsidRPr="005F6143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, </w:t>
      </w:r>
    </w:p>
    <w:p w:rsidR="005F6143" w:rsidRPr="005F6143" w:rsidRDefault="005F6143" w:rsidP="005F61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hyperlink r:id="rId17" w:history="1"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 xml:space="preserve">Warren </w:t>
        </w:r>
        <w:proofErr w:type="spellStart"/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>Kupin</w:t>
        </w:r>
      </w:hyperlink>
      <w:hyperlink r:id="rId18" w:anchor="af0010" w:tooltip="Affiliation: b" w:history="1">
        <w:r w:rsidRPr="005F6143">
          <w:rPr>
            <w:rFonts w:ascii="Times New Roman" w:eastAsia="Times New Roman" w:hAnsi="Times New Roman" w:cs="Times New Roman"/>
            <w:color w:val="316C9D"/>
            <w:sz w:val="18"/>
            <w:szCs w:val="18"/>
            <w:vertAlign w:val="superscript"/>
          </w:rPr>
          <w:t>b</w:t>
        </w:r>
        <w:proofErr w:type="spellEnd"/>
      </w:hyperlink>
      <w:r w:rsidRPr="005F6143">
        <w:rPr>
          <w:rFonts w:ascii="Times New Roman" w:eastAsia="Times New Roman" w:hAnsi="Times New Roman" w:cs="Times New Roman"/>
          <w:color w:val="2E2E2E"/>
          <w:sz w:val="18"/>
          <w:szCs w:val="18"/>
          <w:vertAlign w:val="superscript"/>
        </w:rPr>
        <w:t xml:space="preserve">, </w:t>
      </w:r>
      <w:r w:rsidRPr="005F6143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, </w:t>
      </w:r>
    </w:p>
    <w:p w:rsidR="005F6143" w:rsidRPr="005F6143" w:rsidRDefault="005F6143" w:rsidP="005F61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hyperlink r:id="rId19" w:history="1"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 xml:space="preserve">Adela </w:t>
        </w:r>
        <w:proofErr w:type="spellStart"/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>Mattiazzi</w:t>
        </w:r>
      </w:hyperlink>
      <w:hyperlink r:id="rId20" w:anchor="af0010" w:tooltip="Affiliation: b" w:history="1">
        <w:r w:rsidRPr="005F6143">
          <w:rPr>
            <w:rFonts w:ascii="Times New Roman" w:eastAsia="Times New Roman" w:hAnsi="Times New Roman" w:cs="Times New Roman"/>
            <w:color w:val="316C9D"/>
            <w:sz w:val="18"/>
            <w:szCs w:val="18"/>
            <w:vertAlign w:val="superscript"/>
          </w:rPr>
          <w:t>b</w:t>
        </w:r>
        <w:proofErr w:type="spellEnd"/>
      </w:hyperlink>
      <w:r w:rsidRPr="005F6143">
        <w:rPr>
          <w:rFonts w:ascii="Times New Roman" w:eastAsia="Times New Roman" w:hAnsi="Times New Roman" w:cs="Times New Roman"/>
          <w:color w:val="2E2E2E"/>
          <w:sz w:val="18"/>
          <w:szCs w:val="18"/>
          <w:vertAlign w:val="superscript"/>
        </w:rPr>
        <w:t xml:space="preserve">, </w:t>
      </w:r>
      <w:r w:rsidRPr="005F6143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, </w:t>
      </w:r>
    </w:p>
    <w:p w:rsidR="005F6143" w:rsidRPr="005F6143" w:rsidRDefault="005F6143" w:rsidP="005F61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hyperlink r:id="rId21" w:history="1">
        <w:proofErr w:type="spellStart"/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>Lissett</w:t>
        </w:r>
        <w:proofErr w:type="spellEnd"/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 xml:space="preserve"> </w:t>
        </w:r>
        <w:proofErr w:type="spellStart"/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>Tueros</w:t>
        </w:r>
      </w:hyperlink>
      <w:hyperlink r:id="rId22" w:anchor="af0005" w:tooltip="Affiliation: a" w:history="1">
        <w:r w:rsidRPr="005F6143">
          <w:rPr>
            <w:rFonts w:ascii="Times New Roman" w:eastAsia="Times New Roman" w:hAnsi="Times New Roman" w:cs="Times New Roman"/>
            <w:color w:val="316C9D"/>
            <w:sz w:val="18"/>
            <w:szCs w:val="18"/>
            <w:vertAlign w:val="superscript"/>
          </w:rPr>
          <w:t>a</w:t>
        </w:r>
        <w:proofErr w:type="spellEnd"/>
      </w:hyperlink>
      <w:r w:rsidRPr="005F6143">
        <w:rPr>
          <w:rFonts w:ascii="Times New Roman" w:eastAsia="Times New Roman" w:hAnsi="Times New Roman" w:cs="Times New Roman"/>
          <w:color w:val="2E2E2E"/>
          <w:sz w:val="18"/>
          <w:szCs w:val="18"/>
          <w:vertAlign w:val="superscript"/>
        </w:rPr>
        <w:t xml:space="preserve">, </w:t>
      </w:r>
      <w:r w:rsidRPr="005F6143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, </w:t>
      </w:r>
    </w:p>
    <w:p w:rsidR="005F6143" w:rsidRPr="005F6143" w:rsidRDefault="005F6143" w:rsidP="005F61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hyperlink r:id="rId23" w:history="1"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 xml:space="preserve">Sandra </w:t>
        </w:r>
        <w:proofErr w:type="spellStart"/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>Flores</w:t>
        </w:r>
      </w:hyperlink>
      <w:hyperlink r:id="rId24" w:anchor="af0005" w:tooltip="Affiliation: a" w:history="1">
        <w:r w:rsidRPr="005F6143">
          <w:rPr>
            <w:rFonts w:ascii="Times New Roman" w:eastAsia="Times New Roman" w:hAnsi="Times New Roman" w:cs="Times New Roman"/>
            <w:color w:val="316C9D"/>
            <w:sz w:val="18"/>
            <w:szCs w:val="18"/>
            <w:vertAlign w:val="superscript"/>
          </w:rPr>
          <w:t>a</w:t>
        </w:r>
        <w:proofErr w:type="spellEnd"/>
      </w:hyperlink>
      <w:r w:rsidRPr="005F6143">
        <w:rPr>
          <w:rFonts w:ascii="Times New Roman" w:eastAsia="Times New Roman" w:hAnsi="Times New Roman" w:cs="Times New Roman"/>
          <w:color w:val="2E2E2E"/>
          <w:sz w:val="18"/>
          <w:szCs w:val="18"/>
          <w:vertAlign w:val="superscript"/>
        </w:rPr>
        <w:t xml:space="preserve">, </w:t>
      </w:r>
      <w:r w:rsidRPr="005F6143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, </w:t>
      </w:r>
    </w:p>
    <w:p w:rsidR="005F6143" w:rsidRPr="005F6143" w:rsidRDefault="005F6143" w:rsidP="005F61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hyperlink r:id="rId25" w:history="1"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 xml:space="preserve">Lois </w:t>
        </w:r>
        <w:proofErr w:type="spellStart"/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>Hanson</w:t>
        </w:r>
      </w:hyperlink>
      <w:hyperlink r:id="rId26" w:anchor="af0005" w:tooltip="Affiliation: a" w:history="1">
        <w:r w:rsidRPr="005F6143">
          <w:rPr>
            <w:rFonts w:ascii="Times New Roman" w:eastAsia="Times New Roman" w:hAnsi="Times New Roman" w:cs="Times New Roman"/>
            <w:color w:val="316C9D"/>
            <w:sz w:val="18"/>
            <w:szCs w:val="18"/>
            <w:vertAlign w:val="superscript"/>
          </w:rPr>
          <w:t>a</w:t>
        </w:r>
        <w:proofErr w:type="spellEnd"/>
      </w:hyperlink>
      <w:r w:rsidRPr="005F6143">
        <w:rPr>
          <w:rFonts w:ascii="Times New Roman" w:eastAsia="Times New Roman" w:hAnsi="Times New Roman" w:cs="Times New Roman"/>
          <w:color w:val="2E2E2E"/>
          <w:sz w:val="18"/>
          <w:szCs w:val="18"/>
          <w:vertAlign w:val="superscript"/>
        </w:rPr>
        <w:t xml:space="preserve">, </w:t>
      </w:r>
      <w:r w:rsidRPr="005F6143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, </w:t>
      </w:r>
    </w:p>
    <w:p w:rsidR="005F6143" w:rsidRPr="005F6143" w:rsidRDefault="005F6143" w:rsidP="005F61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hyperlink r:id="rId27" w:history="1"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 xml:space="preserve">Phillip </w:t>
        </w:r>
        <w:proofErr w:type="spellStart"/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>Ruiz</w:t>
        </w:r>
      </w:hyperlink>
      <w:hyperlink r:id="rId28" w:anchor="af0005" w:tooltip="Affiliation: a" w:history="1">
        <w:r w:rsidRPr="005F6143">
          <w:rPr>
            <w:rFonts w:ascii="Times New Roman" w:eastAsia="Times New Roman" w:hAnsi="Times New Roman" w:cs="Times New Roman"/>
            <w:color w:val="316C9D"/>
            <w:sz w:val="18"/>
            <w:szCs w:val="18"/>
            <w:vertAlign w:val="superscript"/>
          </w:rPr>
          <w:t>a</w:t>
        </w:r>
        <w:proofErr w:type="spellEnd"/>
      </w:hyperlink>
      <w:r w:rsidRPr="005F6143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, </w:t>
      </w:r>
    </w:p>
    <w:p w:rsidR="005F6143" w:rsidRPr="005F6143" w:rsidRDefault="005F6143" w:rsidP="005F61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hyperlink r:id="rId29" w:history="1"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 xml:space="preserve">Rodrigo </w:t>
        </w:r>
        <w:proofErr w:type="spellStart"/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>Vianna</w:t>
        </w:r>
      </w:hyperlink>
      <w:hyperlink r:id="rId30" w:anchor="af0005" w:tooltip="Affiliation: a" w:history="1">
        <w:r w:rsidRPr="005F6143">
          <w:rPr>
            <w:rFonts w:ascii="Times New Roman" w:eastAsia="Times New Roman" w:hAnsi="Times New Roman" w:cs="Times New Roman"/>
            <w:color w:val="316C9D"/>
            <w:sz w:val="18"/>
            <w:szCs w:val="18"/>
            <w:vertAlign w:val="superscript"/>
          </w:rPr>
          <w:t>a</w:t>
        </w:r>
        <w:proofErr w:type="spellEnd"/>
      </w:hyperlink>
      <w:r w:rsidRPr="005F6143">
        <w:rPr>
          <w:rFonts w:ascii="Times New Roman" w:eastAsia="Times New Roman" w:hAnsi="Times New Roman" w:cs="Times New Roman"/>
          <w:color w:val="2E2E2E"/>
          <w:sz w:val="18"/>
          <w:szCs w:val="18"/>
          <w:vertAlign w:val="superscript"/>
        </w:rPr>
        <w:t xml:space="preserve">, </w:t>
      </w:r>
      <w:r w:rsidRPr="005F6143">
        <w:rPr>
          <w:rFonts w:ascii="Times New Roman" w:eastAsia="Times New Roman" w:hAnsi="Times New Roman" w:cs="Times New Roman"/>
          <w:color w:val="2E2E2E"/>
          <w:sz w:val="24"/>
          <w:szCs w:val="24"/>
        </w:rPr>
        <w:t xml:space="preserve">, </w:t>
      </w:r>
    </w:p>
    <w:p w:rsidR="005F6143" w:rsidRPr="005F6143" w:rsidRDefault="005F6143" w:rsidP="005F614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2E2E2E"/>
          <w:sz w:val="24"/>
          <w:szCs w:val="24"/>
        </w:rPr>
      </w:pPr>
      <w:hyperlink r:id="rId31" w:history="1"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 xml:space="preserve">George W. Burke </w:t>
        </w:r>
        <w:proofErr w:type="spellStart"/>
        <w:r w:rsidRPr="005F6143">
          <w:rPr>
            <w:rFonts w:ascii="Times New Roman" w:eastAsia="Times New Roman" w:hAnsi="Times New Roman" w:cs="Times New Roman"/>
            <w:color w:val="316C9D"/>
            <w:sz w:val="24"/>
            <w:szCs w:val="24"/>
          </w:rPr>
          <w:t>III</w:t>
        </w:r>
      </w:hyperlink>
      <w:hyperlink r:id="rId32" w:anchor="af0005" w:tooltip="Affiliation: a" w:history="1">
        <w:r w:rsidRPr="005F6143">
          <w:rPr>
            <w:rFonts w:ascii="Times New Roman" w:eastAsia="Times New Roman" w:hAnsi="Times New Roman" w:cs="Times New Roman"/>
            <w:color w:val="316C9D"/>
            <w:sz w:val="18"/>
            <w:szCs w:val="18"/>
            <w:vertAlign w:val="superscript"/>
          </w:rPr>
          <w:t>a</w:t>
        </w:r>
        <w:proofErr w:type="spellEnd"/>
      </w:hyperlink>
      <w:r w:rsidRPr="005F6143">
        <w:rPr>
          <w:rFonts w:ascii="Times New Roman" w:eastAsia="Times New Roman" w:hAnsi="Times New Roman" w:cs="Times New Roman"/>
          <w:color w:val="2E2E2E"/>
          <w:sz w:val="18"/>
          <w:szCs w:val="18"/>
          <w:vertAlign w:val="superscript"/>
        </w:rPr>
        <w:t xml:space="preserve">, </w:t>
      </w:r>
    </w:p>
    <w:p w:rsidR="005F6143" w:rsidRPr="005F6143" w:rsidRDefault="005F6143" w:rsidP="005F6143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color w:val="5C5C5C"/>
          <w:sz w:val="20"/>
          <w:szCs w:val="20"/>
        </w:rPr>
      </w:pPr>
      <w:proofErr w:type="spellStart"/>
      <w:r w:rsidRPr="005F6143">
        <w:rPr>
          <w:rFonts w:ascii="Times New Roman" w:eastAsia="Times New Roman" w:hAnsi="Times New Roman" w:cs="Times New Roman"/>
          <w:color w:val="5C5C5C"/>
          <w:sz w:val="15"/>
          <w:szCs w:val="15"/>
          <w:vertAlign w:val="superscript"/>
        </w:rPr>
        <w:t>a</w:t>
      </w:r>
      <w:proofErr w:type="spellEnd"/>
      <w:r w:rsidRPr="005F6143">
        <w:rPr>
          <w:rFonts w:ascii="Times New Roman" w:eastAsia="Times New Roman" w:hAnsi="Times New Roman" w:cs="Times New Roman"/>
          <w:color w:val="5C5C5C"/>
          <w:sz w:val="20"/>
          <w:szCs w:val="20"/>
        </w:rPr>
        <w:t xml:space="preserve"> </w:t>
      </w:r>
      <w:r w:rsidRPr="005F6143">
        <w:rPr>
          <w:rFonts w:ascii="Times New Roman" w:eastAsia="Times New Roman" w:hAnsi="Times New Roman" w:cs="Times New Roman"/>
          <w:color w:val="5C5C5C"/>
          <w:sz w:val="20"/>
          <w:szCs w:val="20"/>
          <w:bdr w:val="none" w:sz="0" w:space="0" w:color="auto" w:frame="1"/>
        </w:rPr>
        <w:t>The Lillian Jean Kaplan Renal Transplant Center and the Miami Transplant Institute, Department of Surgery, University of Miami Miller School of Medicine, Miami, FL, USA</w:t>
      </w:r>
    </w:p>
    <w:p w:rsidR="005F6143" w:rsidRPr="005F6143" w:rsidRDefault="005F6143" w:rsidP="005F6143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color w:val="5C5C5C"/>
          <w:sz w:val="20"/>
          <w:szCs w:val="20"/>
        </w:rPr>
      </w:pPr>
      <w:r w:rsidRPr="005F6143">
        <w:rPr>
          <w:rFonts w:ascii="Times New Roman" w:eastAsia="Times New Roman" w:hAnsi="Times New Roman" w:cs="Times New Roman"/>
          <w:color w:val="5C5C5C"/>
          <w:sz w:val="15"/>
          <w:szCs w:val="15"/>
          <w:vertAlign w:val="superscript"/>
        </w:rPr>
        <w:t>b</w:t>
      </w:r>
      <w:r w:rsidRPr="005F6143">
        <w:rPr>
          <w:rFonts w:ascii="Times New Roman" w:eastAsia="Times New Roman" w:hAnsi="Times New Roman" w:cs="Times New Roman"/>
          <w:color w:val="5C5C5C"/>
          <w:sz w:val="20"/>
          <w:szCs w:val="20"/>
        </w:rPr>
        <w:t xml:space="preserve"> </w:t>
      </w:r>
      <w:r w:rsidRPr="005F6143">
        <w:rPr>
          <w:rFonts w:ascii="Times New Roman" w:eastAsia="Times New Roman" w:hAnsi="Times New Roman" w:cs="Times New Roman"/>
          <w:color w:val="5C5C5C"/>
          <w:sz w:val="20"/>
          <w:szCs w:val="20"/>
          <w:bdr w:val="none" w:sz="0" w:space="0" w:color="auto" w:frame="1"/>
        </w:rPr>
        <w:t>Division of Nephrology of the Department of Medicine, University of Miami Miller School of Medicine, Miami, FL, USA</w:t>
      </w:r>
    </w:p>
    <w:p w:rsidR="005F6143" w:rsidRDefault="005F6143">
      <w:pPr>
        <w:rPr>
          <w:color w:val="2E2E2E"/>
        </w:rPr>
      </w:pPr>
    </w:p>
    <w:p w:rsidR="0075562A" w:rsidRDefault="005F6143">
      <w:pPr>
        <w:rPr>
          <w:color w:val="2E2E2E"/>
        </w:rPr>
      </w:pPr>
      <w:r>
        <w:rPr>
          <w:color w:val="2E2E2E"/>
        </w:rPr>
        <w:t xml:space="preserve">Our goal in using dual induction therapy is to bring the kidney transplant recipient closer (through more effectively timed </w:t>
      </w:r>
      <w:proofErr w:type="spellStart"/>
      <w:r>
        <w:rPr>
          <w:color w:val="2E2E2E"/>
        </w:rPr>
        <w:t>lymphodepletion</w:t>
      </w:r>
      <w:proofErr w:type="spellEnd"/>
      <w:r>
        <w:rPr>
          <w:color w:val="2E2E2E"/>
        </w:rPr>
        <w:t>) to an optimally immunosuppressed state. Here, we report long-term results of a prospective randomized trial comparing (Group I</w:t>
      </w:r>
      <w:proofErr w:type="gramStart"/>
      <w:r>
        <w:rPr>
          <w:color w:val="2E2E2E"/>
        </w:rPr>
        <w:t>,</w:t>
      </w:r>
      <w:r>
        <w:rPr>
          <w:rStyle w:val="Emphasis"/>
          <w:color w:val="2E2E2E"/>
        </w:rPr>
        <w:t>N</w:t>
      </w:r>
      <w:proofErr w:type="gramEnd"/>
      <w:r>
        <w:rPr>
          <w:color w:val="2E2E2E"/>
        </w:rPr>
        <w:t xml:space="preserve"> = 100) </w:t>
      </w:r>
      <w:proofErr w:type="spellStart"/>
      <w:r>
        <w:rPr>
          <w:color w:val="2E2E2E"/>
        </w:rPr>
        <w:t>rATG</w:t>
      </w:r>
      <w:proofErr w:type="spellEnd"/>
      <w:r>
        <w:rPr>
          <w:color w:val="2E2E2E"/>
        </w:rPr>
        <w:t>/</w:t>
      </w:r>
      <w:proofErr w:type="spellStart"/>
      <w:r>
        <w:rPr>
          <w:color w:val="2E2E2E"/>
        </w:rPr>
        <w:t>Dac</w:t>
      </w:r>
      <w:proofErr w:type="spellEnd"/>
      <w:r>
        <w:rPr>
          <w:color w:val="2E2E2E"/>
        </w:rPr>
        <w:t xml:space="preserve"> (3 </w:t>
      </w:r>
      <w:proofErr w:type="spellStart"/>
      <w:r>
        <w:rPr>
          <w:color w:val="2E2E2E"/>
        </w:rPr>
        <w:t>rATG</w:t>
      </w:r>
      <w:proofErr w:type="spellEnd"/>
      <w:r>
        <w:rPr>
          <w:color w:val="2E2E2E"/>
        </w:rPr>
        <w:t xml:space="preserve">, 2 </w:t>
      </w:r>
      <w:proofErr w:type="spellStart"/>
      <w:r>
        <w:rPr>
          <w:color w:val="2E2E2E"/>
        </w:rPr>
        <w:t>Dac</w:t>
      </w:r>
      <w:proofErr w:type="spellEnd"/>
      <w:r>
        <w:rPr>
          <w:color w:val="2E2E2E"/>
        </w:rPr>
        <w:t xml:space="preserve"> doses) vs. (Group II,</w:t>
      </w:r>
      <w:r>
        <w:rPr>
          <w:rStyle w:val="Emphasis"/>
          <w:color w:val="2E2E2E"/>
        </w:rPr>
        <w:t>N</w:t>
      </w:r>
      <w:r>
        <w:rPr>
          <w:color w:val="2E2E2E"/>
        </w:rPr>
        <w:t xml:space="preserve"> = 100) </w:t>
      </w:r>
      <w:proofErr w:type="spellStart"/>
      <w:r>
        <w:rPr>
          <w:color w:val="2E2E2E"/>
        </w:rPr>
        <w:t>rATG</w:t>
      </w:r>
      <w:proofErr w:type="spellEnd"/>
      <w:r>
        <w:rPr>
          <w:color w:val="2E2E2E"/>
        </w:rPr>
        <w:t>/</w:t>
      </w:r>
      <w:proofErr w:type="spellStart"/>
      <w:r>
        <w:rPr>
          <w:color w:val="2E2E2E"/>
        </w:rPr>
        <w:t>Alemtuzumab</w:t>
      </w:r>
      <w:proofErr w:type="spellEnd"/>
      <w:r>
        <w:rPr>
          <w:color w:val="2E2E2E"/>
        </w:rPr>
        <w:t>(C1H) (1 dose each), using reduced tacrolimus dosing, EC-MPS, and early corticosteroid withdrawal. Lower EC-MPS dosing was targeted in Group II to avoid severe leukopenia. Median follow-up was 96 </w:t>
      </w:r>
      <w:proofErr w:type="spellStart"/>
      <w:r>
        <w:rPr>
          <w:color w:val="2E2E2E"/>
        </w:rPr>
        <w:t>mo</w:t>
      </w:r>
      <w:proofErr w:type="spellEnd"/>
      <w:r>
        <w:rPr>
          <w:color w:val="2E2E2E"/>
        </w:rPr>
        <w:t xml:space="preserve"> post-transplant. There were no differences in 1st BPAR (including borderline) rates: 10/100 vs. 9/100 in Groups I and II during the first </w:t>
      </w:r>
      <w:proofErr w:type="gramStart"/>
      <w:r>
        <w:rPr>
          <w:color w:val="2E2E2E"/>
        </w:rPr>
        <w:t>12mo(</w:t>
      </w:r>
      <w:proofErr w:type="gramEnd"/>
      <w:r>
        <w:rPr>
          <w:rStyle w:val="Emphasis"/>
          <w:color w:val="2E2E2E"/>
        </w:rPr>
        <w:t>P</w:t>
      </w:r>
      <w:r>
        <w:rPr>
          <w:color w:val="2E2E2E"/>
        </w:rPr>
        <w:t> = 0.54), and 20/100 vs. 20/100 throughout the study(</w:t>
      </w:r>
      <w:r>
        <w:rPr>
          <w:rStyle w:val="Emphasis"/>
          <w:color w:val="2E2E2E"/>
        </w:rPr>
        <w:t>P</w:t>
      </w:r>
      <w:r>
        <w:rPr>
          <w:color w:val="2E2E2E"/>
        </w:rPr>
        <w:t xml:space="preserve"> = 0.90). Equally favorable renal function was maintained in both treatment </w:t>
      </w:r>
      <w:proofErr w:type="gramStart"/>
      <w:r>
        <w:rPr>
          <w:color w:val="2E2E2E"/>
        </w:rPr>
        <w:t>arms(</w:t>
      </w:r>
      <w:proofErr w:type="gramEnd"/>
      <w:r>
        <w:rPr>
          <w:color w:val="2E2E2E"/>
        </w:rPr>
        <w:t xml:space="preserve">N.S.). While not significant, more patients in Group II experienced graft loss, 25/100 vs. 18/100 in Group </w:t>
      </w:r>
      <w:proofErr w:type="gramStart"/>
      <w:r>
        <w:rPr>
          <w:color w:val="2E2E2E"/>
        </w:rPr>
        <w:t>I(</w:t>
      </w:r>
      <w:proofErr w:type="gramEnd"/>
      <w:r>
        <w:rPr>
          <w:rStyle w:val="Emphasis"/>
          <w:color w:val="2E2E2E"/>
        </w:rPr>
        <w:t>P</w:t>
      </w:r>
      <w:r>
        <w:rPr>
          <w:color w:val="2E2E2E"/>
        </w:rPr>
        <w:t> = 0.23). Actuarial patient/graft survival at 96 </w:t>
      </w:r>
      <w:proofErr w:type="spellStart"/>
      <w:r>
        <w:rPr>
          <w:color w:val="2E2E2E"/>
        </w:rPr>
        <w:t>mo</w:t>
      </w:r>
      <w:proofErr w:type="spellEnd"/>
      <w:r>
        <w:rPr>
          <w:color w:val="2E2E2E"/>
        </w:rPr>
        <w:t xml:space="preserve"> was 92%/83% vs. 85%/73% in Groups I and </w:t>
      </w:r>
      <w:proofErr w:type="gramStart"/>
      <w:r>
        <w:rPr>
          <w:color w:val="2E2E2E"/>
        </w:rPr>
        <w:t>II(</w:t>
      </w:r>
      <w:proofErr w:type="gramEnd"/>
      <w:r>
        <w:rPr>
          <w:color w:val="2E2E2E"/>
        </w:rPr>
        <w:t>N.S.). DWFG-due-to-</w:t>
      </w:r>
      <w:proofErr w:type="gramStart"/>
      <w:r>
        <w:rPr>
          <w:color w:val="2E2E2E"/>
        </w:rPr>
        <w:t>infection(</w:t>
      </w:r>
      <w:proofErr w:type="gramEnd"/>
      <w:r>
        <w:rPr>
          <w:color w:val="2E2E2E"/>
        </w:rPr>
        <w:t>N.S.), EC-MPS withholding-due-to-leukopenia during the first 2mo(</w:t>
      </w:r>
      <w:r>
        <w:rPr>
          <w:rStyle w:val="Emphasis"/>
          <w:color w:val="2E2E2E"/>
        </w:rPr>
        <w:t>P</w:t>
      </w:r>
      <w:r>
        <w:rPr>
          <w:color w:val="2E2E2E"/>
        </w:rPr>
        <w:t> = 0.03), and incidence of viral infections(</w:t>
      </w:r>
      <w:r>
        <w:rPr>
          <w:rStyle w:val="Emphasis"/>
          <w:color w:val="2E2E2E"/>
        </w:rPr>
        <w:t>P</w:t>
      </w:r>
      <w:r>
        <w:rPr>
          <w:color w:val="2E2E2E"/>
        </w:rPr>
        <w:t> = 0.09) were higher in Group II, whereas EC-MPS withholding-due-to-GI symptoms was higher in Group I(</w:t>
      </w:r>
      <w:r>
        <w:rPr>
          <w:rStyle w:val="Emphasis"/>
          <w:color w:val="2E2E2E"/>
        </w:rPr>
        <w:t>P</w:t>
      </w:r>
      <w:r>
        <w:rPr>
          <w:color w:val="2E2E2E"/>
        </w:rPr>
        <w:t xml:space="preserve"> = 0.009). No other adverse event differences were observed. While long-term </w:t>
      </w:r>
      <w:r>
        <w:rPr>
          <w:rStyle w:val="Emphasis"/>
          <w:color w:val="2E2E2E"/>
        </w:rPr>
        <w:t>anti</w:t>
      </w:r>
      <w:r>
        <w:rPr>
          <w:color w:val="2E2E2E"/>
        </w:rPr>
        <w:t>-rejection and renal function efficacy were demonstrated in both treatment arms, slight over-immunosuppression of Group II patients occurred.</w:t>
      </w:r>
    </w:p>
    <w:p w:rsidR="005F6143" w:rsidRDefault="005F6143">
      <w:pPr>
        <w:rPr>
          <w:color w:val="2E2E2E"/>
        </w:rPr>
      </w:pPr>
    </w:p>
    <w:p w:rsidR="005F6143" w:rsidRDefault="005F6143">
      <w:pPr>
        <w:rPr>
          <w:color w:val="2E2E2E"/>
          <w:sz w:val="32"/>
          <w:szCs w:val="32"/>
        </w:rPr>
      </w:pPr>
      <w:r w:rsidRPr="005F6143">
        <w:rPr>
          <w:color w:val="2E2E2E"/>
          <w:sz w:val="32"/>
          <w:szCs w:val="32"/>
        </w:rPr>
        <w:lastRenderedPageBreak/>
        <w:t>Biography:</w:t>
      </w:r>
    </w:p>
    <w:p w:rsidR="005F6143" w:rsidRDefault="005F6143" w:rsidP="005F6143">
      <w:pPr>
        <w:pStyle w:val="DataField11pt-Single"/>
        <w:ind w:left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Giselle Guerra is a </w:t>
      </w:r>
      <w:r w:rsidR="003E0CAA">
        <w:rPr>
          <w:rFonts w:ascii="Times New Roman" w:hAnsi="Times New Roman" w:cs="Times New Roman"/>
          <w:sz w:val="24"/>
          <w:szCs w:val="24"/>
        </w:rPr>
        <w:t xml:space="preserve">well-known </w:t>
      </w:r>
      <w:r>
        <w:rPr>
          <w:rFonts w:ascii="Times New Roman" w:hAnsi="Times New Roman" w:cs="Times New Roman"/>
          <w:sz w:val="24"/>
          <w:szCs w:val="24"/>
        </w:rPr>
        <w:t xml:space="preserve">transplant nephrologist with a level expertise in living donation as well as immunosuppressive regimens.  For the last </w:t>
      </w:r>
      <w:r>
        <w:rPr>
          <w:rFonts w:ascii="Times New Roman" w:hAnsi="Times New Roman" w:cs="Times New Roman"/>
          <w:sz w:val="24"/>
          <w:szCs w:val="24"/>
        </w:rPr>
        <w:t xml:space="preserve">9 years </w:t>
      </w:r>
      <w:r w:rsidR="003E0CAA">
        <w:rPr>
          <w:rFonts w:ascii="Times New Roman" w:hAnsi="Times New Roman" w:cs="Times New Roman"/>
          <w:sz w:val="24"/>
          <w:szCs w:val="24"/>
        </w:rPr>
        <w:t xml:space="preserve">as the Medical Director of the Living Kidney Donor Program </w:t>
      </w:r>
      <w:r>
        <w:rPr>
          <w:rFonts w:ascii="Times New Roman" w:hAnsi="Times New Roman" w:cs="Times New Roman"/>
          <w:sz w:val="24"/>
          <w:szCs w:val="24"/>
        </w:rPr>
        <w:t xml:space="preserve">and for the last 4 years </w:t>
      </w:r>
      <w:r w:rsidR="003E0CAA"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hAnsi="Times New Roman" w:cs="Times New Roman"/>
          <w:sz w:val="24"/>
          <w:szCs w:val="24"/>
        </w:rPr>
        <w:t>the Medical Director of Transplant Services at the Miami Transplant Institute</w:t>
      </w:r>
      <w:r w:rsidR="0024671D">
        <w:rPr>
          <w:rFonts w:ascii="Times New Roman" w:hAnsi="Times New Roman" w:cs="Times New Roman"/>
          <w:sz w:val="24"/>
          <w:szCs w:val="24"/>
        </w:rPr>
        <w:t xml:space="preserve"> (top three abdominal program in the US)</w:t>
      </w:r>
      <w:r>
        <w:rPr>
          <w:rFonts w:ascii="Times New Roman" w:hAnsi="Times New Roman" w:cs="Times New Roman"/>
          <w:sz w:val="24"/>
          <w:szCs w:val="24"/>
        </w:rPr>
        <w:t xml:space="preserve">, she has overseen </w:t>
      </w:r>
      <w:r w:rsidR="003E0CAA">
        <w:rPr>
          <w:rFonts w:ascii="Times New Roman" w:hAnsi="Times New Roman" w:cs="Times New Roman"/>
          <w:sz w:val="24"/>
          <w:szCs w:val="24"/>
        </w:rPr>
        <w:t xml:space="preserve">several research </w:t>
      </w:r>
      <w:r w:rsidR="0024671D">
        <w:rPr>
          <w:rFonts w:ascii="Times New Roman" w:hAnsi="Times New Roman" w:cs="Times New Roman"/>
          <w:sz w:val="24"/>
          <w:szCs w:val="24"/>
        </w:rPr>
        <w:t xml:space="preserve">trials focusing on </w:t>
      </w:r>
      <w:r w:rsidR="003E0CAA">
        <w:rPr>
          <w:rFonts w:ascii="Times New Roman" w:hAnsi="Times New Roman"/>
          <w:sz w:val="24"/>
        </w:rPr>
        <w:t>(1) efficacy and safety of various drugs</w:t>
      </w:r>
      <w:r w:rsidR="0024671D">
        <w:rPr>
          <w:rFonts w:ascii="Times New Roman" w:hAnsi="Times New Roman"/>
          <w:sz w:val="24"/>
        </w:rPr>
        <w:t xml:space="preserve"> and (2</w:t>
      </w:r>
      <w:r w:rsidR="003E0CAA">
        <w:rPr>
          <w:rFonts w:ascii="Times New Roman" w:hAnsi="Times New Roman"/>
          <w:sz w:val="24"/>
        </w:rPr>
        <w:t>) seek</w:t>
      </w:r>
      <w:r w:rsidR="0024671D">
        <w:rPr>
          <w:rFonts w:ascii="Times New Roman" w:hAnsi="Times New Roman"/>
          <w:sz w:val="24"/>
        </w:rPr>
        <w:t>ing</w:t>
      </w:r>
      <w:r w:rsidR="003E0CAA">
        <w:rPr>
          <w:rFonts w:ascii="Times New Roman" w:hAnsi="Times New Roman"/>
          <w:sz w:val="24"/>
        </w:rPr>
        <w:t xml:space="preserve"> phenotyping donors to study the rejections of patients who underwent kidney transplantation</w:t>
      </w:r>
      <w:r w:rsidR="00C45384">
        <w:rPr>
          <w:rFonts w:ascii="Times New Roman" w:hAnsi="Times New Roman"/>
          <w:sz w:val="24"/>
        </w:rPr>
        <w:t xml:space="preserve"> especially with highly sensitized patients</w:t>
      </w:r>
      <w:r w:rsidR="003E0CAA">
        <w:rPr>
          <w:rFonts w:ascii="Times New Roman" w:hAnsi="Times New Roman"/>
          <w:sz w:val="24"/>
        </w:rPr>
        <w:t>.</w:t>
      </w:r>
      <w:r w:rsidR="0024671D">
        <w:rPr>
          <w:rFonts w:ascii="Times New Roman" w:hAnsi="Times New Roman"/>
          <w:sz w:val="24"/>
        </w:rPr>
        <w:t xml:space="preserve">  </w:t>
      </w:r>
    </w:p>
    <w:p w:rsidR="00C45384" w:rsidRDefault="00C45384" w:rsidP="00C45384">
      <w:pPr>
        <w:pStyle w:val="DataField11pt-Single"/>
        <w:jc w:val="both"/>
        <w:rPr>
          <w:rFonts w:ascii="Times New Roman" w:hAnsi="Times New Roman" w:cs="Times New Roman"/>
          <w:sz w:val="24"/>
          <w:szCs w:val="24"/>
        </w:rPr>
      </w:pPr>
    </w:p>
    <w:p w:rsidR="00C45384" w:rsidRDefault="00C45384" w:rsidP="00C45384">
      <w:pPr>
        <w:pStyle w:val="DataField11pt-Singl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Presenting author details:</w:t>
      </w:r>
    </w:p>
    <w:p w:rsidR="00C45384" w:rsidRDefault="00C45384" w:rsidP="00C45384">
      <w:pPr>
        <w:pStyle w:val="DataField11pt-Singl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Full name: Giselle Guerra, MD</w:t>
      </w:r>
    </w:p>
    <w:p w:rsidR="00C45384" w:rsidRDefault="00C45384" w:rsidP="00C45384">
      <w:pPr>
        <w:pStyle w:val="DataField11pt-Singl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number: 305-355-5803</w:t>
      </w:r>
    </w:p>
    <w:p w:rsidR="00C45384" w:rsidRDefault="00C45384" w:rsidP="00C45384">
      <w:pPr>
        <w:pStyle w:val="DataField11pt-Singl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33" w:history="1">
        <w:r w:rsidRPr="003632AC">
          <w:rPr>
            <w:rStyle w:val="Hyperlink"/>
            <w:rFonts w:ascii="Times New Roman" w:hAnsi="Times New Roman" w:cs="Times New Roman"/>
            <w:sz w:val="24"/>
            <w:szCs w:val="24"/>
          </w:rPr>
          <w:t>gguerra@med.miami.edu</w:t>
        </w:r>
      </w:hyperlink>
    </w:p>
    <w:p w:rsidR="00C45384" w:rsidRDefault="00C45384" w:rsidP="00C45384">
      <w:pPr>
        <w:pStyle w:val="DataField11pt-Singl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Session name: Kidney Transplantation</w:t>
      </w:r>
    </w:p>
    <w:p w:rsidR="00C45384" w:rsidRDefault="00C45384" w:rsidP="00C45384">
      <w:pPr>
        <w:pStyle w:val="DataField11pt-Singl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Category: Oral</w:t>
      </w:r>
      <w:bookmarkStart w:id="0" w:name="_GoBack"/>
      <w:bookmarkEnd w:id="0"/>
    </w:p>
    <w:p w:rsidR="005F6143" w:rsidRPr="005F6143" w:rsidRDefault="005F6143">
      <w:pPr>
        <w:rPr>
          <w:sz w:val="32"/>
          <w:szCs w:val="32"/>
        </w:rPr>
      </w:pPr>
    </w:p>
    <w:sectPr w:rsidR="005F6143" w:rsidRPr="005F61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786587"/>
    <w:multiLevelType w:val="multilevel"/>
    <w:tmpl w:val="96C8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F14311"/>
    <w:multiLevelType w:val="multilevel"/>
    <w:tmpl w:val="4FA00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143"/>
    <w:rsid w:val="00190290"/>
    <w:rsid w:val="0024671D"/>
    <w:rsid w:val="00292BE0"/>
    <w:rsid w:val="003E0CAA"/>
    <w:rsid w:val="005F6143"/>
    <w:rsid w:val="00C4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5F69AA-5C09-4E7C-8831-71EE1F418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5F6143"/>
    <w:rPr>
      <w:i/>
      <w:iCs/>
      <w:sz w:val="24"/>
      <w:szCs w:val="24"/>
      <w:bdr w:val="none" w:sz="0" w:space="0" w:color="auto" w:frame="1"/>
      <w:vertAlign w:val="baseline"/>
    </w:rPr>
  </w:style>
  <w:style w:type="character" w:customStyle="1" w:styleId="DataField11pt-SingleChar">
    <w:name w:val="Data Field 11pt-Single Char"/>
    <w:basedOn w:val="DefaultParagraphFont"/>
    <w:link w:val="DataField11pt-Single"/>
    <w:locked/>
    <w:rsid w:val="005F6143"/>
    <w:rPr>
      <w:rFonts w:ascii="Arial" w:hAnsi="Arial" w:cs="Arial"/>
    </w:rPr>
  </w:style>
  <w:style w:type="paragraph" w:customStyle="1" w:styleId="DataField11pt-Single">
    <w:name w:val="Data Field 11pt-Single"/>
    <w:basedOn w:val="Normal"/>
    <w:link w:val="DataField11pt-SingleChar"/>
    <w:rsid w:val="005F6143"/>
    <w:pPr>
      <w:autoSpaceDE w:val="0"/>
      <w:autoSpaceDN w:val="0"/>
      <w:spacing w:after="0" w:line="240" w:lineRule="auto"/>
    </w:pPr>
    <w:rPr>
      <w:rFonts w:ascii="Arial" w:hAnsi="Arial" w:cs="Arial"/>
    </w:rPr>
  </w:style>
  <w:style w:type="character" w:styleId="Hyperlink">
    <w:name w:val="Hyperlink"/>
    <w:basedOn w:val="DefaultParagraphFont"/>
    <w:uiPriority w:val="99"/>
    <w:unhideWhenUsed/>
    <w:rsid w:val="00C453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75653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357590378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05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54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986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8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1205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492649917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6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64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09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9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26992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1617174889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9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1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2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8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direct.com/science/article/pii/S0966327416301290" TargetMode="External"/><Relationship Id="rId13" Type="http://schemas.openxmlformats.org/officeDocument/2006/relationships/hyperlink" Target="http://www.sciencedirect.com/science/article/pii/S0966327416301290" TargetMode="External"/><Relationship Id="rId18" Type="http://schemas.openxmlformats.org/officeDocument/2006/relationships/hyperlink" Target="http://www.sciencedirect.com/science/article/pii/S0966327416301290" TargetMode="External"/><Relationship Id="rId26" Type="http://schemas.openxmlformats.org/officeDocument/2006/relationships/hyperlink" Target="http://www.sciencedirect.com/science/article/pii/S0966327416301290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sciencedirect.com/science/article/pii/S0966327416301290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www.sciencedirect.com/science/article/pii/S0966327416301290" TargetMode="External"/><Relationship Id="rId12" Type="http://schemas.openxmlformats.org/officeDocument/2006/relationships/hyperlink" Target="http://www.sciencedirect.com/science/article/pii/S0966327416301290" TargetMode="External"/><Relationship Id="rId17" Type="http://schemas.openxmlformats.org/officeDocument/2006/relationships/hyperlink" Target="http://www.sciencedirect.com/science/article/pii/S0966327416301290" TargetMode="External"/><Relationship Id="rId25" Type="http://schemas.openxmlformats.org/officeDocument/2006/relationships/hyperlink" Target="http://www.sciencedirect.com/science/article/pii/S0966327416301290" TargetMode="External"/><Relationship Id="rId33" Type="http://schemas.openxmlformats.org/officeDocument/2006/relationships/hyperlink" Target="mailto:gguerra@med.miami.ed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ciencedirect.com/science/article/pii/S0966327416301290" TargetMode="External"/><Relationship Id="rId20" Type="http://schemas.openxmlformats.org/officeDocument/2006/relationships/hyperlink" Target="http://www.sciencedirect.com/science/article/pii/S0966327416301290" TargetMode="External"/><Relationship Id="rId29" Type="http://schemas.openxmlformats.org/officeDocument/2006/relationships/hyperlink" Target="http://www.sciencedirect.com/science/article/pii/S096632741630129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sciencedirect.com/science/article/pii/S0966327416301290" TargetMode="External"/><Relationship Id="rId11" Type="http://schemas.openxmlformats.org/officeDocument/2006/relationships/hyperlink" Target="http://www.sciencedirect.com/science/article/pii/S0966327416301290" TargetMode="External"/><Relationship Id="rId24" Type="http://schemas.openxmlformats.org/officeDocument/2006/relationships/hyperlink" Target="http://www.sciencedirect.com/science/article/pii/S0966327416301290" TargetMode="External"/><Relationship Id="rId32" Type="http://schemas.openxmlformats.org/officeDocument/2006/relationships/hyperlink" Target="http://www.sciencedirect.com/science/article/pii/S0966327416301290" TargetMode="External"/><Relationship Id="rId5" Type="http://schemas.openxmlformats.org/officeDocument/2006/relationships/hyperlink" Target="http://www.sciencedirect.com/science/article/pii/S0966327416301290" TargetMode="External"/><Relationship Id="rId15" Type="http://schemas.openxmlformats.org/officeDocument/2006/relationships/hyperlink" Target="http://www.sciencedirect.com/science/article/pii/S0966327416301290" TargetMode="External"/><Relationship Id="rId23" Type="http://schemas.openxmlformats.org/officeDocument/2006/relationships/hyperlink" Target="http://www.sciencedirect.com/science/article/pii/S0966327416301290" TargetMode="External"/><Relationship Id="rId28" Type="http://schemas.openxmlformats.org/officeDocument/2006/relationships/hyperlink" Target="http://www.sciencedirect.com/science/article/pii/S0966327416301290" TargetMode="External"/><Relationship Id="rId10" Type="http://schemas.openxmlformats.org/officeDocument/2006/relationships/hyperlink" Target="http://www.sciencedirect.com/science/article/pii/S0966327416301290" TargetMode="External"/><Relationship Id="rId19" Type="http://schemas.openxmlformats.org/officeDocument/2006/relationships/hyperlink" Target="http://www.sciencedirect.com/science/article/pii/S0966327416301290" TargetMode="External"/><Relationship Id="rId31" Type="http://schemas.openxmlformats.org/officeDocument/2006/relationships/hyperlink" Target="http://www.sciencedirect.com/science/article/pii/S09663274163012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ciencedirect.com/science/article/pii/S0966327416301290" TargetMode="External"/><Relationship Id="rId14" Type="http://schemas.openxmlformats.org/officeDocument/2006/relationships/hyperlink" Target="http://www.sciencedirect.com/science/article/pii/S0966327416301290" TargetMode="External"/><Relationship Id="rId22" Type="http://schemas.openxmlformats.org/officeDocument/2006/relationships/hyperlink" Target="http://www.sciencedirect.com/science/article/pii/S0966327416301290" TargetMode="External"/><Relationship Id="rId27" Type="http://schemas.openxmlformats.org/officeDocument/2006/relationships/hyperlink" Target="http://www.sciencedirect.com/science/article/pii/S0966327416301290" TargetMode="External"/><Relationship Id="rId30" Type="http://schemas.openxmlformats.org/officeDocument/2006/relationships/hyperlink" Target="http://www.sciencedirect.com/science/article/pii/S0966327416301290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Jackson Health System</Company>
  <LinksUpToDate>false</LinksUpToDate>
  <CharactersWithSpaces>5814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Guerra, Giselle M.D.</dc:creator>
  <cp:keywords/>
  <dc:description/>
  <cp:lastModifiedBy>Guerra, Giselle M.D.</cp:lastModifiedBy>
  <cp:revision>1</cp:revision>
  <dcterms:created xsi:type="dcterms:W3CDTF">2017-03-20T23:16:00Z</dcterms:created>
  <dcterms:modified xsi:type="dcterms:W3CDTF">2017-03-20T23:50:00Z</dcterms:modified>
</cp:coreProperties>
</file>