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66"/>
        <w:spacing w:before="2"/>
        <w:ind w:left="0"/>
        <w:rPr>
          <w:rFonts w:ascii="Times New Roman"/>
          <w:sz w:val="29"/>
        </w:rPr>
      </w:pPr>
    </w:p>
    <w:p>
      <w:pPr>
        <w:pStyle w:val="style66"/>
        <w:spacing w:before="55"/>
        <w:rPr>
          <w:lang w:val="en-US"/>
        </w:rPr>
      </w:pPr>
      <w:r>
        <w:rPr>
          <w:lang w:val="en-US"/>
        </w:rPr>
        <w:t xml:space="preserve">Abstract title </w:t>
      </w:r>
    </w:p>
    <w:p>
      <w:pPr>
        <w:pStyle w:val="style66"/>
        <w:spacing w:before="182" w:lineRule="auto" w:line="259"/>
        <w:ind w:right="197"/>
        <w:rPr>
          <w:lang w:val="en-US"/>
        </w:rPr>
      </w:pPr>
      <w:r>
        <w:rPr>
          <w:lang w:val="en-US"/>
        </w:rPr>
        <w:t>Value</w:t>
      </w:r>
      <w:r>
        <w:rPr>
          <w:lang w:val="en-US"/>
        </w:rPr>
        <w:t xml:space="preserve"> of unilateral spinal anaesthesia </w:t>
      </w:r>
      <w:r>
        <w:rPr>
          <w:lang w:val="en-US"/>
        </w:rPr>
        <w:t>for</w:t>
      </w:r>
      <w:r>
        <w:rPr>
          <w:lang w:val="en-US"/>
        </w:rPr>
        <w:t xml:space="preserve"> </w:t>
      </w:r>
      <w:r>
        <w:rPr>
          <w:lang w:val="en-US"/>
        </w:rPr>
        <w:t>proximal femur fracture</w:t>
      </w:r>
      <w:r>
        <w:rPr>
          <w:lang w:val="en-US"/>
        </w:rPr>
        <w:t xml:space="preserve"> </w:t>
      </w:r>
      <w:r>
        <w:rPr>
          <w:lang w:val="en-US"/>
        </w:rPr>
        <w:t>surgery in the elderly (75 cases)</w:t>
      </w:r>
    </w:p>
    <w:p>
      <w:pPr>
        <w:pStyle w:val="style66"/>
        <w:rPr>
          <w:lang w:val="en-US"/>
        </w:rPr>
      </w:pPr>
      <w:r>
        <w:rPr>
          <w:lang w:val="en-US"/>
        </w:rPr>
        <w:t>Position of the problem and objective(s</w:t>
      </w:r>
      <w:r>
        <w:rPr>
          <w:lang w:val="en-US"/>
        </w:rPr>
        <w:t>)</w:t>
      </w:r>
    </w:p>
    <w:p>
      <w:pPr>
        <w:pStyle w:val="style66"/>
        <w:spacing w:before="182" w:lineRule="auto" w:line="259"/>
        <w:ind w:right="153"/>
        <w:rPr>
          <w:lang w:val="en-US"/>
        </w:rPr>
      </w:pPr>
      <w:r>
        <w:rPr>
          <w:lang w:val="en-US"/>
        </w:rPr>
        <w:t>While</w:t>
      </w:r>
      <w:r>
        <w:rPr>
          <w:lang w:val="en-US"/>
        </w:rPr>
        <w:t xml:space="preserve"> in Western countries, unilateral spinal anesthesia has been widely practiced for a long time, </w:t>
      </w:r>
      <w:r>
        <w:rPr>
          <w:lang w:val="en-US"/>
        </w:rPr>
        <w:t xml:space="preserve">it remains </w:t>
      </w:r>
      <w:r>
        <w:rPr>
          <w:lang w:val="en-US"/>
        </w:rPr>
        <w:t xml:space="preserve">little known in the </w:t>
      </w:r>
      <w:r>
        <w:rPr>
          <w:lang w:val="en-US"/>
        </w:rPr>
        <w:t xml:space="preserve">local </w:t>
      </w:r>
      <w:r>
        <w:rPr>
          <w:lang w:val="en-US"/>
        </w:rPr>
        <w:t xml:space="preserve">anesthesia community, and has not </w:t>
      </w:r>
      <w:r>
        <w:rPr>
          <w:spacing w:val="1"/>
          <w:lang w:val="en-US"/>
        </w:rPr>
        <w:t>been</w:t>
      </w:r>
      <w:r>
        <w:rPr>
          <w:lang w:val="en-US"/>
        </w:rPr>
        <w:t xml:space="preserve"> the object of many studies. However, it is </w:t>
      </w:r>
      <w:r>
        <w:rPr>
          <w:spacing w:val="-3"/>
          <w:lang w:val="en-US"/>
        </w:rPr>
        <w:t xml:space="preserve">a </w:t>
      </w:r>
      <w:r>
        <w:rPr>
          <w:lang w:val="en-US"/>
        </w:rPr>
        <w:t>simple, practical and effective technique. Our objective was</w:t>
      </w:r>
      <w:r>
        <w:rPr>
          <w:lang w:val="en-US"/>
        </w:rPr>
        <w:t xml:space="preserve"> to </w:t>
      </w:r>
      <w:r>
        <w:rPr>
          <w:lang w:val="en-US"/>
        </w:rPr>
        <w:t xml:space="preserve">evaluate this practice in emergency anesthesia management in frail </w:t>
      </w:r>
      <w:r>
        <w:rPr>
          <w:lang w:val="en-US"/>
        </w:rPr>
        <w:t>patients</w:t>
      </w:r>
      <w:r>
        <w:rPr>
          <w:lang w:val="en-US"/>
        </w:rPr>
        <w:t xml:space="preserve"> and to compare it with conventional </w:t>
      </w:r>
      <w:r>
        <w:rPr>
          <w:lang w:val="en-US"/>
        </w:rPr>
        <w:t>spinal</w:t>
      </w:r>
      <w:r>
        <w:rPr>
          <w:lang w:val="en-US"/>
        </w:rPr>
        <w:t xml:space="preserve"> anesthesia.</w:t>
      </w:r>
    </w:p>
    <w:p>
      <w:pPr>
        <w:pStyle w:val="style66"/>
        <w:rPr>
          <w:lang w:val="en-US"/>
        </w:rPr>
      </w:pPr>
      <w:r>
        <w:rPr>
          <w:lang w:val="en-US"/>
        </w:rPr>
        <w:t xml:space="preserve">Materials and methods </w:t>
      </w:r>
    </w:p>
    <w:p>
      <w:pPr>
        <w:pStyle w:val="style66"/>
        <w:spacing w:before="182" w:lineRule="auto" w:line="259"/>
        <w:ind w:right="153"/>
        <w:rPr>
          <w:lang w:val="en-US"/>
        </w:rPr>
      </w:pPr>
      <w:r>
        <w:rPr>
          <w:spacing w:val="-6"/>
          <w:lang w:val="en-US"/>
        </w:rPr>
        <w:t xml:space="preserve">This </w:t>
      </w:r>
      <w:r>
        <w:rPr>
          <w:lang w:val="en-US"/>
        </w:rPr>
        <w:t xml:space="preserve">is a prospective, observational, comparative study between unilateral and conventional spinal anaesthesia for </w:t>
      </w:r>
      <w:r>
        <w:rPr>
          <w:lang w:val="en-US"/>
        </w:rPr>
        <w:t xml:space="preserve">proximal femur </w:t>
      </w:r>
      <w:r>
        <w:rPr>
          <w:lang w:val="en-US"/>
        </w:rPr>
        <w:t xml:space="preserve">fracture surgery </w:t>
      </w:r>
      <w:r>
        <w:rPr>
          <w:lang w:val="en-US"/>
        </w:rPr>
        <w:t>carried out in the operating room of the university military hospital of Staoueli</w:t>
      </w:r>
      <w:r>
        <w:rPr>
          <w:lang w:val="en-US"/>
        </w:rPr>
        <w:t>.</w:t>
      </w:r>
      <w:r>
        <w:rPr>
          <w:lang w:val="en-US"/>
        </w:rPr>
        <w:t xml:space="preserve"> </w:t>
      </w:r>
      <w:r>
        <w:rPr>
          <w:lang w:val="en-US"/>
        </w:rPr>
        <w:t>T</w:t>
      </w:r>
      <w:r>
        <w:rPr>
          <w:lang w:val="en-US"/>
        </w:rPr>
        <w:t>he work was spread over of</w:t>
      </w:r>
      <w:r>
        <w:rPr>
          <w:lang w:val="en-US"/>
        </w:rPr>
        <w:t xml:space="preserve"> </w:t>
      </w:r>
      <w:r>
        <w:rPr>
          <w:lang w:val="en-US"/>
        </w:rPr>
        <w:t>12-month period from 2019 to 2020</w:t>
      </w:r>
      <w:r>
        <w:rPr>
          <w:lang w:val="en-US"/>
        </w:rPr>
        <w:t>.</w:t>
      </w:r>
      <w:r>
        <w:rPr>
          <w:lang w:val="en-US"/>
        </w:rPr>
        <w:t xml:space="preserve"> The parameters analyzed were hemodynamic variations, vasopressor use, block efficiency, postoperative adverse events, and postoperative morphine consumption.</w:t>
      </w:r>
    </w:p>
    <w:p>
      <w:pPr>
        <w:pStyle w:val="style66"/>
        <w:spacing w:before="155" w:lineRule="auto" w:line="403"/>
        <w:ind w:right="825"/>
        <w:rPr>
          <w:lang w:val="en-US"/>
        </w:rPr>
      </w:pPr>
      <w:r>
        <w:rPr>
          <w:lang w:val="en-US"/>
        </w:rPr>
        <w:t xml:space="preserve">We excluded the conversions </w:t>
      </w:r>
      <w:r>
        <w:rPr>
          <w:lang w:val="en-US"/>
        </w:rPr>
        <w:t>to general anesthesia</w:t>
      </w:r>
      <w:r>
        <w:rPr>
          <w:lang w:val="en-US"/>
        </w:rPr>
        <w:t xml:space="preserve"> following the failures of technique as well as the lost data. </w:t>
      </w:r>
      <w:r>
        <w:rPr>
          <w:lang w:val="en-US"/>
        </w:rPr>
        <w:t>S</w:t>
      </w:r>
      <w:r>
        <w:rPr>
          <w:lang w:val="en-US"/>
        </w:rPr>
        <w:t>tatistical analys</w:t>
      </w:r>
      <w:r>
        <w:rPr>
          <w:lang w:val="en-US"/>
        </w:rPr>
        <w:t>i</w:t>
      </w:r>
      <w:r>
        <w:rPr>
          <w:lang w:val="en-US"/>
        </w:rPr>
        <w:t>s w</w:t>
      </w:r>
      <w:r>
        <w:rPr>
          <w:lang w:val="en-US"/>
        </w:rPr>
        <w:t>as</w:t>
      </w:r>
      <w:r>
        <w:rPr>
          <w:lang w:val="en-US"/>
        </w:rPr>
        <w:t xml:space="preserve"> made </w:t>
      </w:r>
      <w:r>
        <w:rPr>
          <w:lang w:val="en-US"/>
        </w:rPr>
        <w:t>on</w:t>
      </w:r>
      <w:r>
        <w:rPr>
          <w:lang w:val="en-US"/>
        </w:rPr>
        <w:t xml:space="preserve"> epi info 7.2</w:t>
      </w:r>
      <w:r>
        <w:rPr>
          <w:lang w:val="en-US"/>
        </w:rPr>
        <w:t xml:space="preserve"> </w:t>
      </w:r>
      <w:r>
        <w:rPr>
          <w:lang w:val="en-US"/>
        </w:rPr>
        <w:t>software</w:t>
      </w:r>
      <w:r>
        <w:rPr>
          <w:lang w:val="en-US"/>
        </w:rPr>
        <w:t>.</w:t>
      </w:r>
    </w:p>
    <w:p>
      <w:pPr>
        <w:pStyle w:val="style66"/>
        <w:spacing w:before="0" w:lineRule="exact" w:line="266"/>
        <w:rPr>
          <w:lang w:val="en-US"/>
        </w:rPr>
      </w:pPr>
      <w:r>
        <w:rPr>
          <w:lang w:val="en-US"/>
        </w:rPr>
        <w:t xml:space="preserve">Results &amp; Discussion </w:t>
      </w:r>
    </w:p>
    <w:p>
      <w:pPr>
        <w:pStyle w:val="style66"/>
        <w:spacing w:before="182"/>
        <w:rPr>
          <w:lang w:val="en-US"/>
        </w:rPr>
      </w:pPr>
      <w:r>
        <w:rPr>
          <w:lang w:val="en-US"/>
        </w:rPr>
        <w:t>-75 cases (mean age 72±14 years) (15% &amp;gt; 90 years (5 cases)), sensory block was constant.</w:t>
      </w:r>
    </w:p>
    <w:p>
      <w:pPr>
        <w:pStyle w:val="style66"/>
        <w:spacing w:before="181" w:lineRule="auto" w:line="259"/>
        <w:rPr>
          <w:lang w:val="en-US"/>
        </w:rPr>
      </w:pPr>
      <w:r>
        <w:rPr>
          <w:lang w:val="en-US"/>
        </w:rPr>
        <w:t>-Group1= 41 patients (54.6%) divided into (ASA1=14.6% ASA2=60.98% ASA3=24.39%) conventional anaesthesia</w:t>
      </w:r>
    </w:p>
    <w:p>
      <w:pPr>
        <w:pStyle w:val="style66"/>
        <w:spacing w:before="161" w:lineRule="auto" w:line="259"/>
        <w:rPr>
          <w:lang w:val="en-US"/>
        </w:rPr>
      </w:pPr>
      <w:r>
        <w:rPr>
          <w:lang w:val="en-US"/>
        </w:rPr>
        <w:t>-Group2= 34 patients (45.3%) divided into (ASA1=2.9%, ASA2=26.4% ASA3=61.7%, ASA4=8.8%) unilateral spinal anesthesia.</w:t>
      </w:r>
    </w:p>
    <w:p>
      <w:pPr>
        <w:pStyle w:val="style66"/>
        <w:spacing w:lineRule="auto" w:line="259"/>
        <w:rPr>
          <w:lang w:val="en-US"/>
        </w:rPr>
      </w:pPr>
      <w:r>
        <w:rPr>
          <w:lang w:val="en-US"/>
        </w:rPr>
        <w:t>- standard monitoring, a pre-filling of 7ml/kg anaesthesia was performed in both groups.</w:t>
      </w:r>
    </w:p>
    <w:p>
      <w:pPr>
        <w:pStyle w:val="style66"/>
        <w:spacing w:lineRule="auto" w:line="259"/>
        <w:ind w:firstLine="50"/>
        <w:rPr>
          <w:lang w:val="en-US"/>
        </w:rPr>
      </w:pPr>
      <w:r>
        <w:rPr>
          <w:lang w:val="en-US"/>
        </w:rPr>
        <w:t>-Hemodynamic variations were more severe in group 1 (51% hypotension) compared to 30% in group 2 RR=1.69 and odds ratio=2.41</w:t>
      </w:r>
    </w:p>
    <w:p>
      <w:pPr>
        <w:pStyle w:val="style66"/>
        <w:spacing w:lineRule="auto" w:line="259"/>
        <w:rPr>
          <w:lang w:val="en-US"/>
        </w:rPr>
      </w:pPr>
      <w:r>
        <w:rPr>
          <w:lang w:val="en-US"/>
        </w:rPr>
        <w:t>-these variations were more marked in the ASA3 subgroup (group 1=70% hypotension versus group 2=30%) with an RR=2.33 (1.06-5) and an odds ratio=5.44</w:t>
      </w:r>
    </w:p>
    <w:p>
      <w:pPr>
        <w:pStyle w:val="style66"/>
        <w:rPr>
          <w:lang w:val="en-US"/>
        </w:rPr>
      </w:pPr>
      <w:r>
        <w:rPr>
          <w:lang w:val="en-US"/>
        </w:rPr>
        <w:t xml:space="preserve">-3 asa4 patients were done under unilateral </w:t>
      </w:r>
      <w:r>
        <w:rPr>
          <w:lang w:val="en-US"/>
        </w:rPr>
        <w:t>spinal</w:t>
      </w:r>
      <w:r>
        <w:rPr>
          <w:lang w:val="en-US"/>
        </w:rPr>
        <w:t xml:space="preserve"> without hypotension</w:t>
      </w:r>
    </w:p>
    <w:p>
      <w:pPr>
        <w:pStyle w:val="style66"/>
        <w:spacing w:before="182" w:lineRule="auto" w:line="259"/>
        <w:ind w:right="237"/>
        <w:rPr>
          <w:lang w:val="en-US"/>
        </w:rPr>
      </w:pPr>
      <w:r>
        <w:rPr>
          <w:lang w:val="en-US"/>
        </w:rPr>
        <w:t>-39% of group 1 required vasoactive drugs (15mg +/- 11) versus 32% of group 2 (8mg+/- 6.49)</w:t>
      </w:r>
    </w:p>
    <w:p>
      <w:pPr>
        <w:pStyle w:val="style0"/>
        <w:spacing w:lineRule="auto" w:line="259"/>
        <w:rPr>
          <w:lang w:val="en-US"/>
        </w:rPr>
        <w:sectPr>
          <w:type w:val="continuous"/>
          <w:pgSz w:w="12240" w:h="15840" w:orient="portrait"/>
          <w:pgMar w:top="1500" w:right="1340" w:bottom="280" w:left="1340" w:header="720" w:footer="720" w:gutter="0"/>
          <w:cols w:space="720"/>
        </w:sectPr>
      </w:pPr>
    </w:p>
    <w:p>
      <w:pPr>
        <w:pStyle w:val="style66"/>
        <w:spacing w:before="41" w:lineRule="auto" w:line="403"/>
        <w:ind w:right="2150"/>
        <w:rPr>
          <w:lang w:val="en-US"/>
        </w:rPr>
      </w:pPr>
      <w:r>
        <w:rPr>
          <w:lang w:val="en-US"/>
        </w:rPr>
        <w:t xml:space="preserve">- no difference in the use of morphine in post-op. </w:t>
      </w:r>
      <w:r>
        <w:rPr>
          <w:lang w:val="en-US"/>
        </w:rPr>
        <w:t>Conclusion * Characters left: 510</w:t>
      </w:r>
    </w:p>
    <w:p>
      <w:pPr>
        <w:pStyle w:val="style66"/>
        <w:spacing w:before="0" w:lineRule="auto" w:line="259"/>
        <w:rPr>
          <w:lang w:val="en-US"/>
        </w:rPr>
      </w:pPr>
      <w:r>
        <w:rPr>
          <w:lang w:val="en-US"/>
        </w:rPr>
        <w:t xml:space="preserve">Within the limits of the population studied, this work demonstrates the </w:t>
      </w:r>
      <w:r>
        <w:rPr>
          <w:lang w:val="en-US"/>
        </w:rPr>
        <w:t>clinical value</w:t>
      </w:r>
      <w:r>
        <w:rPr>
          <w:lang w:val="en-US"/>
        </w:rPr>
        <w:t xml:space="preserve"> of unilateral spinal anesthesia in ortho-trauma surgery in the frail </w:t>
      </w:r>
      <w:r>
        <w:rPr>
          <w:lang w:val="en-US"/>
        </w:rPr>
        <w:t>patient</w:t>
      </w:r>
      <w:r>
        <w:rPr>
          <w:lang w:val="en-US"/>
        </w:rPr>
        <w:t>.</w:t>
      </w:r>
    </w:p>
    <w:p>
      <w:pPr>
        <w:pStyle w:val="style66"/>
        <w:spacing w:before="158" w:lineRule="auto" w:line="259"/>
        <w:rPr>
          <w:lang w:val="en-US"/>
        </w:rPr>
      </w:pPr>
      <w:r>
        <w:rPr>
          <w:lang w:val="en-US"/>
        </w:rPr>
        <w:t>We believe that this technique should be popularized in the anesthetic management of these subjects who are undergoing surgery for this type of pathology (</w:t>
      </w:r>
      <w:r>
        <w:rPr>
          <w:lang w:val="en-US"/>
        </w:rPr>
        <w:t xml:space="preserve">proximal femur </w:t>
      </w:r>
      <w:r>
        <w:rPr>
          <w:lang w:val="en-US"/>
        </w:rPr>
        <w:t xml:space="preserve">fractures) because of its simplicity and </w:t>
      </w:r>
      <w:r>
        <w:rPr>
          <w:lang w:val="en-US"/>
        </w:rPr>
        <w:t>ability to</w:t>
      </w:r>
      <w:r>
        <w:rPr>
          <w:lang w:val="en-US"/>
        </w:rPr>
        <w:t xml:space="preserve"> reduce</w:t>
      </w:r>
      <w:r>
        <w:rPr>
          <w:lang w:val="en-US"/>
        </w:rPr>
        <w:t xml:space="preserve"> </w:t>
      </w:r>
      <w:r>
        <w:rPr>
          <w:lang w:val="en-US"/>
        </w:rPr>
        <w:t>complications as well as the perioperative morbimortality</w:t>
      </w:r>
    </w:p>
    <w:p>
      <w:pPr>
        <w:pStyle w:val="style66"/>
        <w:spacing w:before="9"/>
        <w:ind w:left="0"/>
        <w:rPr>
          <w:sz w:val="9"/>
          <w:lang w:val="en-US"/>
        </w:rPr>
      </w:pPr>
      <w:r>
        <w:rPr>
          <w:noProof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914400</wp:posOffset>
            </wp:positionH>
            <wp:positionV relativeFrom="paragraph">
              <wp:posOffset>100622</wp:posOffset>
            </wp:positionV>
            <wp:extent cx="5922384" cy="4165663"/>
            <wp:effectExtent l="0" t="0" r="0" b="0"/>
            <wp:wrapTopAndBottom/>
            <wp:docPr id="1026" name="image1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22384" cy="4165663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rPr>
          <w:sz w:val="9"/>
          <w:lang w:val="en-US"/>
        </w:rPr>
        <w:sectPr>
          <w:pgSz w:w="12240" w:h="15840" w:orient="portrait"/>
          <w:pgMar w:top="1400" w:right="1340" w:bottom="280" w:left="1340" w:header="720" w:footer="720" w:gutter="0"/>
          <w:cols w:space="720"/>
        </w:sectPr>
      </w:pPr>
    </w:p>
    <w:p>
      <w:pPr>
        <w:pStyle w:val="style66"/>
        <w:spacing w:before="0"/>
        <w:rPr>
          <w:sz w:val="20"/>
        </w:rPr>
      </w:pPr>
      <w:r>
        <w:rPr>
          <w:noProof/>
          <w:sz w:val="20"/>
        </w:rPr>
        <w:drawing>
          <wp:inline distL="0" distT="0" distB="0" distR="0">
            <wp:extent cx="5883860" cy="2951988"/>
            <wp:effectExtent l="0" t="0" r="0" b="0"/>
            <wp:docPr id="1027" name="image2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eg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83860" cy="295198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75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pPr/>
    <w:rPr>
      <w:rFonts w:ascii="Calibri" w:cs="Calibri" w:eastAsia="Calibri" w:hAnsi="Calibri"/>
      <w:lang w:val="fr-FR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>
      <w:spacing w:before="160"/>
      <w:ind w:left="100"/>
    </w:pPr>
    <w:rPr/>
  </w:style>
  <w:style w:type="paragraph" w:styleId="style179">
    <w:name w:val="List Paragraph"/>
    <w:basedOn w:val="style0"/>
    <w:next w:val="style179"/>
    <w:qFormat/>
    <w:uiPriority w:val="1"/>
    <w:pPr/>
  </w:style>
  <w:style w:type="paragraph" w:customStyle="1" w:styleId="style4097">
    <w:name w:val="Table Paragraph"/>
    <w:basedOn w:val="style0"/>
    <w:next w:val="style4097"/>
    <w:qFormat/>
    <w:uiPriority w:val="1"/>
    <w:pPr/>
  </w:style>
  <w:style w:type="paragraph" w:styleId="style153">
    <w:name w:val="Balloon Text"/>
    <w:basedOn w:val="style0"/>
    <w:next w:val="style153"/>
    <w:link w:val="style4098"/>
    <w:uiPriority w:val="99"/>
    <w:pPr/>
    <w:rPr>
      <w:rFonts w:ascii="Segoe UI" w:cs="Segoe UI" w:hAnsi="Segoe UI"/>
      <w:sz w:val="18"/>
      <w:szCs w:val="18"/>
    </w:rPr>
  </w:style>
  <w:style w:type="character" w:customStyle="1" w:styleId="style4098">
    <w:name w:val="Texte de bulles Car"/>
    <w:basedOn w:val="style65"/>
    <w:next w:val="style4098"/>
    <w:link w:val="style153"/>
    <w:uiPriority w:val="99"/>
    <w:rPr>
      <w:rFonts w:ascii="Segoe UI" w:cs="Segoe UI" w:eastAsia="Calibri" w:hAnsi="Segoe UI"/>
      <w:sz w:val="18"/>
      <w:szCs w:val="18"/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384</Words>
  <Pages>1</Pages>
  <Characters>2228</Characters>
  <Application>WPS Office</Application>
  <DocSecurity>0</DocSecurity>
  <Paragraphs>24</Paragraphs>
  <ScaleCrop>false</ScaleCrop>
  <Company>MSF</Company>
  <LinksUpToDate>false</LinksUpToDate>
  <CharactersWithSpaces>2596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2023-05-29T19:32:50Z</dcterms:created>
  <dc:creator>PC</dc:creator>
  <keywords>, docId:CE4EF4A3A53FD43CB5F491440DB654D4</keywords>
  <lastModifiedBy>M2102J20SG</lastModifiedBy>
  <dcterms:modified xsi:type="dcterms:W3CDTF">2023-05-29T19:33:51Z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2023-05-14T00:00:00Z</vt:filetime>
  </property>
</Properties>
</file>