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39E" w:rsidRDefault="0016039E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Learning methods and strategies of Anatomy among medica</w:t>
      </w:r>
      <w:r w:rsidR="00770139">
        <w:rPr>
          <w:color w:val="337AB7"/>
        </w:rPr>
        <w:t>l students by using mobile apps</w:t>
      </w:r>
      <w:r w:rsidR="00F072CD">
        <w:rPr>
          <w:color w:val="337AB7"/>
        </w:rPr>
        <w:t>.</w:t>
      </w:r>
    </w:p>
    <w:p w:rsidR="0016039E" w:rsidRDefault="0078738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16039E">
        <w:rPr>
          <w:rFonts w:ascii="Arial"/>
        </w:rPr>
        <w:t>. Nasir Mustafa</w:t>
      </w:r>
      <w:r w:rsidR="005973B9">
        <w:rPr>
          <w:rFonts w:ascii="Arial"/>
        </w:rPr>
        <w:t xml:space="preserve">, </w:t>
      </w:r>
      <w:r w:rsidR="00C73A56">
        <w:rPr>
          <w:rFonts w:ascii="Arial"/>
        </w:rPr>
        <w:t>(</w:t>
      </w:r>
      <w:proofErr w:type="spellStart"/>
      <w:proofErr w:type="gramStart"/>
      <w:r w:rsidR="0016039E">
        <w:rPr>
          <w:rFonts w:ascii="Arial"/>
        </w:rPr>
        <w:t>M.Phil</w:t>
      </w:r>
      <w:proofErr w:type="spellEnd"/>
      <w:proofErr w:type="gramEnd"/>
      <w:r w:rsidR="007B4F6B">
        <w:rPr>
          <w:rFonts w:ascii="Arial"/>
        </w:rPr>
        <w:t xml:space="preserve"> Anatomy)</w:t>
      </w:r>
    </w:p>
    <w:p w:rsidR="005973B9" w:rsidRDefault="006A760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Istanbul </w:t>
      </w:r>
      <w:proofErr w:type="spellStart"/>
      <w:r>
        <w:rPr>
          <w:rFonts w:ascii="Arial"/>
        </w:rPr>
        <w:t>Gelisim</w:t>
      </w:r>
      <w:proofErr w:type="spellEnd"/>
      <w:r>
        <w:rPr>
          <w:rFonts w:ascii="Arial"/>
        </w:rPr>
        <w:t xml:space="preserve"> University.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B372E" w:rsidRDefault="000B372E" w:rsidP="000B372E">
      <w:pPr>
        <w:jc w:val="both"/>
        <w:rPr>
          <w:rFonts w:cs="Arial"/>
          <w:color w:val="1C1D1E"/>
          <w:sz w:val="18"/>
          <w:szCs w:val="18"/>
          <w:shd w:val="clear" w:color="auto" w:fill="FFFFFF"/>
        </w:rPr>
      </w:pPr>
      <w:r w:rsidRPr="00AD6F40">
        <w:rPr>
          <w:rFonts w:cs="Arial"/>
          <w:color w:val="1C1D1E"/>
          <w:sz w:val="18"/>
          <w:szCs w:val="18"/>
          <w:shd w:val="clear" w:color="auto" w:fill="FFFFFF"/>
        </w:rPr>
        <w:t xml:space="preserve">In the modern era smart phone apps </w:t>
      </w:r>
      <w:r>
        <w:rPr>
          <w:rFonts w:cs="Arial"/>
          <w:color w:val="1C1D1E"/>
          <w:sz w:val="18"/>
          <w:szCs w:val="18"/>
          <w:shd w:val="clear" w:color="auto" w:fill="FFFFFF"/>
        </w:rPr>
        <w:t>decreased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 xml:space="preserve"> face</w:t>
      </w:r>
      <w:r>
        <w:rPr>
          <w:rFonts w:ascii="Cambria Math" w:hAnsi="Cambria Math" w:cs="Cambria Math"/>
          <w:color w:val="1C1D1E"/>
          <w:sz w:val="18"/>
          <w:szCs w:val="18"/>
          <w:shd w:val="clear" w:color="auto" w:fill="FFFFFF"/>
        </w:rPr>
        <w:t xml:space="preserve">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>to</w:t>
      </w:r>
      <w:r>
        <w:rPr>
          <w:rFonts w:ascii="Cambria Math" w:hAnsi="Cambria Math" w:cs="Cambria Math"/>
          <w:color w:val="1C1D1E"/>
          <w:sz w:val="18"/>
          <w:szCs w:val="18"/>
          <w:shd w:val="clear" w:color="auto" w:fill="FFFFFF"/>
        </w:rPr>
        <w:t xml:space="preserve">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 xml:space="preserve">face teaching time may lead to students making greater use of mobile </w:t>
      </w:r>
      <w:r>
        <w:rPr>
          <w:rFonts w:cs="Arial"/>
          <w:color w:val="1C1D1E"/>
          <w:sz w:val="18"/>
          <w:szCs w:val="18"/>
          <w:shd w:val="clear" w:color="auto" w:fill="FFFFFF"/>
        </w:rPr>
        <w:t xml:space="preserve">apps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 xml:space="preserve">technologies in their learning. </w:t>
      </w:r>
      <w:r>
        <w:rPr>
          <w:sz w:val="18"/>
          <w:szCs w:val="18"/>
        </w:rPr>
        <w:t>Smartphone apps</w:t>
      </w:r>
      <w:r w:rsidRPr="00AD6F40">
        <w:rPr>
          <w:sz w:val="18"/>
          <w:szCs w:val="18"/>
        </w:rPr>
        <w:t xml:space="preserve"> technologies offer new opportunities to improve anatomy learning. This study examined the effect of using mobil</w:t>
      </w:r>
      <w:r>
        <w:rPr>
          <w:sz w:val="18"/>
          <w:szCs w:val="18"/>
        </w:rPr>
        <w:t>e</w:t>
      </w:r>
      <w:r w:rsidRPr="00AD6F40">
        <w:rPr>
          <w:sz w:val="18"/>
          <w:szCs w:val="18"/>
        </w:rPr>
        <w:t xml:space="preserve"> apps.</w:t>
      </w:r>
      <w:r>
        <w:rPr>
          <w:sz w:val="18"/>
          <w:szCs w:val="18"/>
        </w:rPr>
        <w:t xml:space="preserve">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>This is the first study to report on the learning methods and strategies of anatomy</w:t>
      </w:r>
      <w:r>
        <w:rPr>
          <w:rFonts w:cs="Arial"/>
          <w:color w:val="1C1D1E"/>
          <w:sz w:val="18"/>
          <w:szCs w:val="18"/>
          <w:shd w:val="clear" w:color="auto" w:fill="FFFFFF"/>
        </w:rPr>
        <w:t xml:space="preserve">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>among medical students by using mobile apps</w:t>
      </w:r>
      <w:r>
        <w:rPr>
          <w:rFonts w:cs="Arial"/>
          <w:color w:val="1C1D1E"/>
          <w:sz w:val="18"/>
          <w:szCs w:val="18"/>
          <w:shd w:val="clear" w:color="auto" w:fill="FFFFFF"/>
        </w:rPr>
        <w:t xml:space="preserve">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>and to ascertain if a relationship exists between preferred learning styles as determined by the validated VARK</w:t>
      </w:r>
      <w:r>
        <w:rPr>
          <w:rFonts w:cs="Arial"/>
          <w:color w:val="1C1D1E"/>
          <w:sz w:val="18"/>
          <w:szCs w:val="18"/>
          <w:shd w:val="clear" w:color="auto" w:fill="FFFFFF"/>
          <w:vertAlign w:val="superscript"/>
        </w:rPr>
        <w:t xml:space="preserve">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>questionnaire and use of mobile anatomy apps.</w:t>
      </w:r>
      <w:r>
        <w:rPr>
          <w:rFonts w:cs="Arial"/>
          <w:color w:val="1C1D1E"/>
          <w:sz w:val="18"/>
          <w:szCs w:val="18"/>
          <w:shd w:val="clear" w:color="auto" w:fill="FFFFFF"/>
        </w:rPr>
        <w:t xml:space="preserve">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>The majority of the students who completed the VARK questionnaire were multimodal learners with kine</w:t>
      </w:r>
      <w:r>
        <w:rPr>
          <w:rFonts w:cs="Arial"/>
          <w:color w:val="1C1D1E"/>
          <w:sz w:val="18"/>
          <w:szCs w:val="18"/>
          <w:shd w:val="clear" w:color="auto" w:fill="FFFFFF"/>
        </w:rPr>
        <w:t xml:space="preserve">sthetic and visual preferences.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>S</w:t>
      </w:r>
      <w:r>
        <w:rPr>
          <w:rFonts w:cs="Arial"/>
          <w:color w:val="1C1D1E"/>
          <w:sz w:val="18"/>
          <w:szCs w:val="18"/>
          <w:shd w:val="clear" w:color="auto" w:fill="FFFFFF"/>
        </w:rPr>
        <w:t xml:space="preserve">eventy-five percent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>of students owned one or more mobile anatomy apps which were used</w:t>
      </w:r>
      <w:r>
        <w:rPr>
          <w:rFonts w:cs="Arial"/>
          <w:color w:val="1C1D1E"/>
          <w:sz w:val="18"/>
          <w:szCs w:val="18"/>
          <w:shd w:val="clear" w:color="auto" w:fill="FFFFFF"/>
        </w:rPr>
        <w:t xml:space="preserve">. 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 xml:space="preserve">Most of these students spent less than 30 minutes per week using them. </w:t>
      </w:r>
      <w:r>
        <w:rPr>
          <w:rFonts w:cs="Arial"/>
          <w:color w:val="1C1D1E"/>
          <w:sz w:val="18"/>
          <w:szCs w:val="18"/>
          <w:shd w:val="clear" w:color="auto" w:fill="FFFFFF"/>
        </w:rPr>
        <w:t>T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 xml:space="preserve">op </w:t>
      </w:r>
      <w:r>
        <w:rPr>
          <w:rFonts w:cs="Arial"/>
          <w:color w:val="1C1D1E"/>
          <w:sz w:val="18"/>
          <w:szCs w:val="18"/>
          <w:shd w:val="clear" w:color="auto" w:fill="FFFFFF"/>
        </w:rPr>
        <w:t>ten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 xml:space="preserve"> mobile anatomy apps owned and recommended by the students were developed by 3D4Medical. Visual learning preferences were not associated with time spent using mobile anatomy</w:t>
      </w:r>
      <w:r>
        <w:rPr>
          <w:rFonts w:cs="Arial"/>
          <w:color w:val="1C1D1E"/>
          <w:sz w:val="18"/>
          <w:szCs w:val="18"/>
          <w:shd w:val="clear" w:color="auto" w:fill="FFFFFF"/>
        </w:rPr>
        <w:t>.</w:t>
      </w:r>
      <w:r w:rsidRPr="00AD6F40">
        <w:rPr>
          <w:rFonts w:cs="Arial"/>
          <w:color w:val="1C1D1E"/>
          <w:sz w:val="18"/>
          <w:szCs w:val="18"/>
          <w:shd w:val="clear" w:color="auto" w:fill="FFFFFF"/>
        </w:rPr>
        <w:t xml:space="preserve"> 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0B372E" w:rsidRDefault="000B372E" w:rsidP="000B372E">
      <w:pPr>
        <w:pStyle w:val="Heading3"/>
        <w:spacing w:before="147"/>
        <w:jc w:val="both"/>
      </w:pPr>
      <w:r>
        <w:rPr>
          <w:color w:val="BF5A14"/>
        </w:rPr>
        <w:t>Conclusion</w:t>
      </w:r>
    </w:p>
    <w:p w:rsidR="000B372E" w:rsidRPr="00C112E6" w:rsidRDefault="000B372E" w:rsidP="000B372E">
      <w:pPr>
        <w:autoSpaceDE w:val="0"/>
        <w:autoSpaceDN w:val="0"/>
        <w:adjustRightInd w:val="0"/>
        <w:jc w:val="both"/>
        <w:rPr>
          <w:rFonts w:cs="GrvfrqAdvTTb5929f4c"/>
          <w:color w:val="131413"/>
          <w:sz w:val="18"/>
          <w:szCs w:val="18"/>
        </w:rPr>
      </w:pPr>
      <w:r w:rsidRPr="00BA76CA">
        <w:rPr>
          <w:rFonts w:cs="GrvfrqAdvTTb5929f4c"/>
          <w:color w:val="131413"/>
          <w:sz w:val="18"/>
          <w:szCs w:val="18"/>
        </w:rPr>
        <w:t>This study explore that the use of mobile learning app influenced students</w:t>
      </w:r>
      <w:r w:rsidRPr="00BA76CA">
        <w:rPr>
          <w:rFonts w:cs="HvclffAdvTTb5929f4c+20"/>
          <w:color w:val="131413"/>
          <w:sz w:val="18"/>
          <w:szCs w:val="18"/>
        </w:rPr>
        <w:t xml:space="preserve">’ </w:t>
      </w:r>
      <w:r w:rsidRPr="00BA76CA">
        <w:rPr>
          <w:rFonts w:cs="GrvfrqAdvTTb5929f4c"/>
          <w:color w:val="131413"/>
          <w:sz w:val="18"/>
          <w:szCs w:val="18"/>
        </w:rPr>
        <w:t>academic performance and boosted their</w:t>
      </w:r>
      <w:r>
        <w:rPr>
          <w:rFonts w:cs="GrvfrqAdvTTb5929f4c"/>
          <w:color w:val="131413"/>
          <w:sz w:val="18"/>
          <w:szCs w:val="18"/>
        </w:rPr>
        <w:t xml:space="preserve"> </w:t>
      </w:r>
      <w:r w:rsidRPr="00BA76CA">
        <w:rPr>
          <w:rFonts w:cs="GrvfrqAdvTTb5929f4c"/>
          <w:color w:val="131413"/>
          <w:sz w:val="18"/>
          <w:szCs w:val="18"/>
        </w:rPr>
        <w:t xml:space="preserve">engagement in the subject. </w:t>
      </w:r>
      <w:r w:rsidRPr="00C112E6">
        <w:rPr>
          <w:rFonts w:cs="McpvswAdvTT86d47313"/>
          <w:color w:val="131413"/>
          <w:sz w:val="18"/>
          <w:szCs w:val="18"/>
        </w:rPr>
        <w:t xml:space="preserve">This study evaluated the effectiveness of a mobile app as a learning tool. </w:t>
      </w:r>
      <w:r w:rsidRPr="00BA76CA">
        <w:rPr>
          <w:rFonts w:cs="GrvfrqAdvTTb5929f4c"/>
          <w:color w:val="131413"/>
          <w:sz w:val="18"/>
          <w:szCs w:val="18"/>
        </w:rPr>
        <w:t>Created to better engage students in lecture content, the app was used to deliver multiple-choice content-based quizzes directly to students</w:t>
      </w:r>
      <w:r w:rsidRPr="00BA76CA">
        <w:rPr>
          <w:rFonts w:cs="HvclffAdvTTb5929f4c+20"/>
          <w:color w:val="131413"/>
          <w:sz w:val="18"/>
          <w:szCs w:val="18"/>
        </w:rPr>
        <w:t xml:space="preserve">’ </w:t>
      </w:r>
      <w:r w:rsidRPr="00BA76CA">
        <w:rPr>
          <w:rFonts w:cs="GrvfrqAdvTTb5929f4c"/>
          <w:color w:val="131413"/>
          <w:sz w:val="18"/>
          <w:szCs w:val="18"/>
        </w:rPr>
        <w:t xml:space="preserve">personal mobile devices </w:t>
      </w:r>
      <w:r>
        <w:rPr>
          <w:rFonts w:cs="GrvfrqAdvTTb5929f4c"/>
          <w:color w:val="131413"/>
          <w:sz w:val="18"/>
          <w:szCs w:val="18"/>
        </w:rPr>
        <w:t xml:space="preserve">post-lecture and pre-tutorial. </w:t>
      </w:r>
      <w:r w:rsidRPr="00C112E6">
        <w:rPr>
          <w:rFonts w:cs="McpvswAdvTT86d47313"/>
          <w:color w:val="131413"/>
          <w:sz w:val="18"/>
          <w:szCs w:val="18"/>
        </w:rPr>
        <w:t xml:space="preserve">This study evaluated the effectiveness of a mobile app as a learning tool. </w:t>
      </w:r>
    </w:p>
    <w:p w:rsidR="000B372E" w:rsidRPr="00190053" w:rsidRDefault="000B372E">
      <w:pPr>
        <w:pStyle w:val="BodyText"/>
        <w:spacing w:before="90" w:line="280" w:lineRule="auto"/>
        <w:ind w:left="100"/>
        <w:jc w:val="both"/>
      </w:pPr>
    </w:p>
    <w:p w:rsidR="00C334AA" w:rsidRDefault="00A9710C" w:rsidP="00C334AA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C334AA" w:rsidRPr="00C334AA" w:rsidRDefault="00C334AA" w:rsidP="00C334AA">
      <w:pPr>
        <w:pStyle w:val="Heading3"/>
        <w:spacing w:before="74"/>
        <w:rPr>
          <w:color w:val="BF5A14"/>
          <w:sz w:val="4"/>
          <w:szCs w:val="4"/>
        </w:rPr>
      </w:pPr>
    </w:p>
    <w:p w:rsidR="00AE3E37" w:rsidRDefault="00760F50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tr-TR" w:eastAsia="tr-TR"/>
        </w:rPr>
        <w:drawing>
          <wp:inline distT="0" distB="0" distL="0" distR="0">
            <wp:extent cx="3136900" cy="22098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73B9" w:rsidRDefault="003B286F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3B286F" w:rsidRPr="008B6F3B" w:rsidRDefault="003B286F" w:rsidP="003B286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B6F3B">
        <w:rPr>
          <w:rFonts w:asciiTheme="minorHAnsi" w:hAnsiTheme="minorHAnsi" w:cstheme="minorHAnsi"/>
          <w:b/>
          <w:color w:val="000000" w:themeColor="text1"/>
          <w:sz w:val="18"/>
          <w:szCs w:val="18"/>
          <w:shd w:val="clear" w:color="auto" w:fill="FFFFFF"/>
        </w:rPr>
        <w:t>The effect on histomorphology of lungs in fluconazole and vitamin E treated Sprague Dawley rats with septic shock.</w:t>
      </w:r>
    </w:p>
    <w:p w:rsidR="00A42F90" w:rsidRPr="008B6F3B" w:rsidRDefault="003B286F" w:rsidP="00A42F90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rStyle w:val="Strong"/>
          <w:rFonts w:asciiTheme="minorHAnsi" w:hAnsiTheme="minorHAnsi" w:cstheme="minorHAnsi"/>
          <w:b w:val="0"/>
          <w:bCs w:val="0"/>
          <w:i/>
          <w:color w:val="000000" w:themeColor="text1"/>
          <w:sz w:val="18"/>
          <w:szCs w:val="18"/>
        </w:rPr>
      </w:pPr>
      <w:r w:rsidRPr="008B6F3B">
        <w:rPr>
          <w:rFonts w:asciiTheme="minorHAnsi" w:hAnsiTheme="minorHAnsi" w:cstheme="minorHAnsi"/>
          <w:bCs/>
          <w:i/>
          <w:color w:val="000000" w:themeColor="text1"/>
          <w:sz w:val="18"/>
          <w:szCs w:val="18"/>
        </w:rPr>
        <w:t>International Conference on Anatomy, Physiology, Psychology and Behavioral Science</w:t>
      </w:r>
      <w:r w:rsidR="00102E33" w:rsidRPr="008B6F3B">
        <w:rPr>
          <w:rFonts w:asciiTheme="minorHAnsi" w:hAnsiTheme="minorHAnsi" w:cstheme="minorHAnsi"/>
          <w:bCs/>
          <w:i/>
          <w:color w:val="000000" w:themeColor="text1"/>
          <w:sz w:val="18"/>
          <w:szCs w:val="18"/>
        </w:rPr>
        <w:t xml:space="preserve">. </w:t>
      </w:r>
      <w:r w:rsidRPr="008B6F3B">
        <w:rPr>
          <w:rFonts w:asciiTheme="minorHAnsi" w:hAnsiTheme="minorHAnsi" w:cstheme="minorHAnsi"/>
          <w:i/>
          <w:color w:val="000000" w:themeColor="text1"/>
          <w:sz w:val="18"/>
          <w:szCs w:val="18"/>
        </w:rPr>
        <w:t>November 14-15, 2018 San Antonio, USA.</w:t>
      </w:r>
      <w:r w:rsidRPr="008B6F3B">
        <w:rPr>
          <w:rStyle w:val="Strong"/>
          <w:rFonts w:asciiTheme="minorHAnsi" w:hAnsiTheme="minorHAnsi" w:cstheme="minorHAnsi"/>
          <w:b w:val="0"/>
          <w:bCs w:val="0"/>
          <w:i/>
          <w:color w:val="000000" w:themeColor="text1"/>
          <w:sz w:val="18"/>
          <w:szCs w:val="18"/>
        </w:rPr>
        <w:t xml:space="preserve"> </w:t>
      </w:r>
    </w:p>
    <w:p w:rsidR="003B286F" w:rsidRPr="008B6F3B" w:rsidRDefault="00A42F90" w:rsidP="00A42F90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rFonts w:asciiTheme="minorHAnsi" w:hAnsiTheme="minorHAnsi" w:cstheme="minorHAnsi"/>
          <w:i/>
          <w:color w:val="000000" w:themeColor="text1"/>
          <w:sz w:val="18"/>
          <w:szCs w:val="18"/>
        </w:rPr>
      </w:pPr>
      <w:r w:rsidRPr="008B6F3B">
        <w:rPr>
          <w:rStyle w:val="Strong"/>
          <w:rFonts w:asciiTheme="minorHAnsi" w:hAnsiTheme="minorHAnsi" w:cstheme="minorHAnsi"/>
          <w:b w:val="0"/>
          <w:bCs w:val="0"/>
          <w:i/>
          <w:color w:val="000000" w:themeColor="text1"/>
          <w:sz w:val="16"/>
          <w:szCs w:val="16"/>
        </w:rPr>
        <w:t>DOI:</w:t>
      </w:r>
      <w:r w:rsidR="003B286F" w:rsidRPr="008B6F3B">
        <w:rPr>
          <w:rFonts w:asciiTheme="minorHAnsi" w:hAnsiTheme="minorHAnsi" w:cstheme="minorHAnsi"/>
          <w:bCs/>
          <w:i/>
          <w:color w:val="000000" w:themeColor="text1"/>
          <w:sz w:val="16"/>
          <w:szCs w:val="16"/>
        </w:rPr>
        <w:t> 10.4172/2471-4372-C7-027</w:t>
      </w:r>
    </w:p>
    <w:p w:rsidR="003B286F" w:rsidRPr="008B6F3B" w:rsidRDefault="003B286F" w:rsidP="003B286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b/>
          <w:color w:val="000000" w:themeColor="text1"/>
          <w:sz w:val="18"/>
        </w:rPr>
      </w:pPr>
      <w:r w:rsidRPr="008B6F3B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Diagnostic TCD for intracranial stenosis in acute stroke patients: experience from a tertiary care stroke center in Karachi, Pakistan.</w:t>
      </w:r>
      <w:r w:rsidR="00102E33" w:rsidRPr="008B6F3B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hyperlink r:id="rId10" w:tooltip="BMC research notes." w:history="1">
        <w:r w:rsidR="00102E33" w:rsidRPr="008B6F3B">
          <w:rPr>
            <w:rStyle w:val="Hyperlink"/>
            <w:rFonts w:asciiTheme="minorHAnsi" w:hAnsiTheme="minorHAnsi" w:cstheme="minorHAnsi"/>
            <w:color w:val="000000" w:themeColor="text1"/>
            <w:sz w:val="18"/>
            <w:szCs w:val="18"/>
            <w:u w:val="none"/>
          </w:rPr>
          <w:t>BMC Res Notes.</w:t>
        </w:r>
      </w:hyperlink>
      <w:r w:rsidR="00102E33" w:rsidRPr="008B6F3B">
        <w:rPr>
          <w:rFonts w:asciiTheme="minorHAnsi" w:hAnsiTheme="minorHAnsi" w:cstheme="minorHAnsi"/>
          <w:color w:val="000000" w:themeColor="text1"/>
          <w:sz w:val="18"/>
          <w:szCs w:val="18"/>
        </w:rPr>
        <w:t> 2015 Aug 11;8:341.</w:t>
      </w:r>
    </w:p>
    <w:p w:rsidR="00F072CD" w:rsidRPr="00F072CD" w:rsidRDefault="00A42F90" w:rsidP="00F072CD">
      <w:pPr>
        <w:shd w:val="clear" w:color="auto" w:fill="FFFFFF"/>
        <w:spacing w:line="348" w:lineRule="atLeast"/>
        <w:ind w:firstLine="383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B6F3B">
        <w:rPr>
          <w:rStyle w:val="Strong"/>
          <w:rFonts w:asciiTheme="minorHAnsi" w:hAnsiTheme="minorHAnsi" w:cstheme="minorHAnsi"/>
          <w:b w:val="0"/>
          <w:bCs w:val="0"/>
          <w:i/>
          <w:color w:val="000000" w:themeColor="text1"/>
          <w:sz w:val="16"/>
          <w:szCs w:val="16"/>
        </w:rPr>
        <w:t>DOI:</w:t>
      </w:r>
      <w:r w:rsidR="003B286F" w:rsidRPr="008B6F3B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 10.1186/s13104-015-1289-3.</w:t>
      </w:r>
      <w:r w:rsidRPr="008B6F3B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 </w:t>
      </w:r>
      <w:r w:rsidR="003B286F" w:rsidRPr="008B6F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</w:p>
    <w:p w:rsidR="008B6F3B" w:rsidRPr="009C7959" w:rsidRDefault="008B6F3B" w:rsidP="008B6F3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jc w:val="left"/>
        <w:rPr>
          <w:color w:val="000000" w:themeColor="text1"/>
          <w:sz w:val="18"/>
        </w:rPr>
      </w:pPr>
      <w:r w:rsidRPr="00F072C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Adult cardiac critical care at the Ki</w:t>
      </w:r>
      <w:r w:rsidRPr="008B6F3B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ng </w:t>
      </w:r>
      <w:proofErr w:type="spellStart"/>
      <w:r w:rsidRPr="008B6F3B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Abdulaziz</w:t>
      </w:r>
      <w:proofErr w:type="spellEnd"/>
      <w:r w:rsidRPr="008B6F3B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Cardiac Center</w:t>
      </w:r>
      <w:r w:rsidRPr="008B6F3B">
        <w:rPr>
          <w:rFonts w:asciiTheme="minorHAnsi" w:hAnsiTheme="minorHAnsi" w:cstheme="minorHAnsi"/>
          <w:color w:val="000000" w:themeColor="text1"/>
          <w:sz w:val="18"/>
          <w:szCs w:val="18"/>
        </w:rPr>
        <w:br/>
      </w:r>
      <w:hyperlink r:id="rId11" w:tgtFrame="_blank" w:history="1">
        <w:r w:rsidRPr="008B6F3B">
          <w:rPr>
            <w:rStyle w:val="Hyperlink"/>
            <w:rFonts w:asciiTheme="minorHAnsi" w:hAnsiTheme="minorHAnsi" w:cstheme="minorHAnsi"/>
            <w:i/>
            <w:color w:val="000000" w:themeColor="text1"/>
            <w:sz w:val="18"/>
            <w:szCs w:val="18"/>
            <w:u w:val="none"/>
            <w:bdr w:val="none" w:sz="0" w:space="0" w:color="auto" w:frame="1"/>
          </w:rPr>
          <w:t>European Heart Journal Supplements</w:t>
        </w:r>
      </w:hyperlink>
      <w:r w:rsidRPr="008B6F3B">
        <w:rPr>
          <w:rFonts w:asciiTheme="minorHAnsi" w:hAnsiTheme="minorHAnsi" w:cstheme="minorHAnsi"/>
          <w:i/>
          <w:color w:val="000000" w:themeColor="text1"/>
          <w:sz w:val="18"/>
          <w:szCs w:val="18"/>
        </w:rPr>
        <w:t> </w:t>
      </w:r>
      <w:r w:rsidRPr="008B6F3B">
        <w:rPr>
          <w:rFonts w:asciiTheme="minorHAnsi" w:hAnsiTheme="minorHAnsi" w:cstheme="minorHAnsi"/>
          <w:i/>
          <w:color w:val="000000" w:themeColor="text1"/>
          <w:sz w:val="18"/>
          <w:szCs w:val="18"/>
        </w:rPr>
        <w:br/>
      </w:r>
      <w:r w:rsidRPr="008B6F3B">
        <w:rPr>
          <w:rFonts w:asciiTheme="minorHAnsi" w:hAnsiTheme="minorHAnsi" w:cstheme="minorHAnsi"/>
          <w:color w:val="000000" w:themeColor="text1"/>
          <w:sz w:val="18"/>
          <w:szCs w:val="18"/>
        </w:rPr>
        <w:t>16(</w:t>
      </w:r>
      <w:proofErr w:type="spellStart"/>
      <w:r w:rsidRPr="008B6F3B">
        <w:rPr>
          <w:rFonts w:asciiTheme="minorHAnsi" w:hAnsiTheme="minorHAnsi" w:cstheme="minorHAnsi"/>
          <w:color w:val="000000" w:themeColor="text1"/>
          <w:sz w:val="18"/>
          <w:szCs w:val="18"/>
        </w:rPr>
        <w:t>suppl</w:t>
      </w:r>
      <w:proofErr w:type="spellEnd"/>
      <w:r w:rsidRPr="008B6F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B):B52-B54 · November 2014</w:t>
      </w:r>
      <w:r w:rsidRPr="008B6F3B">
        <w:rPr>
          <w:rFonts w:asciiTheme="minorHAnsi" w:hAnsiTheme="minorHAnsi" w:cstheme="minorHAnsi"/>
          <w:color w:val="000000" w:themeColor="text1"/>
          <w:sz w:val="18"/>
          <w:szCs w:val="18"/>
        </w:rPr>
        <w:br/>
        <w:t>DOI: 10.1093/</w:t>
      </w:r>
      <w:proofErr w:type="spellStart"/>
      <w:r w:rsidRPr="008B6F3B">
        <w:rPr>
          <w:rFonts w:asciiTheme="minorHAnsi" w:hAnsiTheme="minorHAnsi" w:cstheme="minorHAnsi"/>
          <w:color w:val="000000" w:themeColor="text1"/>
          <w:sz w:val="18"/>
          <w:szCs w:val="18"/>
        </w:rPr>
        <w:t>eurheartj</w:t>
      </w:r>
      <w:proofErr w:type="spellEnd"/>
      <w:r w:rsidRPr="008B6F3B">
        <w:rPr>
          <w:rFonts w:asciiTheme="minorHAnsi" w:hAnsiTheme="minorHAnsi" w:cstheme="minorHAnsi"/>
          <w:color w:val="000000" w:themeColor="text1"/>
          <w:sz w:val="18"/>
          <w:szCs w:val="18"/>
        </w:rPr>
        <w:t>/suu002</w:t>
      </w:r>
    </w:p>
    <w:p w:rsidR="009C7959" w:rsidRPr="009C7959" w:rsidRDefault="009C7959" w:rsidP="009C795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jc w:val="left"/>
        <w:rPr>
          <w:color w:val="000000" w:themeColor="text1"/>
          <w:sz w:val="18"/>
        </w:rPr>
      </w:pPr>
      <w:r w:rsidRPr="009C795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Learning methods and strategies of Anatomy among medical students by using mobile apps.</w:t>
      </w:r>
    </w:p>
    <w:p w:rsidR="009C7959" w:rsidRPr="008B6F3B" w:rsidRDefault="009C7959" w:rsidP="009C7959">
      <w:pPr>
        <w:pStyle w:val="ListParagraph"/>
        <w:tabs>
          <w:tab w:val="left" w:pos="384"/>
        </w:tabs>
        <w:spacing w:before="103" w:line="216" w:lineRule="exact"/>
        <w:ind w:right="138" w:firstLine="0"/>
        <w:jc w:val="left"/>
        <w:rPr>
          <w:color w:val="000000" w:themeColor="text1"/>
          <w:sz w:val="18"/>
        </w:rPr>
      </w:pPr>
    </w:p>
    <w:p w:rsidR="008B6F3B" w:rsidRPr="00F072CD" w:rsidRDefault="008B6F3B" w:rsidP="00F072CD">
      <w:pPr>
        <w:tabs>
          <w:tab w:val="left" w:pos="384"/>
        </w:tabs>
        <w:spacing w:before="103" w:line="216" w:lineRule="exact"/>
        <w:ind w:left="100" w:right="138"/>
        <w:rPr>
          <w:sz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20EC3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072CD">
        <w:rPr>
          <w:noProof/>
          <w:lang w:val="tr-TR" w:eastAsia="tr-TR"/>
        </w:rPr>
        <w:drawing>
          <wp:inline distT="0" distB="0" distL="0" distR="0">
            <wp:extent cx="672465" cy="609136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76" cy="613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72CD">
        <w:rPr>
          <w:noProof/>
          <w:lang w:val="tr-TR" w:eastAsia="tr-TR"/>
        </w:rPr>
        <w:t xml:space="preserve"> </w:t>
      </w:r>
      <w:r w:rsidR="00A9710C">
        <w:rPr>
          <w:rFonts w:ascii="Arial"/>
          <w:color w:val="BF5A14"/>
        </w:rPr>
        <w:t>Biography</w:t>
      </w:r>
      <w:r w:rsidR="00F072CD">
        <w:rPr>
          <w:rFonts w:ascii="Arial"/>
          <w:color w:val="BF5A14"/>
        </w:rPr>
        <w:t xml:space="preserve"> </w:t>
      </w:r>
    </w:p>
    <w:p w:rsidR="00AE3E37" w:rsidRDefault="004C46F8" w:rsidP="00EB557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An innovative and knowledgeable professional who has 14 years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 medical college teaching experience. </w:t>
      </w:r>
      <w:r w:rsidR="00EB5571">
        <w:rPr>
          <w:rFonts w:ascii="Arial"/>
          <w:sz w:val="14"/>
        </w:rPr>
        <w:t xml:space="preserve">A versatile, positive, and self-motivated team player who is result driven. Specialized in teaching </w:t>
      </w:r>
      <w:r>
        <w:rPr>
          <w:rFonts w:ascii="Arial"/>
          <w:sz w:val="14"/>
        </w:rPr>
        <w:t xml:space="preserve">with excellent and proven computer skills. </w:t>
      </w:r>
      <w:proofErr w:type="spellStart"/>
      <w:proofErr w:type="gramStart"/>
      <w:r>
        <w:rPr>
          <w:rFonts w:ascii="Arial"/>
          <w:sz w:val="14"/>
        </w:rPr>
        <w:t>Dr.Nasir</w:t>
      </w:r>
      <w:proofErr w:type="spellEnd"/>
      <w:proofErr w:type="gramEnd"/>
      <w:r w:rsidR="00EB557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 h</w:t>
      </w:r>
      <w:r>
        <w:rPr>
          <w:rFonts w:ascii="Arial"/>
          <w:sz w:val="14"/>
        </w:rPr>
        <w:t>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>Research</w:t>
      </w:r>
      <w:r w:rsidR="00A9710C">
        <w:rPr>
          <w:rFonts w:ascii="Arial"/>
          <w:sz w:val="14"/>
        </w:rPr>
        <w:t xml:space="preserve"> and passion in improving the health and wellbeing. </w:t>
      </w:r>
      <w:r>
        <w:rPr>
          <w:rFonts w:ascii="Arial"/>
          <w:sz w:val="14"/>
        </w:rPr>
        <w:t xml:space="preserve">I have exceptional communication skills and able to strike an appropriate balance between time lines and challenging deadlines. </w:t>
      </w:r>
    </w:p>
    <w:p w:rsidR="00AE3E37" w:rsidRDefault="000B372E" w:rsidP="000B372E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3" w:history="1">
        <w:r w:rsidRPr="00ED4F16">
          <w:rPr>
            <w:rStyle w:val="Hyperlink"/>
            <w:rFonts w:ascii="Arial"/>
            <w:sz w:val="14"/>
          </w:rPr>
          <w:t>nasirmustafaspan@gmail.com</w:t>
        </w:r>
      </w:hyperlink>
    </w:p>
    <w:p w:rsidR="00AE3E37" w:rsidRPr="004C46F8" w:rsidRDefault="00292ED9" w:rsidP="004C46F8">
      <w:pPr>
        <w:pStyle w:val="BodyText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BF59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8B6F3B" w:rsidRDefault="008B6F3B" w:rsidP="000029B1">
      <w:pPr>
        <w:pStyle w:val="Heading3"/>
        <w:shd w:val="clear" w:color="auto" w:fill="FFFFFF"/>
        <w:spacing w:after="450"/>
        <w:rPr>
          <w:rFonts w:ascii="Tw Cen MT" w:hAnsi="Tw Cen MT"/>
          <w:b w:val="0"/>
          <w:bCs w:val="0"/>
          <w:color w:val="34343C"/>
          <w:sz w:val="14"/>
          <w:szCs w:val="14"/>
        </w:rPr>
      </w:pPr>
    </w:p>
    <w:sectPr w:rsidR="008B6F3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6FE" w:rsidRDefault="00B746FE">
      <w:r>
        <w:separator/>
      </w:r>
    </w:p>
  </w:endnote>
  <w:endnote w:type="continuationSeparator" w:id="0">
    <w:p w:rsidR="00B746FE" w:rsidRDefault="00B74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rvfrqAdvTTb5929f4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vclffAdvTTb5929f4c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cpvswAdvTT86d4731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6FE" w:rsidRDefault="00B746FE">
      <w:r>
        <w:separator/>
      </w:r>
    </w:p>
  </w:footnote>
  <w:footnote w:type="continuationSeparator" w:id="0">
    <w:p w:rsidR="00B746FE" w:rsidRDefault="00B74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898013F"/>
    <w:multiLevelType w:val="hybridMultilevel"/>
    <w:tmpl w:val="0C9034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29B1"/>
    <w:rsid w:val="000B372E"/>
    <w:rsid w:val="000E2911"/>
    <w:rsid w:val="00102E33"/>
    <w:rsid w:val="001263DF"/>
    <w:rsid w:val="0016039E"/>
    <w:rsid w:val="00190053"/>
    <w:rsid w:val="001E763C"/>
    <w:rsid w:val="00250EFA"/>
    <w:rsid w:val="002801A7"/>
    <w:rsid w:val="00292ED9"/>
    <w:rsid w:val="002C1166"/>
    <w:rsid w:val="00314AFB"/>
    <w:rsid w:val="003B286F"/>
    <w:rsid w:val="003B76D9"/>
    <w:rsid w:val="00404E5B"/>
    <w:rsid w:val="00414F7B"/>
    <w:rsid w:val="004355DC"/>
    <w:rsid w:val="004749B4"/>
    <w:rsid w:val="00494130"/>
    <w:rsid w:val="004C46F8"/>
    <w:rsid w:val="004F3523"/>
    <w:rsid w:val="005034F3"/>
    <w:rsid w:val="005869D9"/>
    <w:rsid w:val="005973B9"/>
    <w:rsid w:val="005B3A56"/>
    <w:rsid w:val="006060CE"/>
    <w:rsid w:val="0063497F"/>
    <w:rsid w:val="006A7602"/>
    <w:rsid w:val="00760F50"/>
    <w:rsid w:val="00770139"/>
    <w:rsid w:val="0078738A"/>
    <w:rsid w:val="007B4F6B"/>
    <w:rsid w:val="00873DF0"/>
    <w:rsid w:val="008756E6"/>
    <w:rsid w:val="008B6F3B"/>
    <w:rsid w:val="008F6D4C"/>
    <w:rsid w:val="00922934"/>
    <w:rsid w:val="009B2D44"/>
    <w:rsid w:val="009C7959"/>
    <w:rsid w:val="00A05CA2"/>
    <w:rsid w:val="00A07E82"/>
    <w:rsid w:val="00A42F90"/>
    <w:rsid w:val="00A9710C"/>
    <w:rsid w:val="00AE3E37"/>
    <w:rsid w:val="00B21A57"/>
    <w:rsid w:val="00B746FE"/>
    <w:rsid w:val="00C334AA"/>
    <w:rsid w:val="00C33602"/>
    <w:rsid w:val="00C378B9"/>
    <w:rsid w:val="00C73A56"/>
    <w:rsid w:val="00CD6F55"/>
    <w:rsid w:val="00D62425"/>
    <w:rsid w:val="00DE3104"/>
    <w:rsid w:val="00EB5571"/>
    <w:rsid w:val="00F072CD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9ACBA0-9F90-4CA7-BE5E-8D1EF12D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286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8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light">
    <w:name w:val="highlight"/>
    <w:basedOn w:val="DefaultParagraphFont"/>
    <w:rsid w:val="0016039E"/>
  </w:style>
  <w:style w:type="character" w:customStyle="1" w:styleId="Heading4Char">
    <w:name w:val="Heading 4 Char"/>
    <w:basedOn w:val="DefaultParagraphFont"/>
    <w:link w:val="Heading4"/>
    <w:uiPriority w:val="9"/>
    <w:rsid w:val="003B286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86F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3B286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Strong">
    <w:name w:val="Strong"/>
    <w:basedOn w:val="DefaultParagraphFont"/>
    <w:uiPriority w:val="22"/>
    <w:qFormat/>
    <w:rsid w:val="003B286F"/>
    <w:rPr>
      <w:b/>
      <w:bCs/>
    </w:rPr>
  </w:style>
  <w:style w:type="character" w:customStyle="1" w:styleId="publication-metatype">
    <w:name w:val="publication-meta__type"/>
    <w:basedOn w:val="DefaultParagraphFont"/>
    <w:rsid w:val="008B6F3B"/>
  </w:style>
  <w:style w:type="character" w:styleId="Emphasis">
    <w:name w:val="Emphasis"/>
    <w:basedOn w:val="DefaultParagraphFont"/>
    <w:uiPriority w:val="20"/>
    <w:qFormat/>
    <w:rsid w:val="008B6F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3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014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7356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nasirmustafaspan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searchgate.net/journal/1520-765X_European_Heart_Journal_Supplement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pubmed/2625995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nmustafa</cp:lastModifiedBy>
  <cp:revision>20</cp:revision>
  <dcterms:created xsi:type="dcterms:W3CDTF">2016-08-31T13:10:00Z</dcterms:created>
  <dcterms:modified xsi:type="dcterms:W3CDTF">2019-07-12T13:53:00Z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