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E6638" w14:textId="7A673E61" w:rsidR="00130B62" w:rsidRDefault="00130B62" w:rsidP="000E0C3E">
      <w:pPr>
        <w:spacing w:after="120" w:line="24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MPOLOKENG</w:t>
      </w:r>
      <w:r w:rsidR="0085682B">
        <w:rPr>
          <w:rFonts w:ascii="Times New Roman" w:hAnsi="Times New Roman" w:cs="Times New Roman"/>
          <w:sz w:val="24"/>
          <w:szCs w:val="24"/>
        </w:rPr>
        <w:t>,</w:t>
      </w:r>
      <w:r w:rsidR="0085682B" w:rsidRPr="00DA6835">
        <w:rPr>
          <w:rFonts w:ascii="Times New Roman" w:hAnsi="Times New Roman" w:cs="Times New Roman"/>
          <w:sz w:val="24"/>
          <w:szCs w:val="24"/>
        </w:rPr>
        <w:t xml:space="preserve"> K.S</w:t>
      </w:r>
      <w:r w:rsidR="004F1BB9" w:rsidRPr="00DA6835">
        <w:rPr>
          <w:rFonts w:ascii="Times New Roman" w:hAnsi="Times New Roman" w:cs="Times New Roman"/>
          <w:sz w:val="24"/>
          <w:szCs w:val="24"/>
        </w:rPr>
        <w:t>.</w:t>
      </w:r>
    </w:p>
    <w:p w14:paraId="2FA08BE2" w14:textId="666CED4A" w:rsidR="004F1BB9" w:rsidRPr="00DA6835" w:rsidRDefault="00200BAD" w:rsidP="000E0C3E">
      <w:pPr>
        <w:spacing w:after="120" w:line="24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Division Clinical Anatomy and Biological Anthropology, </w:t>
      </w:r>
      <w:r w:rsidR="004F1BB9" w:rsidRPr="00DA6835">
        <w:rPr>
          <w:rFonts w:ascii="Times New Roman" w:hAnsi="Times New Roman" w:cs="Times New Roman"/>
          <w:sz w:val="24"/>
          <w:szCs w:val="24"/>
        </w:rPr>
        <w:t>Department of Human Biology, Faculty of Health Sciences, University of CapeTown, Observato</w:t>
      </w:r>
      <w:r w:rsidR="00130B62">
        <w:rPr>
          <w:rFonts w:ascii="Times New Roman" w:hAnsi="Times New Roman" w:cs="Times New Roman"/>
          <w:sz w:val="24"/>
          <w:szCs w:val="24"/>
        </w:rPr>
        <w:t>ry, Western Cape, South Africa</w:t>
      </w:r>
      <w:r w:rsidR="004F1BB9" w:rsidRPr="00DA6835">
        <w:rPr>
          <w:rFonts w:ascii="Times New Roman" w:hAnsi="Times New Roman" w:cs="Times New Roman"/>
          <w:sz w:val="24"/>
          <w:szCs w:val="24"/>
        </w:rPr>
        <w:t>.</w:t>
      </w:r>
    </w:p>
    <w:p w14:paraId="2095D481" w14:textId="4307C9A0" w:rsidR="00130B62" w:rsidRDefault="004F1BB9" w:rsidP="000E0C3E">
      <w:pPr>
        <w:spacing w:after="120" w:line="240" w:lineRule="auto"/>
        <w:ind w:left="567" w:right="567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  <w:r w:rsidRPr="00DA6835">
        <w:rPr>
          <w:rFonts w:ascii="Times New Roman" w:eastAsia="Cambria" w:hAnsi="Times New Roman" w:cs="Times New Roman"/>
          <w:b/>
          <w:sz w:val="24"/>
          <w:szCs w:val="24"/>
        </w:rPr>
        <w:t xml:space="preserve">The prevalence of anatomical variations in the intraorbital part of the ophthalmic artery and its branches in </w:t>
      </w:r>
      <w:r w:rsidR="00B25A56">
        <w:rPr>
          <w:rFonts w:ascii="Times New Roman" w:eastAsia="Cambria" w:hAnsi="Times New Roman" w:cs="Times New Roman"/>
          <w:b/>
          <w:sz w:val="24"/>
          <w:szCs w:val="24"/>
        </w:rPr>
        <w:t>cadaver</w:t>
      </w:r>
      <w:r w:rsidR="00F11936">
        <w:rPr>
          <w:rFonts w:ascii="Times New Roman" w:eastAsia="Cambria" w:hAnsi="Times New Roman" w:cs="Times New Roman"/>
          <w:b/>
          <w:sz w:val="24"/>
          <w:szCs w:val="24"/>
        </w:rPr>
        <w:t>s</w:t>
      </w:r>
      <w:r w:rsidRPr="00DA6835">
        <w:rPr>
          <w:rFonts w:ascii="Times New Roman" w:eastAsia="Cambria" w:hAnsi="Times New Roman" w:cs="Times New Roman"/>
          <w:b/>
          <w:sz w:val="24"/>
          <w:szCs w:val="24"/>
        </w:rPr>
        <w:t>.</w:t>
      </w:r>
    </w:p>
    <w:p w14:paraId="3D232D33" w14:textId="171F8B41" w:rsidR="004F1BB9" w:rsidRPr="00DA6835" w:rsidRDefault="004F1BB9" w:rsidP="000E0C3E">
      <w:pPr>
        <w:spacing w:after="120" w:line="240" w:lineRule="auto"/>
        <w:ind w:left="567" w:right="567"/>
        <w:contextualSpacing/>
        <w:rPr>
          <w:rFonts w:ascii="Times New Roman" w:eastAsia="Cambria" w:hAnsi="Times New Roman" w:cs="Times New Roman"/>
          <w:color w:val="4F81BD" w:themeColor="accent1"/>
          <w:sz w:val="24"/>
          <w:szCs w:val="24"/>
        </w:rPr>
      </w:pPr>
      <w:r w:rsidRPr="00DA6835">
        <w:rPr>
          <w:rFonts w:ascii="Times New Roman" w:eastAsia="Cambria" w:hAnsi="Times New Roman" w:cs="Times New Roman"/>
          <w:color w:val="4F81BD" w:themeColor="accent1"/>
          <w:sz w:val="24"/>
          <w:szCs w:val="24"/>
        </w:rPr>
        <w:t>kentse.mpolokeng@uct.ac.za.</w:t>
      </w:r>
    </w:p>
    <w:p w14:paraId="05AD9C3B" w14:textId="77777777" w:rsidR="005F1887" w:rsidRDefault="005F1887" w:rsidP="000E0C3E">
      <w:pPr>
        <w:spacing w:after="120" w:line="240" w:lineRule="auto"/>
        <w:ind w:left="567" w:right="567"/>
        <w:rPr>
          <w:rFonts w:ascii="Times New Roman" w:hAnsi="Times New Roman" w:cs="Times New Roman"/>
          <w:sz w:val="24"/>
          <w:szCs w:val="24"/>
        </w:rPr>
      </w:pPr>
    </w:p>
    <w:p w14:paraId="0917D750" w14:textId="7BECD931" w:rsidR="00DA6835" w:rsidRPr="004F1BB9" w:rsidRDefault="00DA6835" w:rsidP="000E0C3E">
      <w:pPr>
        <w:spacing w:after="120" w:line="24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4F1BB9">
        <w:rPr>
          <w:rFonts w:ascii="Times New Roman" w:hAnsi="Times New Roman" w:cs="Times New Roman"/>
          <w:sz w:val="24"/>
          <w:szCs w:val="24"/>
        </w:rPr>
        <w:t xml:space="preserve">The study </w:t>
      </w:r>
      <w:r w:rsidR="00A302FC">
        <w:rPr>
          <w:rFonts w:ascii="Times New Roman" w:hAnsi="Times New Roman" w:cs="Times New Roman"/>
          <w:sz w:val="24"/>
          <w:szCs w:val="24"/>
        </w:rPr>
        <w:t xml:space="preserve">of </w:t>
      </w:r>
      <w:r w:rsidRPr="004F1BB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patterns of branching of the</w:t>
      </w:r>
      <w:r w:rsidRPr="004F1BB9">
        <w:rPr>
          <w:rFonts w:ascii="Times New Roman" w:hAnsi="Times New Roman" w:cs="Times New Roman"/>
          <w:sz w:val="24"/>
          <w:szCs w:val="24"/>
        </w:rPr>
        <w:t xml:space="preserve"> ophthalmic artery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1BB9">
        <w:rPr>
          <w:rFonts w:ascii="Times New Roman" w:hAnsi="Times New Roman" w:cs="Times New Roman"/>
          <w:sz w:val="24"/>
          <w:szCs w:val="24"/>
        </w:rPr>
        <w:t xml:space="preserve">was </w:t>
      </w:r>
      <w:r w:rsidR="00D57215">
        <w:rPr>
          <w:rFonts w:ascii="Times New Roman" w:hAnsi="Times New Roman" w:cs="Times New Roman"/>
          <w:sz w:val="24"/>
          <w:szCs w:val="24"/>
        </w:rPr>
        <w:t xml:space="preserve">done </w:t>
      </w:r>
      <w:r w:rsidR="00A302FC">
        <w:rPr>
          <w:rFonts w:ascii="Times New Roman" w:hAnsi="Times New Roman" w:cs="Times New Roman"/>
          <w:sz w:val="24"/>
          <w:szCs w:val="24"/>
        </w:rPr>
        <w:t xml:space="preserve">by </w:t>
      </w:r>
      <w:r w:rsidRPr="004F1BB9">
        <w:rPr>
          <w:rFonts w:ascii="Times New Roman" w:hAnsi="Times New Roman" w:cs="Times New Roman"/>
          <w:sz w:val="24"/>
          <w:szCs w:val="24"/>
        </w:rPr>
        <w:t>Meyer</w:t>
      </w:r>
      <w:r w:rsidR="00D57215">
        <w:rPr>
          <w:rFonts w:ascii="Times New Roman" w:hAnsi="Times New Roman" w:cs="Times New Roman"/>
          <w:sz w:val="24"/>
          <w:szCs w:val="24"/>
        </w:rPr>
        <w:t xml:space="preserve"> in </w:t>
      </w:r>
      <w:r w:rsidRPr="004F1BB9">
        <w:rPr>
          <w:rFonts w:ascii="Times New Roman" w:hAnsi="Times New Roman" w:cs="Times New Roman"/>
          <w:sz w:val="24"/>
          <w:szCs w:val="24"/>
        </w:rPr>
        <w:t xml:space="preserve">1887. </w:t>
      </w:r>
      <w:r>
        <w:rPr>
          <w:rFonts w:ascii="Times New Roman" w:hAnsi="Times New Roman" w:cs="Times New Roman"/>
          <w:sz w:val="24"/>
          <w:szCs w:val="24"/>
        </w:rPr>
        <w:t xml:space="preserve">Limited </w:t>
      </w:r>
      <w:r w:rsidRPr="004F1BB9">
        <w:rPr>
          <w:rFonts w:ascii="Times New Roman" w:hAnsi="Times New Roman" w:cs="Times New Roman"/>
          <w:sz w:val="24"/>
          <w:szCs w:val="24"/>
        </w:rPr>
        <w:t>subsequent investigations have been carried out in this field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F1BB9">
        <w:rPr>
          <w:rFonts w:ascii="Times New Roman" w:hAnsi="Times New Roman" w:cs="Times New Roman"/>
          <w:sz w:val="24"/>
          <w:szCs w:val="24"/>
        </w:rPr>
        <w:t>Th</w:t>
      </w:r>
      <w:r w:rsidR="00200BAD">
        <w:rPr>
          <w:rFonts w:ascii="Times New Roman" w:hAnsi="Times New Roman" w:cs="Times New Roman"/>
          <w:sz w:val="24"/>
          <w:szCs w:val="24"/>
        </w:rPr>
        <w:t xml:space="preserve">ese </w:t>
      </w:r>
      <w:r w:rsidRPr="004F1BB9">
        <w:rPr>
          <w:rFonts w:ascii="Times New Roman" w:hAnsi="Times New Roman" w:cs="Times New Roman"/>
          <w:sz w:val="24"/>
          <w:szCs w:val="24"/>
        </w:rPr>
        <w:t>stud</w:t>
      </w:r>
      <w:r w:rsidR="00200BAD">
        <w:rPr>
          <w:rFonts w:ascii="Times New Roman" w:hAnsi="Times New Roman" w:cs="Times New Roman"/>
          <w:sz w:val="24"/>
          <w:szCs w:val="24"/>
        </w:rPr>
        <w:t xml:space="preserve">ies are </w:t>
      </w:r>
      <w:r w:rsidRPr="004F1BB9">
        <w:rPr>
          <w:rFonts w:ascii="Times New Roman" w:hAnsi="Times New Roman" w:cs="Times New Roman"/>
          <w:sz w:val="24"/>
          <w:szCs w:val="24"/>
        </w:rPr>
        <w:t>of value for surgical interventions in treating patients with vascular diseases of the orbit</w:t>
      </w:r>
      <w:r w:rsidR="00A302FC">
        <w:rPr>
          <w:rFonts w:ascii="Times New Roman" w:hAnsi="Times New Roman" w:cs="Times New Roman"/>
          <w:sz w:val="24"/>
          <w:szCs w:val="24"/>
        </w:rPr>
        <w:t xml:space="preserve"> </w:t>
      </w:r>
      <w:r w:rsidRPr="004F1BB9">
        <w:rPr>
          <w:rFonts w:ascii="Times New Roman" w:hAnsi="Times New Roman" w:cs="Times New Roman"/>
          <w:sz w:val="24"/>
          <w:szCs w:val="24"/>
        </w:rPr>
        <w:t xml:space="preserve">and </w:t>
      </w:r>
      <w:r w:rsidR="00F11936">
        <w:rPr>
          <w:rFonts w:ascii="Times New Roman" w:hAnsi="Times New Roman" w:cs="Times New Roman"/>
          <w:sz w:val="24"/>
          <w:szCs w:val="24"/>
        </w:rPr>
        <w:t>for</w:t>
      </w:r>
      <w:r w:rsidRPr="004F1BB9">
        <w:rPr>
          <w:rFonts w:ascii="Times New Roman" w:hAnsi="Times New Roman" w:cs="Times New Roman"/>
          <w:sz w:val="24"/>
          <w:szCs w:val="24"/>
        </w:rPr>
        <w:t xml:space="preserve"> the ophthalmology trainee. The aim of the </w:t>
      </w:r>
      <w:r w:rsidR="00200BAD">
        <w:rPr>
          <w:rFonts w:ascii="Times New Roman" w:hAnsi="Times New Roman" w:cs="Times New Roman"/>
          <w:sz w:val="24"/>
          <w:szCs w:val="24"/>
        </w:rPr>
        <w:t xml:space="preserve">current </w:t>
      </w:r>
      <w:r w:rsidRPr="004F1BB9">
        <w:rPr>
          <w:rFonts w:ascii="Times New Roman" w:hAnsi="Times New Roman" w:cs="Times New Roman"/>
          <w:sz w:val="24"/>
          <w:szCs w:val="24"/>
        </w:rPr>
        <w:t>study was to determine the prevalence of anatomical variations in the intraorbital part of the ophthalmic artery and its branches in a cadaver sample.</w:t>
      </w:r>
    </w:p>
    <w:p w14:paraId="72ABDBF2" w14:textId="49E621F3" w:rsidR="00DA6835" w:rsidRPr="004F1BB9" w:rsidRDefault="007335B1" w:rsidP="000E0C3E">
      <w:pPr>
        <w:tabs>
          <w:tab w:val="left" w:pos="567"/>
        </w:tabs>
        <w:spacing w:after="120" w:line="24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Both eyes in a total of 59 </w:t>
      </w:r>
      <w:r w:rsidR="00DA6835">
        <w:rPr>
          <w:rFonts w:ascii="Times New Roman" w:hAnsi="Times New Roman" w:cs="Times New Roman"/>
          <w:sz w:val="24"/>
          <w:szCs w:val="24"/>
        </w:rPr>
        <w:t>cadavers</w:t>
      </w:r>
      <w:r w:rsidR="00DA6835" w:rsidRPr="004F1BB9">
        <w:rPr>
          <w:rFonts w:ascii="Times New Roman" w:hAnsi="Times New Roman" w:cs="Times New Roman"/>
          <w:sz w:val="24"/>
          <w:szCs w:val="24"/>
        </w:rPr>
        <w:t xml:space="preserve"> were</w:t>
      </w:r>
      <w:r w:rsidR="00DA68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dissected, </w:t>
      </w:r>
      <w:r w:rsidR="00DA6835">
        <w:rPr>
          <w:rFonts w:ascii="Times New Roman" w:hAnsi="Times New Roman" w:cs="Times New Roman"/>
          <w:sz w:val="24"/>
          <w:szCs w:val="24"/>
        </w:rPr>
        <w:t>46 eyes</w:t>
      </w:r>
      <w:r w:rsidR="00DA6835" w:rsidRPr="004F1BB9">
        <w:rPr>
          <w:rFonts w:ascii="Times New Roman" w:hAnsi="Times New Roman" w:cs="Times New Roman"/>
          <w:sz w:val="24"/>
          <w:szCs w:val="24"/>
        </w:rPr>
        <w:t xml:space="preserve"> from the University of the Free State </w:t>
      </w:r>
      <w:r w:rsidR="00A302FC">
        <w:rPr>
          <w:rFonts w:ascii="Times New Roman" w:hAnsi="Times New Roman" w:cs="Times New Roman"/>
          <w:sz w:val="24"/>
          <w:szCs w:val="24"/>
        </w:rPr>
        <w:t xml:space="preserve">(UFS) </w:t>
      </w:r>
      <w:r w:rsidR="00DA6835" w:rsidRPr="004F1BB9">
        <w:rPr>
          <w:rFonts w:ascii="Times New Roman" w:hAnsi="Times New Roman" w:cs="Times New Roman"/>
          <w:sz w:val="24"/>
          <w:szCs w:val="24"/>
        </w:rPr>
        <w:t>an</w:t>
      </w:r>
      <w:r w:rsidR="00DA6835">
        <w:rPr>
          <w:rFonts w:ascii="Times New Roman" w:hAnsi="Times New Roman" w:cs="Times New Roman"/>
          <w:sz w:val="24"/>
          <w:szCs w:val="24"/>
        </w:rPr>
        <w:t>d 72 eyes</w:t>
      </w:r>
      <w:r w:rsidR="00DA6835" w:rsidRPr="004F1BB9">
        <w:rPr>
          <w:rFonts w:ascii="Times New Roman" w:hAnsi="Times New Roman" w:cs="Times New Roman"/>
          <w:sz w:val="24"/>
          <w:szCs w:val="24"/>
        </w:rPr>
        <w:t xml:space="preserve"> from the University of Cape Town</w:t>
      </w:r>
      <w:r w:rsidR="00A302FC">
        <w:rPr>
          <w:rFonts w:ascii="Times New Roman" w:hAnsi="Times New Roman" w:cs="Times New Roman"/>
          <w:sz w:val="24"/>
          <w:szCs w:val="24"/>
        </w:rPr>
        <w:t xml:space="preserve"> (UCT)</w:t>
      </w:r>
      <w:r w:rsidR="00DA6835" w:rsidRPr="004F1BB9">
        <w:rPr>
          <w:rFonts w:ascii="Times New Roman" w:hAnsi="Times New Roman" w:cs="Times New Roman"/>
          <w:sz w:val="24"/>
          <w:szCs w:val="24"/>
        </w:rPr>
        <w:t>.</w:t>
      </w:r>
      <w:r w:rsidR="008514F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57215">
        <w:rPr>
          <w:rFonts w:ascii="Times New Roman" w:hAnsi="Times New Roman" w:cs="Times New Roman"/>
          <w:sz w:val="24"/>
          <w:szCs w:val="24"/>
        </w:rPr>
        <w:t xml:space="preserve">Sixteen </w:t>
      </w:r>
      <w:r w:rsidR="00DA6835" w:rsidRPr="004F1BB9">
        <w:rPr>
          <w:rFonts w:ascii="Times New Roman" w:hAnsi="Times New Roman" w:cs="Times New Roman"/>
          <w:sz w:val="24"/>
          <w:szCs w:val="24"/>
        </w:rPr>
        <w:t>types of variations were observed and documented.</w:t>
      </w:r>
    </w:p>
    <w:p w14:paraId="4621C27B" w14:textId="1191922F" w:rsidR="00DA6835" w:rsidRPr="00FD2FD0" w:rsidRDefault="00F11936" w:rsidP="000E0C3E">
      <w:pPr>
        <w:spacing w:after="120" w:line="24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A6835">
        <w:rPr>
          <w:rFonts w:ascii="Times New Roman" w:hAnsi="Times New Roman" w:cs="Times New Roman"/>
          <w:sz w:val="24"/>
          <w:szCs w:val="24"/>
        </w:rPr>
        <w:t>he ophthalmic artery crossed below the optic nerve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DA6835">
        <w:rPr>
          <w:rFonts w:ascii="Times New Roman" w:hAnsi="Times New Roman" w:cs="Times New Roman"/>
          <w:sz w:val="24"/>
          <w:szCs w:val="24"/>
        </w:rPr>
        <w:t xml:space="preserve"> 7.63% in the left eye for </w:t>
      </w:r>
      <w:r>
        <w:rPr>
          <w:rFonts w:ascii="Times New Roman" w:hAnsi="Times New Roman" w:cs="Times New Roman"/>
          <w:sz w:val="24"/>
          <w:szCs w:val="24"/>
        </w:rPr>
        <w:t xml:space="preserve">cadavers at </w:t>
      </w:r>
      <w:r w:rsidR="00DA6835">
        <w:rPr>
          <w:rFonts w:ascii="Times New Roman" w:hAnsi="Times New Roman" w:cs="Times New Roman"/>
          <w:sz w:val="24"/>
          <w:szCs w:val="24"/>
        </w:rPr>
        <w:t>both institutions. No ophthalmic artery crossed below the optic nerve in the right eye</w:t>
      </w:r>
      <w:r w:rsidR="00DA6835" w:rsidRPr="00CC43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DA6835">
        <w:rPr>
          <w:rFonts w:ascii="Times New Roman" w:hAnsi="Times New Roman" w:cs="Times New Roman"/>
          <w:sz w:val="24"/>
          <w:szCs w:val="24"/>
        </w:rPr>
        <w:t>the UCT group</w:t>
      </w:r>
      <w:r w:rsidR="00C91097">
        <w:rPr>
          <w:rFonts w:ascii="Times New Roman" w:hAnsi="Times New Roman" w:cs="Times New Roman"/>
          <w:sz w:val="24"/>
          <w:szCs w:val="24"/>
        </w:rPr>
        <w:t xml:space="preserve"> whereas 17.39% in the</w:t>
      </w:r>
      <w:r w:rsidR="00DA6835">
        <w:rPr>
          <w:rFonts w:ascii="Times New Roman" w:hAnsi="Times New Roman" w:cs="Times New Roman"/>
          <w:sz w:val="24"/>
          <w:szCs w:val="24"/>
        </w:rPr>
        <w:t xml:space="preserve"> </w:t>
      </w:r>
      <w:r w:rsidR="00A302FC">
        <w:rPr>
          <w:rFonts w:ascii="Times New Roman" w:hAnsi="Times New Roman" w:cs="Times New Roman"/>
          <w:sz w:val="24"/>
          <w:szCs w:val="24"/>
        </w:rPr>
        <w:t>U</w:t>
      </w:r>
      <w:r w:rsidR="00C91097">
        <w:rPr>
          <w:rFonts w:ascii="Times New Roman" w:hAnsi="Times New Roman" w:cs="Times New Roman"/>
          <w:sz w:val="24"/>
          <w:szCs w:val="24"/>
        </w:rPr>
        <w:t>FS group crossed below the optic nerve.</w:t>
      </w:r>
      <w:r w:rsidR="00585F80">
        <w:rPr>
          <w:rFonts w:ascii="Times New Roman" w:hAnsi="Times New Roman" w:cs="Times New Roman"/>
          <w:sz w:val="24"/>
          <w:szCs w:val="24"/>
        </w:rPr>
        <w:t xml:space="preserve"> Statistical analyses</w:t>
      </w:r>
      <w:r w:rsidR="00585F80" w:rsidRPr="004F1BB9">
        <w:rPr>
          <w:rFonts w:ascii="Times New Roman" w:hAnsi="Times New Roman" w:cs="Times New Roman"/>
          <w:sz w:val="24"/>
          <w:szCs w:val="24"/>
        </w:rPr>
        <w:t xml:space="preserve"> </w:t>
      </w:r>
      <w:r w:rsidR="00585F80">
        <w:rPr>
          <w:rFonts w:ascii="Times New Roman" w:hAnsi="Times New Roman" w:cs="Times New Roman"/>
          <w:sz w:val="24"/>
          <w:szCs w:val="24"/>
        </w:rPr>
        <w:t>determined the frequencies of th</w:t>
      </w:r>
      <w:r w:rsidR="00585F80" w:rsidRPr="004F1BB9">
        <w:rPr>
          <w:rFonts w:ascii="Times New Roman" w:hAnsi="Times New Roman" w:cs="Times New Roman"/>
          <w:sz w:val="24"/>
          <w:szCs w:val="24"/>
        </w:rPr>
        <w:t>e variations</w:t>
      </w:r>
      <w:r w:rsidR="00585F80">
        <w:rPr>
          <w:rFonts w:ascii="Times New Roman" w:hAnsi="Times New Roman" w:cs="Times New Roman"/>
          <w:sz w:val="24"/>
          <w:szCs w:val="24"/>
        </w:rPr>
        <w:t>. I</w:t>
      </w:r>
      <w:r w:rsidR="00585F80" w:rsidRPr="004F1BB9">
        <w:rPr>
          <w:rFonts w:ascii="Times New Roman" w:hAnsi="Times New Roman" w:cs="Times New Roman"/>
          <w:sz w:val="24"/>
          <w:szCs w:val="24"/>
        </w:rPr>
        <w:t xml:space="preserve">n certain </w:t>
      </w:r>
      <w:r w:rsidR="00585F80">
        <w:rPr>
          <w:rFonts w:ascii="Times New Roman" w:hAnsi="Times New Roman" w:cs="Times New Roman"/>
          <w:sz w:val="24"/>
          <w:szCs w:val="24"/>
        </w:rPr>
        <w:t>individual</w:t>
      </w:r>
      <w:r w:rsidR="00585F80" w:rsidRPr="004F1BB9">
        <w:rPr>
          <w:rFonts w:ascii="Times New Roman" w:hAnsi="Times New Roman" w:cs="Times New Roman"/>
          <w:sz w:val="24"/>
          <w:szCs w:val="24"/>
        </w:rPr>
        <w:t xml:space="preserve">s there was more than one </w:t>
      </w:r>
      <w:r w:rsidR="00585F80">
        <w:rPr>
          <w:rFonts w:ascii="Times New Roman" w:hAnsi="Times New Roman" w:cs="Times New Roman"/>
          <w:sz w:val="24"/>
          <w:szCs w:val="24"/>
        </w:rPr>
        <w:t xml:space="preserve">type </w:t>
      </w:r>
      <w:r w:rsidR="00585F80" w:rsidRPr="004F1BB9">
        <w:rPr>
          <w:rFonts w:ascii="Times New Roman" w:hAnsi="Times New Roman" w:cs="Times New Roman"/>
          <w:sz w:val="24"/>
          <w:szCs w:val="24"/>
        </w:rPr>
        <w:t xml:space="preserve">of variation </w:t>
      </w:r>
      <w:r w:rsidR="00585F80">
        <w:rPr>
          <w:rFonts w:ascii="Times New Roman" w:hAnsi="Times New Roman" w:cs="Times New Roman"/>
          <w:sz w:val="24"/>
          <w:szCs w:val="24"/>
        </w:rPr>
        <w:t>which is in agreement with the published literature</w:t>
      </w:r>
      <w:r w:rsidR="00585F80" w:rsidRPr="004F1BB9">
        <w:rPr>
          <w:rFonts w:ascii="Times New Roman" w:hAnsi="Times New Roman" w:cs="Times New Roman"/>
          <w:sz w:val="24"/>
          <w:szCs w:val="24"/>
        </w:rPr>
        <w:t xml:space="preserve">. </w:t>
      </w:r>
      <w:r w:rsidR="00DA6835">
        <w:rPr>
          <w:rFonts w:ascii="Times New Roman" w:hAnsi="Times New Roman" w:cs="Times New Roman"/>
          <w:sz w:val="24"/>
          <w:szCs w:val="24"/>
        </w:rPr>
        <w:t xml:space="preserve">Most variations </w:t>
      </w:r>
      <w:r w:rsidR="007335B1">
        <w:rPr>
          <w:rFonts w:ascii="Times New Roman" w:hAnsi="Times New Roman" w:cs="Times New Roman"/>
          <w:sz w:val="24"/>
          <w:szCs w:val="24"/>
        </w:rPr>
        <w:t xml:space="preserve">in branching pattern </w:t>
      </w:r>
      <w:r w:rsidR="00DA6835">
        <w:rPr>
          <w:rFonts w:ascii="Times New Roman" w:hAnsi="Times New Roman" w:cs="Times New Roman"/>
          <w:sz w:val="24"/>
          <w:szCs w:val="24"/>
        </w:rPr>
        <w:t>occu</w:t>
      </w:r>
      <w:r w:rsidR="007335B1">
        <w:rPr>
          <w:rFonts w:ascii="Times New Roman" w:hAnsi="Times New Roman" w:cs="Times New Roman"/>
          <w:sz w:val="24"/>
          <w:szCs w:val="24"/>
        </w:rPr>
        <w:t>r</w:t>
      </w:r>
      <w:r w:rsidR="00DA6835">
        <w:rPr>
          <w:rFonts w:ascii="Times New Roman" w:hAnsi="Times New Roman" w:cs="Times New Roman"/>
          <w:sz w:val="24"/>
          <w:szCs w:val="24"/>
        </w:rPr>
        <w:t xml:space="preserve">red bilaterally and in most cases, </w:t>
      </w:r>
      <w:r w:rsidR="007335B1">
        <w:rPr>
          <w:rFonts w:ascii="Times New Roman" w:hAnsi="Times New Roman" w:cs="Times New Roman"/>
          <w:sz w:val="24"/>
          <w:szCs w:val="24"/>
        </w:rPr>
        <w:t>the</w:t>
      </w:r>
      <w:r w:rsidR="00DA6835">
        <w:rPr>
          <w:rFonts w:ascii="Times New Roman" w:hAnsi="Times New Roman" w:cs="Times New Roman"/>
          <w:sz w:val="24"/>
          <w:szCs w:val="24"/>
        </w:rPr>
        <w:t xml:space="preserve"> variation in the left </w:t>
      </w:r>
      <w:r>
        <w:rPr>
          <w:rFonts w:ascii="Times New Roman" w:hAnsi="Times New Roman" w:cs="Times New Roman"/>
          <w:sz w:val="24"/>
          <w:szCs w:val="24"/>
        </w:rPr>
        <w:t xml:space="preserve">eye </w:t>
      </w:r>
      <w:r w:rsidR="00DA6835">
        <w:rPr>
          <w:rFonts w:ascii="Times New Roman" w:hAnsi="Times New Roman" w:cs="Times New Roman"/>
          <w:sz w:val="24"/>
          <w:szCs w:val="24"/>
        </w:rPr>
        <w:t>differed from th</w:t>
      </w:r>
      <w:r>
        <w:rPr>
          <w:rFonts w:ascii="Times New Roman" w:hAnsi="Times New Roman" w:cs="Times New Roman"/>
          <w:sz w:val="24"/>
          <w:szCs w:val="24"/>
        </w:rPr>
        <w:t>e</w:t>
      </w:r>
      <w:r w:rsidR="00DA6835">
        <w:rPr>
          <w:rFonts w:ascii="Times New Roman" w:hAnsi="Times New Roman" w:cs="Times New Roman"/>
          <w:sz w:val="24"/>
          <w:szCs w:val="24"/>
        </w:rPr>
        <w:t xml:space="preserve"> variation in the right eye. The male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DA6835">
        <w:rPr>
          <w:rFonts w:ascii="Times New Roman" w:hAnsi="Times New Roman" w:cs="Times New Roman"/>
          <w:sz w:val="24"/>
          <w:szCs w:val="24"/>
        </w:rPr>
        <w:t xml:space="preserve"> showed </w:t>
      </w:r>
      <w:r>
        <w:rPr>
          <w:rFonts w:ascii="Times New Roman" w:hAnsi="Times New Roman" w:cs="Times New Roman"/>
          <w:sz w:val="24"/>
          <w:szCs w:val="24"/>
        </w:rPr>
        <w:t xml:space="preserve">a higher </w:t>
      </w:r>
      <w:r w:rsidR="00DA6835">
        <w:rPr>
          <w:rFonts w:ascii="Times New Roman" w:hAnsi="Times New Roman" w:cs="Times New Roman"/>
          <w:sz w:val="24"/>
          <w:szCs w:val="24"/>
        </w:rPr>
        <w:t xml:space="preserve">frequency </w:t>
      </w:r>
      <w:r w:rsidR="007335B1">
        <w:rPr>
          <w:rFonts w:ascii="Times New Roman" w:hAnsi="Times New Roman" w:cs="Times New Roman"/>
          <w:sz w:val="24"/>
          <w:szCs w:val="24"/>
        </w:rPr>
        <w:t xml:space="preserve">of </w:t>
      </w:r>
      <w:r w:rsidR="00DA6835">
        <w:rPr>
          <w:rFonts w:ascii="Times New Roman" w:hAnsi="Times New Roman" w:cs="Times New Roman"/>
          <w:sz w:val="24"/>
          <w:szCs w:val="24"/>
        </w:rPr>
        <w:t xml:space="preserve">variations. </w:t>
      </w:r>
    </w:p>
    <w:p w14:paraId="57958192" w14:textId="77777777" w:rsidR="00DA6835" w:rsidRPr="00454D1B" w:rsidRDefault="00DA6835" w:rsidP="000E0C3E">
      <w:pPr>
        <w:spacing w:after="120" w:line="240" w:lineRule="auto"/>
        <w:ind w:left="567" w:right="567"/>
        <w:rPr>
          <w:rFonts w:ascii="Times New Roman" w:hAnsi="Times New Roman" w:cs="Times New Roman"/>
          <w:color w:val="9BBB59" w:themeColor="accent3"/>
          <w:sz w:val="24"/>
          <w:szCs w:val="24"/>
        </w:rPr>
      </w:pPr>
      <w:r w:rsidRPr="00454D1B">
        <w:rPr>
          <w:rFonts w:ascii="Times New Roman" w:hAnsi="Times New Roman" w:cs="Times New Roman"/>
          <w:sz w:val="24"/>
          <w:szCs w:val="24"/>
        </w:rPr>
        <w:t>These findings can contribute to clinical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D1B">
        <w:rPr>
          <w:rFonts w:ascii="Times New Roman" w:hAnsi="Times New Roman" w:cs="Times New Roman"/>
          <w:sz w:val="24"/>
          <w:szCs w:val="24"/>
        </w:rPr>
        <w:t>application in ophthalmology and radiology as well as anatomy students studying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D1B">
        <w:rPr>
          <w:rFonts w:ascii="Times New Roman" w:hAnsi="Times New Roman" w:cs="Times New Roman"/>
          <w:sz w:val="24"/>
          <w:szCs w:val="24"/>
        </w:rPr>
        <w:t>the blood supp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454D1B">
        <w:rPr>
          <w:rFonts w:ascii="Times New Roman" w:hAnsi="Times New Roman" w:cs="Times New Roman"/>
          <w:sz w:val="24"/>
          <w:szCs w:val="24"/>
        </w:rPr>
        <w:t>y to the</w:t>
      </w:r>
      <w:r>
        <w:rPr>
          <w:rFonts w:ascii="Times New Roman" w:hAnsi="Times New Roman" w:cs="Times New Roman"/>
          <w:sz w:val="24"/>
          <w:szCs w:val="24"/>
        </w:rPr>
        <w:t xml:space="preserve"> eye and surrounding st</w:t>
      </w:r>
      <w:r w:rsidRPr="00454D1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54D1B">
        <w:rPr>
          <w:rFonts w:ascii="Times New Roman" w:hAnsi="Times New Roman" w:cs="Times New Roman"/>
          <w:sz w:val="24"/>
          <w:szCs w:val="24"/>
        </w:rPr>
        <w:t>cture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54D1B">
        <w:rPr>
          <w:rFonts w:ascii="Times New Roman" w:hAnsi="Times New Roman" w:cs="Times New Roman"/>
          <w:sz w:val="24"/>
          <w:szCs w:val="24"/>
        </w:rPr>
        <w:t>.</w:t>
      </w:r>
    </w:p>
    <w:p w14:paraId="1D98A811" w14:textId="77777777" w:rsidR="00432796" w:rsidRPr="004F1BB9" w:rsidRDefault="00432796" w:rsidP="00DA6835">
      <w:pPr>
        <w:rPr>
          <w:rFonts w:ascii="Times New Roman" w:hAnsi="Times New Roman" w:cs="Times New Roman"/>
          <w:sz w:val="24"/>
          <w:szCs w:val="24"/>
        </w:rPr>
      </w:pPr>
    </w:p>
    <w:sectPr w:rsidR="00432796" w:rsidRPr="004F1BB9" w:rsidSect="000E0C3E">
      <w:pgSz w:w="11900" w:h="16840"/>
      <w:pgMar w:top="567" w:right="567" w:bottom="81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951"/>
    <w:rsid w:val="000E0C3E"/>
    <w:rsid w:val="00130B62"/>
    <w:rsid w:val="001B1CFA"/>
    <w:rsid w:val="00200BAD"/>
    <w:rsid w:val="00254951"/>
    <w:rsid w:val="003344F0"/>
    <w:rsid w:val="00432796"/>
    <w:rsid w:val="00454D1B"/>
    <w:rsid w:val="004666F2"/>
    <w:rsid w:val="004F1BB9"/>
    <w:rsid w:val="00585F80"/>
    <w:rsid w:val="005F1887"/>
    <w:rsid w:val="006E483F"/>
    <w:rsid w:val="007335B1"/>
    <w:rsid w:val="007F0D90"/>
    <w:rsid w:val="0082258C"/>
    <w:rsid w:val="008514F9"/>
    <w:rsid w:val="0085682B"/>
    <w:rsid w:val="009B3D08"/>
    <w:rsid w:val="00A302FC"/>
    <w:rsid w:val="00A36384"/>
    <w:rsid w:val="00B25A56"/>
    <w:rsid w:val="00C91097"/>
    <w:rsid w:val="00CF63F5"/>
    <w:rsid w:val="00CF6DDE"/>
    <w:rsid w:val="00D57215"/>
    <w:rsid w:val="00D937A9"/>
    <w:rsid w:val="00DA6835"/>
    <w:rsid w:val="00DC09AF"/>
    <w:rsid w:val="00DD0FDC"/>
    <w:rsid w:val="00E75F4A"/>
    <w:rsid w:val="00E85EE8"/>
    <w:rsid w:val="00F11936"/>
    <w:rsid w:val="00FD2FD0"/>
    <w:rsid w:val="00FF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0D41E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95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95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278</Words>
  <Characters>1589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Kentse Mpolokeng</dc:creator>
  <cp:lastModifiedBy>Kentse Mpolokeng</cp:lastModifiedBy>
  <cp:revision>17</cp:revision>
  <dcterms:created xsi:type="dcterms:W3CDTF">2017-01-05T09:12:00Z</dcterms:created>
  <dcterms:modified xsi:type="dcterms:W3CDTF">2017-01-26T11:41:00Z</dcterms:modified>
</cp:coreProperties>
</file>