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3E37">
      <w:pPr>
        <w:pStyle w:val="BodyText"/>
        <w:rPr>
          <w:rFonts w:ascii="Times New Roman"/>
          <w:sz w:val="20"/>
        </w:rPr>
      </w:pPr>
    </w:p>
    <w:p w:rsidR="00466073" w:rsidRPr="00466073" w:rsidRDefault="00466073" w:rsidP="00466073">
      <w:pPr>
        <w:pStyle w:val="Heading1"/>
        <w:spacing w:before="170"/>
        <w:rPr>
          <w:color w:val="337AB7"/>
        </w:rPr>
      </w:pPr>
      <w:r w:rsidRPr="00466073">
        <w:rPr>
          <w:color w:val="337AB7"/>
        </w:rPr>
        <w:t xml:space="preserve">The Comparison </w:t>
      </w:r>
      <w:r>
        <w:rPr>
          <w:color w:val="337AB7"/>
        </w:rPr>
        <w:t xml:space="preserve">of </w:t>
      </w:r>
      <w:r w:rsidRPr="00466073">
        <w:rPr>
          <w:color w:val="337AB7"/>
        </w:rPr>
        <w:t xml:space="preserve">Different Gel Composition and Staining Agents for </w:t>
      </w:r>
      <w:r w:rsidRPr="00466073">
        <w:rPr>
          <w:color w:val="337AB7"/>
          <w:lang w:val="pl-PL"/>
        </w:rPr>
        <w:t xml:space="preserve">gel electrophoresis </w:t>
      </w:r>
      <w:r w:rsidRPr="00466073">
        <w:rPr>
          <w:color w:val="337AB7"/>
        </w:rPr>
        <w:t xml:space="preserve">of Fluorescent Protein </w:t>
      </w:r>
    </w:p>
    <w:p w:rsidR="00AE3E37" w:rsidRDefault="00AE3E37">
      <w:pPr>
        <w:pStyle w:val="Heading1"/>
        <w:spacing w:before="170"/>
      </w:pPr>
    </w:p>
    <w:p w:rsidR="00AE3E37" w:rsidRDefault="00E82FBD" w:rsidP="00E82FBD">
      <w:pPr>
        <w:pStyle w:val="BodyText"/>
        <w:spacing w:before="73" w:line="198" w:lineRule="exact"/>
        <w:ind w:left="100" w:right="5967"/>
        <w:rPr>
          <w:rFonts w:ascii="Arial"/>
          <w:sz w:val="20"/>
        </w:rPr>
      </w:pPr>
      <w:proofErr w:type="spellStart"/>
      <w:r>
        <w:rPr>
          <w:rFonts w:ascii="Arial"/>
        </w:rPr>
        <w:t>Elif</w:t>
      </w:r>
      <w:proofErr w:type="spellEnd"/>
      <w:r>
        <w:rPr>
          <w:rFonts w:ascii="Arial"/>
        </w:rPr>
        <w:t xml:space="preserve"> </w:t>
      </w:r>
      <w:proofErr w:type="spellStart"/>
      <w:r>
        <w:rPr>
          <w:rFonts w:ascii="Arial"/>
        </w:rPr>
        <w:t>Tugce</w:t>
      </w:r>
      <w:proofErr w:type="spellEnd"/>
      <w:r>
        <w:rPr>
          <w:rFonts w:ascii="Arial"/>
        </w:rPr>
        <w:t xml:space="preserve"> AKSUN TUMERKAN</w:t>
      </w:r>
      <w:r w:rsidR="00A9710C">
        <w:rPr>
          <w:rFonts w:ascii="Arial"/>
        </w:rPr>
        <w:t>,</w:t>
      </w:r>
      <w:r w:rsidRPr="00E82FBD">
        <w:rPr>
          <w:rFonts w:ascii="Arial"/>
        </w:rPr>
        <w:t xml:space="preserve"> </w:t>
      </w:r>
      <w:r>
        <w:rPr>
          <w:rFonts w:ascii="Arial"/>
        </w:rPr>
        <w:t xml:space="preserve">PhD, University of Exeter, </w:t>
      </w:r>
      <w:r w:rsidR="00A9710C">
        <w:rPr>
          <w:rFonts w:ascii="Arial"/>
        </w:rPr>
        <w:t>U</w:t>
      </w:r>
      <w:r>
        <w:rPr>
          <w:rFonts w:ascii="Arial"/>
        </w:rPr>
        <w:t>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466073" w:rsidP="00466073">
      <w:pPr>
        <w:pStyle w:val="Heading3"/>
        <w:spacing w:before="74"/>
        <w:jc w:val="both"/>
      </w:pPr>
      <w:r w:rsidRPr="00466073">
        <w:rPr>
          <w:rFonts w:ascii="Tw Cen MT" w:eastAsia="Tw Cen MT" w:hAnsi="Tw Cen MT" w:cs="Tw Cen MT"/>
          <w:b w:val="0"/>
          <w:bCs w:val="0"/>
          <w:sz w:val="18"/>
          <w:szCs w:val="18"/>
          <w:lang w:val="en-GB"/>
        </w:rPr>
        <w:t xml:space="preserve">Fluorescent proteins are unique in that they are self-sufficient in forming chromophores with a visible wavelength from 3 amino acids sequence within their own polypeptide structure. The development of fluorescent proteins (FPs) and their applications is an outstanding example of basic science leading to practical biotechnological and medical applications. Fluorescent proteins have several applications in science and are used as important indicators in molecular biology and cell-based research, and as effective biosensors. While these proteins occur in numerous marine species, FPs from </w:t>
      </w:r>
      <w:proofErr w:type="spellStart"/>
      <w:r w:rsidRPr="00466073">
        <w:rPr>
          <w:rFonts w:ascii="Tw Cen MT" w:eastAsia="Tw Cen MT" w:hAnsi="Tw Cen MT" w:cs="Tw Cen MT"/>
          <w:b w:val="0"/>
          <w:bCs w:val="0"/>
          <w:sz w:val="18"/>
          <w:szCs w:val="18"/>
          <w:lang w:val="en-GB"/>
        </w:rPr>
        <w:t>anthozoans</w:t>
      </w:r>
      <w:proofErr w:type="spellEnd"/>
      <w:r w:rsidRPr="00466073">
        <w:rPr>
          <w:rFonts w:ascii="Tw Cen MT" w:eastAsia="Tw Cen MT" w:hAnsi="Tw Cen MT" w:cs="Tw Cen MT"/>
          <w:b w:val="0"/>
          <w:bCs w:val="0"/>
          <w:sz w:val="18"/>
          <w:szCs w:val="18"/>
          <w:lang w:val="en-GB"/>
        </w:rPr>
        <w:t xml:space="preserve"> are the best-understood models for experimental cell biology. For clarifying functional properties of fluorescent protein, sodium dodecyl sulphate polyacrylamide gel electrophoresis (SDS-PAGE) analysis is used essentially. In protein- based research, many technique are used for determining functionality of protein, however, SDS-PAGE analysis can only provide a molecular level assessment of the proteolytic fragments. In this study, variations of fluorescent protein band mobility compared based on resolving gel composition and for determination of visualizing of protein band, different staining agents evaluated. For this aim, fluorescent proteins were obtained from the symbiotic sea anemone (</w:t>
      </w:r>
      <w:proofErr w:type="spellStart"/>
      <w:r w:rsidRPr="00466073">
        <w:rPr>
          <w:rFonts w:ascii="Tw Cen MT" w:eastAsia="Tw Cen MT" w:hAnsi="Tw Cen MT" w:cs="Tw Cen MT"/>
          <w:b w:val="0"/>
          <w:bCs w:val="0"/>
          <w:i/>
          <w:iCs/>
          <w:sz w:val="18"/>
          <w:szCs w:val="18"/>
          <w:lang w:val="en-GB"/>
        </w:rPr>
        <w:t>Anemonia</w:t>
      </w:r>
      <w:proofErr w:type="spellEnd"/>
      <w:r w:rsidRPr="00466073">
        <w:rPr>
          <w:rFonts w:ascii="Tw Cen MT" w:eastAsia="Tw Cen MT" w:hAnsi="Tw Cen MT" w:cs="Tw Cen MT"/>
          <w:b w:val="0"/>
          <w:bCs w:val="0"/>
          <w:i/>
          <w:iCs/>
          <w:sz w:val="18"/>
          <w:szCs w:val="18"/>
          <w:lang w:val="en-GB"/>
        </w:rPr>
        <w:t xml:space="preserve"> </w:t>
      </w:r>
      <w:proofErr w:type="spellStart"/>
      <w:r w:rsidRPr="00466073">
        <w:rPr>
          <w:rFonts w:ascii="Tw Cen MT" w:eastAsia="Tw Cen MT" w:hAnsi="Tw Cen MT" w:cs="Tw Cen MT"/>
          <w:b w:val="0"/>
          <w:bCs w:val="0"/>
          <w:i/>
          <w:iCs/>
          <w:sz w:val="18"/>
          <w:szCs w:val="18"/>
          <w:lang w:val="en-GB"/>
        </w:rPr>
        <w:t>viridis</w:t>
      </w:r>
      <w:proofErr w:type="spellEnd"/>
      <w:r w:rsidRPr="00466073">
        <w:rPr>
          <w:rFonts w:ascii="Tw Cen MT" w:eastAsia="Tw Cen MT" w:hAnsi="Tw Cen MT" w:cs="Tw Cen MT"/>
          <w:b w:val="0"/>
          <w:bCs w:val="0"/>
          <w:i/>
          <w:iCs/>
          <w:sz w:val="18"/>
          <w:szCs w:val="18"/>
          <w:lang w:val="en-GB"/>
        </w:rPr>
        <w:t xml:space="preserve">) </w:t>
      </w:r>
      <w:r w:rsidRPr="00466073">
        <w:rPr>
          <w:rFonts w:ascii="Tw Cen MT" w:eastAsia="Tw Cen MT" w:hAnsi="Tw Cen MT" w:cs="Tw Cen MT"/>
          <w:b w:val="0"/>
          <w:bCs w:val="0"/>
          <w:sz w:val="18"/>
          <w:szCs w:val="18"/>
          <w:lang w:val="en-GB"/>
        </w:rPr>
        <w:t xml:space="preserve">tentacles and   protein bands determined which depend on molecular weight by SDS-PAGE analysis. For SDS-PAGE analysis, protein bands run 3 different composition of resolving gels (7.5, 10 and 12%). After gel electrophoresis process the protein bands are visualized with </w:t>
      </w:r>
      <w:proofErr w:type="spellStart"/>
      <w:r w:rsidRPr="00466073">
        <w:rPr>
          <w:rFonts w:ascii="Tw Cen MT" w:eastAsia="Tw Cen MT" w:hAnsi="Tw Cen MT" w:cs="Tw Cen MT"/>
          <w:b w:val="0"/>
          <w:bCs w:val="0"/>
          <w:sz w:val="18"/>
          <w:szCs w:val="18"/>
          <w:lang w:val="en-GB"/>
        </w:rPr>
        <w:t>Coomassie</w:t>
      </w:r>
      <w:proofErr w:type="spellEnd"/>
      <w:r w:rsidRPr="00466073">
        <w:rPr>
          <w:rFonts w:ascii="Tw Cen MT" w:eastAsia="Tw Cen MT" w:hAnsi="Tw Cen MT" w:cs="Tw Cen MT"/>
          <w:b w:val="0"/>
          <w:bCs w:val="0"/>
          <w:sz w:val="18"/>
          <w:szCs w:val="18"/>
          <w:lang w:val="en-GB"/>
        </w:rPr>
        <w:t xml:space="preserve"> brilliant blue staining and silver nitrate. Then the gels are then </w:t>
      </w:r>
      <w:proofErr w:type="spellStart"/>
      <w:r w:rsidRPr="00466073">
        <w:rPr>
          <w:rFonts w:ascii="Tw Cen MT" w:eastAsia="Tw Cen MT" w:hAnsi="Tw Cen MT" w:cs="Tw Cen MT"/>
          <w:b w:val="0"/>
          <w:bCs w:val="0"/>
          <w:sz w:val="18"/>
          <w:szCs w:val="18"/>
          <w:lang w:val="en-GB"/>
        </w:rPr>
        <w:t>destained</w:t>
      </w:r>
      <w:proofErr w:type="spellEnd"/>
      <w:r w:rsidRPr="00466073">
        <w:rPr>
          <w:rFonts w:ascii="Tw Cen MT" w:eastAsia="Tw Cen MT" w:hAnsi="Tw Cen MT" w:cs="Tw Cen MT"/>
          <w:b w:val="0"/>
          <w:bCs w:val="0"/>
          <w:sz w:val="18"/>
          <w:szCs w:val="18"/>
          <w:lang w:val="en-GB"/>
        </w:rPr>
        <w:t xml:space="preserve"> in </w:t>
      </w:r>
      <w:proofErr w:type="spellStart"/>
      <w:r w:rsidRPr="00466073">
        <w:rPr>
          <w:rFonts w:ascii="Tw Cen MT" w:eastAsia="Tw Cen MT" w:hAnsi="Tw Cen MT" w:cs="Tw Cen MT"/>
          <w:b w:val="0"/>
          <w:bCs w:val="0"/>
          <w:sz w:val="18"/>
          <w:szCs w:val="18"/>
          <w:lang w:val="en-GB"/>
        </w:rPr>
        <w:t>KCl</w:t>
      </w:r>
      <w:proofErr w:type="spellEnd"/>
      <w:r w:rsidRPr="00466073">
        <w:rPr>
          <w:rFonts w:ascii="Tw Cen MT" w:eastAsia="Tw Cen MT" w:hAnsi="Tw Cen MT" w:cs="Tw Cen MT"/>
          <w:b w:val="0"/>
          <w:bCs w:val="0"/>
          <w:sz w:val="18"/>
          <w:szCs w:val="18"/>
          <w:lang w:val="en-GB"/>
        </w:rPr>
        <w:t xml:space="preserve">. </w:t>
      </w:r>
      <w:r w:rsidRPr="00466073">
        <w:rPr>
          <w:rFonts w:ascii="Tw Cen MT" w:eastAsia="Tw Cen MT" w:hAnsi="Tw Cen MT" w:cs="Tw Cen MT"/>
          <w:b w:val="0"/>
          <w:bCs w:val="0"/>
          <w:sz w:val="18"/>
          <w:szCs w:val="18"/>
        </w:rPr>
        <w:t xml:space="preserve">The results showed that </w:t>
      </w:r>
      <w:r w:rsidRPr="00466073">
        <w:rPr>
          <w:rFonts w:ascii="Tw Cen MT" w:eastAsia="Tw Cen MT" w:hAnsi="Tw Cen MT" w:cs="Tw Cen MT"/>
          <w:b w:val="0"/>
          <w:bCs w:val="0"/>
          <w:sz w:val="18"/>
          <w:szCs w:val="18"/>
          <w:lang w:val="en-GB"/>
        </w:rPr>
        <w:t xml:space="preserve">variations in protein migration with slightly different depend on resolving gel structure. The best mobility property was found in 12% resolving gel. For visualising, the </w:t>
      </w:r>
      <w:proofErr w:type="spellStart"/>
      <w:r w:rsidRPr="00466073">
        <w:rPr>
          <w:rFonts w:ascii="Tw Cen MT" w:eastAsia="Tw Cen MT" w:hAnsi="Tw Cen MT" w:cs="Tw Cen MT"/>
          <w:b w:val="0"/>
          <w:bCs w:val="0"/>
          <w:sz w:val="18"/>
          <w:szCs w:val="18"/>
          <w:lang w:val="en-GB"/>
        </w:rPr>
        <w:t>coomassie</w:t>
      </w:r>
      <w:proofErr w:type="spellEnd"/>
      <w:r w:rsidRPr="00466073">
        <w:rPr>
          <w:rFonts w:ascii="Tw Cen MT" w:eastAsia="Tw Cen MT" w:hAnsi="Tw Cen MT" w:cs="Tw Cen MT"/>
          <w:b w:val="0"/>
          <w:bCs w:val="0"/>
          <w:sz w:val="18"/>
          <w:szCs w:val="18"/>
          <w:lang w:val="en-GB"/>
        </w:rPr>
        <w:t xml:space="preserve"> brilliant blue was found the best staining agent. Depend on </w:t>
      </w:r>
      <w:r w:rsidRPr="00466073">
        <w:rPr>
          <w:rFonts w:ascii="Tw Cen MT" w:eastAsia="Tw Cen MT" w:hAnsi="Tw Cen MT" w:cs="Tw Cen MT"/>
          <w:b w:val="0"/>
          <w:bCs w:val="0"/>
          <w:sz w:val="18"/>
          <w:szCs w:val="18"/>
        </w:rPr>
        <w:t xml:space="preserve">obtained result, it can be pointed out that gel structure and staining procedure have influence </w:t>
      </w:r>
      <w:bookmarkStart w:id="0" w:name="_GoBack"/>
      <w:bookmarkEnd w:id="0"/>
      <w:r w:rsidRPr="00466073">
        <w:rPr>
          <w:rFonts w:ascii="Tw Cen MT" w:eastAsia="Tw Cen MT" w:hAnsi="Tw Cen MT" w:cs="Tw Cen MT"/>
          <w:b w:val="0"/>
          <w:bCs w:val="0"/>
          <w:sz w:val="18"/>
          <w:szCs w:val="18"/>
        </w:rPr>
        <w:t>on fluorescent protein gel band quality and visibility</w:t>
      </w:r>
      <w:r w:rsidR="00A9710C">
        <w:rPr>
          <w:b w:val="0"/>
        </w:rPr>
        <w:br w:type="column"/>
      </w:r>
      <w:r w:rsidR="00A9710C">
        <w:rPr>
          <w:color w:val="BF5A14"/>
        </w:rPr>
        <w:t>Image</w:t>
      </w:r>
    </w:p>
    <w:p w:rsidR="00AE3E37" w:rsidRDefault="002E3D03">
      <w:pPr>
        <w:pStyle w:val="BodyText"/>
        <w:spacing w:before="2"/>
        <w:rPr>
          <w:rFonts w:ascii="Arial"/>
          <w:b/>
          <w:sz w:val="16"/>
        </w:rPr>
      </w:pPr>
      <w:r w:rsidRPr="002E3D03">
        <w:rPr>
          <w:noProof/>
          <w:lang w:val="en-GB" w:eastAsia="en-GB"/>
        </w:rPr>
        <w:drawing>
          <wp:inline distT="0" distB="0" distL="0" distR="0">
            <wp:extent cx="3419475" cy="1767840"/>
            <wp:effectExtent l="0" t="0" r="9525" b="3810"/>
            <wp:docPr id="3" name="Picture 3" descr="G:\congress\new orleans july\she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ongress\new orleans july\shem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9894" cy="1783566"/>
                    </a:xfrm>
                    <a:prstGeom prst="rect">
                      <a:avLst/>
                    </a:prstGeom>
                    <a:noFill/>
                    <a:ln>
                      <a:noFill/>
                    </a:ln>
                  </pic:spPr>
                </pic:pic>
              </a:graphicData>
            </a:graphic>
          </wp:inline>
        </w:drawing>
      </w:r>
      <w:r w:rsidRPr="002E3D03">
        <w:rPr>
          <w:noProof/>
          <w:lang w:val="en-GB" w:eastAsia="en-GB"/>
        </w:rPr>
        <w:t xml:space="preserve"> </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466073" w:rsidRPr="00466073" w:rsidRDefault="00466073" w:rsidP="003C01AD">
      <w:pPr>
        <w:pStyle w:val="ListParagraph"/>
        <w:numPr>
          <w:ilvl w:val="0"/>
          <w:numId w:val="2"/>
        </w:numPr>
        <w:tabs>
          <w:tab w:val="left" w:pos="384"/>
        </w:tabs>
        <w:ind w:right="117" w:hanging="283"/>
        <w:rPr>
          <w:sz w:val="18"/>
        </w:rPr>
      </w:pPr>
      <w:proofErr w:type="spellStart"/>
      <w:r w:rsidRPr="00466073">
        <w:rPr>
          <w:sz w:val="18"/>
          <w:lang w:val="en-GB"/>
        </w:rPr>
        <w:t>Yazgan</w:t>
      </w:r>
      <w:proofErr w:type="spellEnd"/>
      <w:r w:rsidRPr="00466073">
        <w:rPr>
          <w:sz w:val="18"/>
          <w:lang w:val="en-GB"/>
        </w:rPr>
        <w:t xml:space="preserve">, H., </w:t>
      </w:r>
      <w:proofErr w:type="spellStart"/>
      <w:r w:rsidRPr="00466073">
        <w:rPr>
          <w:sz w:val="18"/>
          <w:lang w:val="en-GB"/>
        </w:rPr>
        <w:t>Ozogul</w:t>
      </w:r>
      <w:proofErr w:type="spellEnd"/>
      <w:r w:rsidRPr="00466073">
        <w:rPr>
          <w:sz w:val="18"/>
          <w:lang w:val="en-GB"/>
        </w:rPr>
        <w:t xml:space="preserve">, Y., </w:t>
      </w:r>
      <w:proofErr w:type="spellStart"/>
      <w:r w:rsidRPr="00466073">
        <w:rPr>
          <w:sz w:val="18"/>
          <w:lang w:val="en-GB"/>
        </w:rPr>
        <w:t>Durmu</w:t>
      </w:r>
      <w:r w:rsidRPr="00466073">
        <w:rPr>
          <w:rFonts w:hint="eastAsia"/>
          <w:sz w:val="18"/>
          <w:lang w:val="en-GB"/>
        </w:rPr>
        <w:t>ş</w:t>
      </w:r>
      <w:proofErr w:type="spellEnd"/>
      <w:r w:rsidRPr="00466073">
        <w:rPr>
          <w:sz w:val="18"/>
          <w:lang w:val="en-GB"/>
        </w:rPr>
        <w:t xml:space="preserve">, M., </w:t>
      </w:r>
      <w:proofErr w:type="spellStart"/>
      <w:r w:rsidRPr="00466073">
        <w:rPr>
          <w:sz w:val="18"/>
          <w:lang w:val="en-GB"/>
        </w:rPr>
        <w:t>Balikçi</w:t>
      </w:r>
      <w:proofErr w:type="spellEnd"/>
      <w:r w:rsidRPr="00466073">
        <w:rPr>
          <w:sz w:val="18"/>
          <w:lang w:val="en-GB"/>
        </w:rPr>
        <w:t xml:space="preserve">, E., </w:t>
      </w:r>
      <w:proofErr w:type="spellStart"/>
      <w:r w:rsidRPr="00466073">
        <w:rPr>
          <w:sz w:val="18"/>
          <w:lang w:val="en-GB"/>
        </w:rPr>
        <w:t>Gökdo</w:t>
      </w:r>
      <w:r w:rsidRPr="00466073">
        <w:rPr>
          <w:rFonts w:hint="eastAsia"/>
          <w:sz w:val="18"/>
          <w:lang w:val="en-GB"/>
        </w:rPr>
        <w:t>ğ</w:t>
      </w:r>
      <w:r w:rsidRPr="00466073">
        <w:rPr>
          <w:sz w:val="18"/>
          <w:lang w:val="en-GB"/>
        </w:rPr>
        <w:t>an</w:t>
      </w:r>
      <w:proofErr w:type="spellEnd"/>
      <w:r w:rsidRPr="00466073">
        <w:rPr>
          <w:sz w:val="18"/>
          <w:lang w:val="en-GB"/>
        </w:rPr>
        <w:t xml:space="preserve">, S., </w:t>
      </w:r>
      <w:proofErr w:type="spellStart"/>
      <w:r w:rsidRPr="00466073">
        <w:rPr>
          <w:sz w:val="18"/>
          <w:lang w:val="en-GB"/>
        </w:rPr>
        <w:t>Uçar</w:t>
      </w:r>
      <w:proofErr w:type="spellEnd"/>
      <w:r w:rsidRPr="00466073">
        <w:rPr>
          <w:sz w:val="18"/>
          <w:lang w:val="en-GB"/>
        </w:rPr>
        <w:t xml:space="preserve">, Y. &amp; </w:t>
      </w:r>
      <w:proofErr w:type="spellStart"/>
      <w:r w:rsidRPr="00466073">
        <w:rPr>
          <w:sz w:val="18"/>
          <w:lang w:val="en-GB"/>
        </w:rPr>
        <w:t>Aksun</w:t>
      </w:r>
      <w:proofErr w:type="spellEnd"/>
      <w:r w:rsidRPr="00466073">
        <w:rPr>
          <w:sz w:val="18"/>
          <w:lang w:val="en-GB"/>
        </w:rPr>
        <w:t xml:space="preserve">, E. T. (2017). Effects of oil-in-water </w:t>
      </w:r>
      <w:proofErr w:type="spellStart"/>
      <w:r w:rsidRPr="00466073">
        <w:rPr>
          <w:sz w:val="18"/>
          <w:lang w:val="en-GB"/>
        </w:rPr>
        <w:t>nanoemulsion</w:t>
      </w:r>
      <w:proofErr w:type="spellEnd"/>
      <w:r w:rsidRPr="00466073">
        <w:rPr>
          <w:sz w:val="18"/>
          <w:lang w:val="en-GB"/>
        </w:rPr>
        <w:t xml:space="preserve"> based on sunflower oil on the quality of farmed sea bass and gilthead sea bream stored at chilled temperature (2±2° C). </w:t>
      </w:r>
      <w:r w:rsidRPr="00466073">
        <w:rPr>
          <w:i/>
          <w:iCs/>
          <w:sz w:val="18"/>
          <w:lang w:val="en-GB"/>
        </w:rPr>
        <w:t>Journal</w:t>
      </w:r>
      <w:r w:rsidRPr="00466073">
        <w:rPr>
          <w:sz w:val="18"/>
          <w:lang w:val="en-GB"/>
        </w:rPr>
        <w:t xml:space="preserve"> </w:t>
      </w:r>
      <w:r w:rsidRPr="00466073">
        <w:rPr>
          <w:i/>
          <w:iCs/>
          <w:sz w:val="18"/>
          <w:lang w:val="en-GB"/>
        </w:rPr>
        <w:t>of Aquatic Food Product Technology</w:t>
      </w:r>
      <w:r w:rsidRPr="00466073">
        <w:rPr>
          <w:sz w:val="18"/>
          <w:lang w:val="en-GB"/>
        </w:rPr>
        <w:t xml:space="preserve">, </w:t>
      </w:r>
      <w:r w:rsidRPr="00466073">
        <w:rPr>
          <w:i/>
          <w:iCs/>
          <w:sz w:val="18"/>
          <w:lang w:val="en-GB"/>
        </w:rPr>
        <w:t>26</w:t>
      </w:r>
      <w:r w:rsidRPr="00466073">
        <w:rPr>
          <w:sz w:val="18"/>
          <w:lang w:val="en-GB"/>
        </w:rPr>
        <w:t>(8), 979-992.</w:t>
      </w:r>
    </w:p>
    <w:p w:rsidR="00AE3E37" w:rsidRPr="00466073" w:rsidRDefault="00E82FBD" w:rsidP="003C01AD">
      <w:pPr>
        <w:pStyle w:val="ListParagraph"/>
        <w:numPr>
          <w:ilvl w:val="0"/>
          <w:numId w:val="2"/>
        </w:numPr>
        <w:tabs>
          <w:tab w:val="left" w:pos="384"/>
        </w:tabs>
        <w:ind w:right="117" w:hanging="283"/>
        <w:rPr>
          <w:sz w:val="18"/>
        </w:rPr>
      </w:pPr>
      <w:proofErr w:type="spellStart"/>
      <w:r w:rsidRPr="00E82FBD">
        <w:rPr>
          <w:sz w:val="18"/>
        </w:rPr>
        <w:t>Ozogul</w:t>
      </w:r>
      <w:proofErr w:type="spellEnd"/>
      <w:r>
        <w:rPr>
          <w:sz w:val="18"/>
        </w:rPr>
        <w:t>,</w:t>
      </w:r>
      <w:r w:rsidRPr="00E82FBD">
        <w:rPr>
          <w:sz w:val="18"/>
        </w:rPr>
        <w:t xml:space="preserve"> F</w:t>
      </w:r>
      <w:r>
        <w:rPr>
          <w:sz w:val="18"/>
        </w:rPr>
        <w:t xml:space="preserve">., </w:t>
      </w:r>
      <w:proofErr w:type="spellStart"/>
      <w:r w:rsidRPr="00E82FBD">
        <w:rPr>
          <w:sz w:val="18"/>
          <w:lang w:val="en-GB"/>
        </w:rPr>
        <w:t>Aksun</w:t>
      </w:r>
      <w:proofErr w:type="spellEnd"/>
      <w:r w:rsidRPr="00E82FBD">
        <w:rPr>
          <w:sz w:val="18"/>
          <w:lang w:val="en-GB"/>
        </w:rPr>
        <w:t>, E. T.</w:t>
      </w:r>
      <w:r>
        <w:rPr>
          <w:sz w:val="18"/>
          <w:lang w:val="en-GB"/>
        </w:rPr>
        <w:t>,</w:t>
      </w:r>
      <w:r w:rsidRPr="00E82FBD">
        <w:rPr>
          <w:sz w:val="18"/>
        </w:rPr>
        <w:t xml:space="preserve"> </w:t>
      </w:r>
      <w:proofErr w:type="spellStart"/>
      <w:r w:rsidRPr="00E82FBD">
        <w:rPr>
          <w:sz w:val="18"/>
        </w:rPr>
        <w:t>Oztekin</w:t>
      </w:r>
      <w:proofErr w:type="spellEnd"/>
      <w:r>
        <w:rPr>
          <w:sz w:val="18"/>
        </w:rPr>
        <w:t>,</w:t>
      </w:r>
      <w:r w:rsidRPr="00E82FBD">
        <w:rPr>
          <w:sz w:val="18"/>
        </w:rPr>
        <w:t xml:space="preserve"> R</w:t>
      </w:r>
      <w:r>
        <w:rPr>
          <w:sz w:val="18"/>
        </w:rPr>
        <w:t>.,</w:t>
      </w:r>
      <w:r w:rsidRPr="00E82FBD">
        <w:rPr>
          <w:sz w:val="18"/>
        </w:rPr>
        <w:t xml:space="preserve"> </w:t>
      </w:r>
      <w:r w:rsidRPr="00E82FBD">
        <w:rPr>
          <w:sz w:val="18"/>
        </w:rPr>
        <w:t>Lorenzo</w:t>
      </w:r>
      <w:r w:rsidRPr="00E82FBD">
        <w:rPr>
          <w:sz w:val="18"/>
        </w:rPr>
        <w:t xml:space="preserve"> J</w:t>
      </w:r>
      <w:r>
        <w:rPr>
          <w:sz w:val="18"/>
        </w:rPr>
        <w:t>.</w:t>
      </w:r>
      <w:r w:rsidRPr="00E82FBD">
        <w:rPr>
          <w:sz w:val="18"/>
        </w:rPr>
        <w:t xml:space="preserve">M.  </w:t>
      </w:r>
      <w:r w:rsidR="00A9710C" w:rsidRPr="00466073">
        <w:rPr>
          <w:sz w:val="18"/>
        </w:rPr>
        <w:t>(20</w:t>
      </w:r>
      <w:r>
        <w:rPr>
          <w:sz w:val="18"/>
        </w:rPr>
        <w:t>17</w:t>
      </w:r>
      <w:r w:rsidR="00A9710C" w:rsidRPr="00466073">
        <w:rPr>
          <w:sz w:val="18"/>
        </w:rPr>
        <w:t xml:space="preserve">) </w:t>
      </w:r>
      <w:r w:rsidRPr="00E82FBD">
        <w:rPr>
          <w:sz w:val="18"/>
        </w:rPr>
        <w:t>Effect of lavender and lemon balm extracts on fatty acid profile, chemical quality parameters and sensory quality of vacuum packaged anchovy (</w:t>
      </w:r>
      <w:proofErr w:type="spellStart"/>
      <w:r w:rsidRPr="00E82FBD">
        <w:rPr>
          <w:sz w:val="18"/>
        </w:rPr>
        <w:t>Engraulis</w:t>
      </w:r>
      <w:proofErr w:type="spellEnd"/>
      <w:r w:rsidRPr="00E82FBD">
        <w:rPr>
          <w:sz w:val="18"/>
        </w:rPr>
        <w:t xml:space="preserve"> </w:t>
      </w:r>
      <w:proofErr w:type="spellStart"/>
      <w:r w:rsidRPr="00E82FBD">
        <w:rPr>
          <w:sz w:val="18"/>
        </w:rPr>
        <w:t>encrasicolus</w:t>
      </w:r>
      <w:proofErr w:type="spellEnd"/>
      <w:r w:rsidRPr="00E82FBD">
        <w:rPr>
          <w:sz w:val="18"/>
        </w:rPr>
        <w:t>) fillets under refrigerated condition</w:t>
      </w:r>
      <w:r>
        <w:rPr>
          <w:sz w:val="18"/>
        </w:rPr>
        <w:t>.</w:t>
      </w:r>
      <w:r w:rsidR="00A9710C" w:rsidRPr="00466073">
        <w:rPr>
          <w:sz w:val="18"/>
        </w:rPr>
        <w:t xml:space="preserve"> </w:t>
      </w:r>
      <w:r w:rsidRPr="00E82FBD">
        <w:rPr>
          <w:sz w:val="18"/>
        </w:rPr>
        <w:t>LW</w:t>
      </w:r>
      <w:r>
        <w:rPr>
          <w:sz w:val="18"/>
        </w:rPr>
        <w:t>T - Food Science and Technology</w:t>
      </w:r>
      <w:proofErr w:type="gramStart"/>
      <w:r>
        <w:rPr>
          <w:sz w:val="18"/>
        </w:rPr>
        <w:t>,</w:t>
      </w:r>
      <w:r w:rsidRPr="00E82FBD">
        <w:rPr>
          <w:sz w:val="18"/>
        </w:rPr>
        <w:t>84</w:t>
      </w:r>
      <w:proofErr w:type="gramEnd"/>
      <w:r>
        <w:rPr>
          <w:sz w:val="18"/>
        </w:rPr>
        <w:t>, 529-</w:t>
      </w:r>
      <w:r w:rsidRPr="00E82FBD">
        <w:rPr>
          <w:sz w:val="18"/>
        </w:rPr>
        <w:t>535</w:t>
      </w:r>
      <w:r w:rsidR="00A9710C" w:rsidRPr="00466073">
        <w:rPr>
          <w:sz w:val="18"/>
        </w:rPr>
        <w:t>.</w:t>
      </w:r>
    </w:p>
    <w:p w:rsidR="00E82FBD" w:rsidRPr="00E82FBD" w:rsidRDefault="00E82FBD" w:rsidP="00E82FBD">
      <w:pPr>
        <w:pStyle w:val="ListParagraph"/>
        <w:numPr>
          <w:ilvl w:val="0"/>
          <w:numId w:val="2"/>
        </w:numPr>
        <w:tabs>
          <w:tab w:val="left" w:pos="384"/>
        </w:tabs>
        <w:ind w:right="118" w:hanging="283"/>
        <w:rPr>
          <w:sz w:val="18"/>
        </w:rPr>
      </w:pPr>
      <w:proofErr w:type="spellStart"/>
      <w:r w:rsidRPr="00E82FBD">
        <w:rPr>
          <w:sz w:val="18"/>
          <w:lang w:val="en-GB"/>
        </w:rPr>
        <w:t>Aksun</w:t>
      </w:r>
      <w:proofErr w:type="spellEnd"/>
      <w:r w:rsidRPr="00E82FBD">
        <w:rPr>
          <w:sz w:val="18"/>
          <w:lang w:val="en-GB"/>
        </w:rPr>
        <w:t>, E. T.,</w:t>
      </w:r>
      <w:r w:rsidRPr="00E82FBD">
        <w:rPr>
          <w:sz w:val="18"/>
        </w:rPr>
        <w:t xml:space="preserve"> </w:t>
      </w:r>
      <w:r w:rsidR="00A9710C">
        <w:rPr>
          <w:sz w:val="18"/>
        </w:rPr>
        <w:t>(20</w:t>
      </w:r>
      <w:r>
        <w:rPr>
          <w:sz w:val="18"/>
        </w:rPr>
        <w:t>16</w:t>
      </w:r>
      <w:r w:rsidR="00A9710C">
        <w:rPr>
          <w:sz w:val="18"/>
        </w:rPr>
        <w:t>)</w:t>
      </w:r>
      <w:r w:rsidRPr="00E82FBD">
        <w:rPr>
          <w:rFonts w:ascii="Arial" w:eastAsia="Times New Roman" w:hAnsi="Arial" w:cs="Arial"/>
          <w:sz w:val="20"/>
          <w:szCs w:val="20"/>
          <w:lang w:val="tr-TR" w:eastAsia="ar-SA"/>
        </w:rPr>
        <w:t xml:space="preserve"> </w:t>
      </w:r>
      <w:hyperlink r:id="rId10" w:history="1">
        <w:r w:rsidRPr="00E82FBD">
          <w:rPr>
            <w:rStyle w:val="Hyperlink"/>
            <w:color w:val="auto"/>
            <w:sz w:val="18"/>
            <w:u w:val="none"/>
            <w:lang w:val="tr-TR"/>
          </w:rPr>
          <w:t>Using Smart Packaging in Fish and Fish Based Product</w:t>
        </w:r>
      </w:hyperlink>
      <w:r w:rsidR="00A9710C" w:rsidRPr="00E82FBD">
        <w:rPr>
          <w:sz w:val="18"/>
        </w:rPr>
        <w:t>. Shock 29:377.</w:t>
      </w:r>
    </w:p>
    <w:p w:rsidR="00AE3E37" w:rsidRPr="00E82FBD" w:rsidRDefault="00E82FBD" w:rsidP="002D49C7">
      <w:pPr>
        <w:pStyle w:val="ListParagraph"/>
        <w:numPr>
          <w:ilvl w:val="0"/>
          <w:numId w:val="2"/>
        </w:numPr>
        <w:tabs>
          <w:tab w:val="left" w:pos="384"/>
        </w:tabs>
        <w:spacing w:line="210" w:lineRule="exact"/>
        <w:ind w:right="118" w:hanging="283"/>
        <w:rPr>
          <w:sz w:val="18"/>
          <w:szCs w:val="18"/>
        </w:rPr>
      </w:pPr>
      <w:proofErr w:type="spellStart"/>
      <w:r w:rsidRPr="00E82FBD">
        <w:rPr>
          <w:sz w:val="18"/>
          <w:szCs w:val="18"/>
          <w:lang w:val="en-GB"/>
        </w:rPr>
        <w:t>Karakaya</w:t>
      </w:r>
      <w:proofErr w:type="spellEnd"/>
      <w:r w:rsidRPr="00E82FBD">
        <w:rPr>
          <w:sz w:val="18"/>
          <w:szCs w:val="18"/>
          <w:lang w:val="en-GB"/>
        </w:rPr>
        <w:t xml:space="preserve"> </w:t>
      </w:r>
      <w:proofErr w:type="spellStart"/>
      <w:r w:rsidRPr="00E82FBD">
        <w:rPr>
          <w:sz w:val="18"/>
          <w:szCs w:val="18"/>
          <w:lang w:val="en-GB"/>
        </w:rPr>
        <w:t>Tokur</w:t>
      </w:r>
      <w:proofErr w:type="spellEnd"/>
      <w:r w:rsidRPr="00E82FBD">
        <w:rPr>
          <w:sz w:val="18"/>
          <w:szCs w:val="18"/>
          <w:lang w:val="en-GB"/>
        </w:rPr>
        <w:t xml:space="preserve">, B., </w:t>
      </w:r>
      <w:proofErr w:type="spellStart"/>
      <w:r w:rsidRPr="00E82FBD">
        <w:rPr>
          <w:sz w:val="18"/>
          <w:szCs w:val="18"/>
          <w:lang w:val="en-GB"/>
        </w:rPr>
        <w:t>Sert</w:t>
      </w:r>
      <w:proofErr w:type="spellEnd"/>
      <w:r w:rsidRPr="00E82FBD">
        <w:rPr>
          <w:sz w:val="18"/>
          <w:szCs w:val="18"/>
          <w:lang w:val="en-GB"/>
        </w:rPr>
        <w:t xml:space="preserve">, F., </w:t>
      </w:r>
      <w:proofErr w:type="spellStart"/>
      <w:r w:rsidRPr="00E82FBD">
        <w:rPr>
          <w:sz w:val="18"/>
          <w:szCs w:val="18"/>
          <w:lang w:val="en-GB"/>
        </w:rPr>
        <w:t>Aksun</w:t>
      </w:r>
      <w:proofErr w:type="spellEnd"/>
      <w:r w:rsidRPr="00E82FBD">
        <w:rPr>
          <w:sz w:val="18"/>
          <w:szCs w:val="18"/>
          <w:lang w:val="en-GB"/>
        </w:rPr>
        <w:t xml:space="preserve">, E. T., and </w:t>
      </w:r>
      <w:proofErr w:type="spellStart"/>
      <w:r w:rsidRPr="00E82FBD">
        <w:rPr>
          <w:sz w:val="18"/>
          <w:szCs w:val="18"/>
          <w:lang w:val="en-GB"/>
        </w:rPr>
        <w:t>Özoğul</w:t>
      </w:r>
      <w:proofErr w:type="spellEnd"/>
      <w:r w:rsidRPr="00E82FBD">
        <w:rPr>
          <w:sz w:val="18"/>
          <w:szCs w:val="18"/>
          <w:lang w:val="en-GB"/>
        </w:rPr>
        <w:t xml:space="preserve">, F. (2015). The effect of whey protein isolate coating enriched with thyme essential oils on trout quality at refrigerated storage (4±2°C). </w:t>
      </w:r>
      <w:r w:rsidRPr="00E82FBD">
        <w:rPr>
          <w:i/>
          <w:iCs/>
          <w:sz w:val="18"/>
          <w:szCs w:val="18"/>
          <w:lang w:val="en-GB"/>
        </w:rPr>
        <w:t xml:space="preserve">J. </w:t>
      </w:r>
      <w:proofErr w:type="spellStart"/>
      <w:r w:rsidRPr="00E82FBD">
        <w:rPr>
          <w:i/>
          <w:iCs/>
          <w:sz w:val="18"/>
          <w:szCs w:val="18"/>
          <w:lang w:val="en-GB"/>
        </w:rPr>
        <w:t>Aquat</w:t>
      </w:r>
      <w:proofErr w:type="spellEnd"/>
      <w:r w:rsidRPr="00E82FBD">
        <w:rPr>
          <w:i/>
          <w:iCs/>
          <w:sz w:val="18"/>
          <w:szCs w:val="18"/>
          <w:lang w:val="en-GB"/>
        </w:rPr>
        <w:t xml:space="preserve">. Food Prod. T. </w:t>
      </w:r>
      <w:r w:rsidRPr="00E82FBD">
        <w:rPr>
          <w:bCs/>
          <w:sz w:val="18"/>
          <w:szCs w:val="18"/>
          <w:lang w:val="en-GB"/>
        </w:rPr>
        <w:t xml:space="preserve">24 </w:t>
      </w:r>
      <w:r w:rsidRPr="00E82FBD">
        <w:rPr>
          <w:sz w:val="18"/>
          <w:szCs w:val="18"/>
          <w:lang w:val="en-GB"/>
        </w:rPr>
        <w:t>(4)</w:t>
      </w:r>
      <w:r w:rsidRPr="00E82FBD">
        <w:rPr>
          <w:b/>
          <w:bCs/>
          <w:sz w:val="18"/>
          <w:szCs w:val="18"/>
          <w:lang w:val="en-GB"/>
        </w:rPr>
        <w:t xml:space="preserve">: </w:t>
      </w:r>
      <w:r w:rsidRPr="00E82FBD">
        <w:rPr>
          <w:sz w:val="18"/>
          <w:szCs w:val="18"/>
          <w:lang w:val="en-GB"/>
        </w:rPr>
        <w:t>585--596</w:t>
      </w:r>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w:t>
      </w:r>
      <w:proofErr w:type="spellStart"/>
      <w:r w:rsidR="00E82FBD" w:rsidRPr="00E82FBD">
        <w:rPr>
          <w:rFonts w:ascii="Calibri" w:hAnsi="Calibri"/>
        </w:rPr>
        <w:t>Özyurt</w:t>
      </w:r>
      <w:proofErr w:type="spellEnd"/>
      <w:r w:rsidR="00E82FBD" w:rsidRPr="00E82FBD">
        <w:rPr>
          <w:rFonts w:ascii="Calibri" w:hAnsi="Calibri"/>
        </w:rPr>
        <w:t xml:space="preserve">, G., </w:t>
      </w:r>
      <w:proofErr w:type="spellStart"/>
      <w:r w:rsidR="00E82FBD" w:rsidRPr="00E82FBD">
        <w:rPr>
          <w:rFonts w:ascii="Calibri" w:hAnsi="Calibri"/>
        </w:rPr>
        <w:t>Şimşek</w:t>
      </w:r>
      <w:proofErr w:type="spellEnd"/>
      <w:r w:rsidR="00E82FBD" w:rsidRPr="00E82FBD">
        <w:rPr>
          <w:rFonts w:ascii="Calibri" w:hAnsi="Calibri"/>
        </w:rPr>
        <w:t xml:space="preserve">, A., </w:t>
      </w:r>
      <w:proofErr w:type="spellStart"/>
      <w:r w:rsidR="00E82FBD" w:rsidRPr="00E82FBD">
        <w:rPr>
          <w:rFonts w:ascii="Calibri" w:hAnsi="Calibri"/>
        </w:rPr>
        <w:t>Karakaya</w:t>
      </w:r>
      <w:proofErr w:type="spellEnd"/>
      <w:r w:rsidR="00E82FBD" w:rsidRPr="00E82FBD">
        <w:rPr>
          <w:rFonts w:ascii="Calibri" w:hAnsi="Calibri"/>
        </w:rPr>
        <w:t xml:space="preserve">, B. T., </w:t>
      </w:r>
      <w:proofErr w:type="spellStart"/>
      <w:r w:rsidR="00E82FBD" w:rsidRPr="00E82FBD">
        <w:rPr>
          <w:rFonts w:ascii="Calibri" w:hAnsi="Calibri"/>
        </w:rPr>
        <w:t>Aksun</w:t>
      </w:r>
      <w:proofErr w:type="spellEnd"/>
      <w:r w:rsidR="00E82FBD" w:rsidRPr="00E82FBD">
        <w:rPr>
          <w:rFonts w:ascii="Calibri" w:hAnsi="Calibri"/>
        </w:rPr>
        <w:t xml:space="preserve">, E. T., and </w:t>
      </w:r>
      <w:proofErr w:type="spellStart"/>
      <w:r w:rsidR="00E82FBD" w:rsidRPr="00E82FBD">
        <w:rPr>
          <w:rFonts w:ascii="Calibri" w:hAnsi="Calibri"/>
        </w:rPr>
        <w:t>Yeşilsu</w:t>
      </w:r>
      <w:proofErr w:type="spellEnd"/>
      <w:r w:rsidR="00E82FBD" w:rsidRPr="00E82FBD">
        <w:rPr>
          <w:rFonts w:ascii="Calibri" w:hAnsi="Calibri"/>
        </w:rPr>
        <w:t xml:space="preserve">, A. F. (2015). Functional, physicochemical and nutritional properties of protein from </w:t>
      </w:r>
      <w:proofErr w:type="spellStart"/>
      <w:r w:rsidR="00E82FBD" w:rsidRPr="00E82FBD">
        <w:rPr>
          <w:rFonts w:ascii="Calibri" w:hAnsi="Calibri"/>
        </w:rPr>
        <w:t>klunzinger's</w:t>
      </w:r>
      <w:proofErr w:type="spellEnd"/>
      <w:r w:rsidR="00E82FBD" w:rsidRPr="00E82FBD">
        <w:rPr>
          <w:rFonts w:ascii="Calibri" w:hAnsi="Calibri"/>
        </w:rPr>
        <w:t xml:space="preserve"> </w:t>
      </w:r>
      <w:proofErr w:type="spellStart"/>
      <w:r w:rsidR="00E82FBD" w:rsidRPr="00E82FBD">
        <w:rPr>
          <w:rFonts w:ascii="Calibri" w:hAnsi="Calibri"/>
        </w:rPr>
        <w:t>ponyfish</w:t>
      </w:r>
      <w:proofErr w:type="spellEnd"/>
      <w:r w:rsidR="00E82FBD" w:rsidRPr="00E82FBD">
        <w:rPr>
          <w:rFonts w:ascii="Calibri" w:hAnsi="Calibri"/>
        </w:rPr>
        <w:t xml:space="preserve"> extracted by the pH shifting</w:t>
      </w:r>
      <w:r w:rsidR="00E82FBD">
        <w:rPr>
          <w:rFonts w:ascii="Calibri" w:hAnsi="Calibri"/>
        </w:rPr>
        <w:t xml:space="preserve"> method. </w:t>
      </w:r>
      <w:proofErr w:type="spellStart"/>
      <w:r w:rsidR="00E82FBD">
        <w:rPr>
          <w:rFonts w:ascii="Calibri" w:hAnsi="Calibri"/>
        </w:rPr>
        <w:t>J.Food</w:t>
      </w:r>
      <w:proofErr w:type="spellEnd"/>
      <w:r w:rsidR="00E82FBD">
        <w:rPr>
          <w:rFonts w:ascii="Calibri" w:hAnsi="Calibri"/>
        </w:rPr>
        <w:t xml:space="preserve"> Process. Pres.</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0A6A75">
      <w:pPr>
        <w:pStyle w:val="BodyText"/>
        <w:spacing w:line="40" w:lineRule="exact"/>
        <w:ind w:left="2202"/>
        <w:rPr>
          <w:rFonts w:ascii="Calibri"/>
          <w:sz w:val="4"/>
        </w:rPr>
      </w:pPr>
      <w:r>
        <w:rPr>
          <w:rFonts w:ascii="Arial"/>
          <w:noProof/>
          <w:color w:val="BF5A14"/>
          <w:lang w:val="en-GB" w:eastAsia="en-GB"/>
        </w:rPr>
        <w:drawing>
          <wp:anchor distT="0" distB="0" distL="114300" distR="114300" simplePos="0" relativeHeight="251658240" behindDoc="0" locked="0" layoutInCell="1" allowOverlap="1">
            <wp:simplePos x="0" y="0"/>
            <wp:positionH relativeFrom="margin">
              <wp:posOffset>0</wp:posOffset>
            </wp:positionH>
            <wp:positionV relativeFrom="margin">
              <wp:posOffset>7248525</wp:posOffset>
            </wp:positionV>
            <wp:extent cx="703580" cy="719455"/>
            <wp:effectExtent l="0" t="0" r="1270" b="444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3580" cy="719455"/>
                    </a:xfrm>
                    <a:prstGeom prst="rect">
                      <a:avLst/>
                    </a:prstGeom>
                    <a:noFill/>
                  </pic:spPr>
                </pic:pic>
              </a:graphicData>
            </a:graphic>
            <wp14:sizeRelH relativeFrom="margin">
              <wp14:pctWidth>0</wp14:pctWidth>
            </wp14:sizeRelH>
            <wp14:sizeRelV relativeFrom="margin">
              <wp14:pctHeight>0</wp14:pctHeight>
            </wp14:sizeRelV>
          </wp:anchor>
        </w:drawing>
      </w:r>
      <w:r w:rsidR="00815B72">
        <w:rPr>
          <w:rFonts w:ascii="Calibri"/>
          <w:noProof/>
          <w:sz w:val="4"/>
          <w:lang w:val="en-GB" w:eastAsia="en-GB"/>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375D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A9710C">
        <w:rPr>
          <w:rFonts w:ascii="Arial"/>
          <w:color w:val="BF5A14"/>
        </w:rPr>
        <w:t>Biography</w:t>
      </w:r>
      <w:r>
        <w:rPr>
          <w:rFonts w:ascii="Arial"/>
          <w:color w:val="BF5A14"/>
        </w:rPr>
        <w:t xml:space="preserve"> (150 word limit)</w:t>
      </w:r>
    </w:p>
    <w:p w:rsidR="00AE3E37" w:rsidRDefault="00FC4650">
      <w:pPr>
        <w:spacing w:before="41" w:line="154" w:lineRule="exact"/>
        <w:ind w:left="213" w:right="231"/>
        <w:jc w:val="both"/>
        <w:rPr>
          <w:rFonts w:ascii="Arial"/>
          <w:sz w:val="14"/>
        </w:rPr>
      </w:pPr>
      <w:proofErr w:type="spellStart"/>
      <w:proofErr w:type="gramStart"/>
      <w:r>
        <w:rPr>
          <w:rFonts w:ascii="Arial"/>
          <w:sz w:val="14"/>
        </w:rPr>
        <w:t>Elif</w:t>
      </w:r>
      <w:proofErr w:type="spellEnd"/>
      <w:r>
        <w:rPr>
          <w:rFonts w:ascii="Arial"/>
          <w:sz w:val="14"/>
        </w:rPr>
        <w:t xml:space="preserve">  </w:t>
      </w:r>
      <w:proofErr w:type="spellStart"/>
      <w:r>
        <w:rPr>
          <w:rFonts w:ascii="Arial"/>
          <w:sz w:val="14"/>
        </w:rPr>
        <w:t>Tugce</w:t>
      </w:r>
      <w:proofErr w:type="spellEnd"/>
      <w:proofErr w:type="gramEnd"/>
      <w:r>
        <w:rPr>
          <w:rFonts w:ascii="Arial"/>
          <w:sz w:val="14"/>
        </w:rPr>
        <w:t xml:space="preserve"> AKSUN TUMERKAN </w:t>
      </w:r>
      <w:r w:rsidR="00A9710C">
        <w:rPr>
          <w:rFonts w:ascii="Arial"/>
          <w:sz w:val="14"/>
        </w:rPr>
        <w:t xml:space="preserve"> has her expertise in </w:t>
      </w:r>
      <w:r>
        <w:rPr>
          <w:rFonts w:ascii="Arial"/>
          <w:sz w:val="14"/>
        </w:rPr>
        <w:t xml:space="preserve"> proteomic and biotechnology.</w:t>
      </w:r>
      <w:r w:rsidR="00A9710C">
        <w:rPr>
          <w:rFonts w:ascii="Arial"/>
          <w:sz w:val="14"/>
        </w:rPr>
        <w:t xml:space="preserve"> </w:t>
      </w:r>
      <w:r>
        <w:rPr>
          <w:rFonts w:ascii="Arial"/>
          <w:sz w:val="14"/>
        </w:rPr>
        <w:t xml:space="preserve">Her studies generally based on gel electrophoresis, fluorescent protein and their potential uses in cell </w:t>
      </w:r>
      <w:r w:rsidR="000A6A75">
        <w:rPr>
          <w:rFonts w:ascii="Arial"/>
          <w:sz w:val="14"/>
        </w:rPr>
        <w:t xml:space="preserve">biology. After she finished PhD, she has a scholarship from Turkish Government that related to genetic diversity in marine and aquatic organism in University of Exeter. She is doing research related to fluorescent protein from marine organisms. And potential approach in different cell tissue. </w:t>
      </w:r>
    </w:p>
    <w:p w:rsidR="00AE3E37" w:rsidRDefault="00A9710C" w:rsidP="000A6A75">
      <w:pPr>
        <w:spacing w:before="62"/>
        <w:ind w:left="4217" w:right="4235"/>
        <w:jc w:val="center"/>
        <w:rPr>
          <w:rFonts w:ascii="Arial"/>
          <w:sz w:val="19"/>
        </w:rPr>
      </w:pPr>
      <w:r>
        <w:rPr>
          <w:rFonts w:ascii="Arial"/>
          <w:sz w:val="14"/>
        </w:rPr>
        <w:t>Email:</w:t>
      </w:r>
      <w:r w:rsidR="00FC4650">
        <w:rPr>
          <w:rFonts w:ascii="Arial"/>
          <w:sz w:val="14"/>
        </w:rPr>
        <w:t>e</w:t>
      </w:r>
      <w:r w:rsidR="000A6A75">
        <w:rPr>
          <w:rFonts w:ascii="Arial"/>
          <w:sz w:val="14"/>
        </w:rPr>
        <w:t>a386</w:t>
      </w:r>
      <w:r w:rsidR="00FC4650">
        <w:rPr>
          <w:rFonts w:ascii="Arial"/>
          <w:sz w:val="14"/>
        </w:rPr>
        <w:t>@</w:t>
      </w:r>
      <w:r w:rsidR="000A6A75">
        <w:rPr>
          <w:rFonts w:ascii="Arial"/>
          <w:sz w:val="14"/>
        </w:rPr>
        <w:t>exeter.ac.uk</w:t>
      </w:r>
      <w:r w:rsidR="00815B72">
        <w:rPr>
          <w:noProof/>
          <w:lang w:val="en-GB" w:eastAsia="en-GB"/>
        </w:rPr>
        <mc:AlternateContent>
          <mc:Choice Requires="wps">
            <w:drawing>
              <wp:anchor distT="0" distB="0" distL="0" distR="0" simplePos="0" relativeHeight="251655168"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D4712" id="Line 3"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53E" w:rsidRDefault="00DD353E">
      <w:r>
        <w:separator/>
      </w:r>
    </w:p>
  </w:endnote>
  <w:endnote w:type="continuationSeparator" w:id="0">
    <w:p w:rsidR="00DD353E" w:rsidRDefault="00DD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15B72">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53E" w:rsidRDefault="00DD353E">
      <w:r>
        <w:separator/>
      </w:r>
    </w:p>
  </w:footnote>
  <w:footnote w:type="continuationSeparator" w:id="0">
    <w:p w:rsidR="00DD353E" w:rsidRDefault="00DD3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815B72">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6A75"/>
    <w:rsid w:val="000E2911"/>
    <w:rsid w:val="001263DF"/>
    <w:rsid w:val="002E3D03"/>
    <w:rsid w:val="00404E5B"/>
    <w:rsid w:val="00414F7B"/>
    <w:rsid w:val="004355DC"/>
    <w:rsid w:val="00466073"/>
    <w:rsid w:val="004749B4"/>
    <w:rsid w:val="004F3523"/>
    <w:rsid w:val="005B3A56"/>
    <w:rsid w:val="006060CE"/>
    <w:rsid w:val="0063497F"/>
    <w:rsid w:val="00815B72"/>
    <w:rsid w:val="00873DF0"/>
    <w:rsid w:val="009B2D44"/>
    <w:rsid w:val="00A9710C"/>
    <w:rsid w:val="00AE3E37"/>
    <w:rsid w:val="00B21A57"/>
    <w:rsid w:val="00C33602"/>
    <w:rsid w:val="00CD6F55"/>
    <w:rsid w:val="00DD353E"/>
    <w:rsid w:val="00E82FBD"/>
    <w:rsid w:val="00F72EEA"/>
    <w:rsid w:val="00F84CAE"/>
    <w:rsid w:val="00FC46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2EB290"/>
  <w15:docId w15:val="{ECCB5404-EE02-45C4-9915-7D100442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E82F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79.123.199.200/ojs/index.php/JMMS/article/view/327"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ELIF TUGCE AKSUN TUMERKAN</cp:lastModifiedBy>
  <cp:revision>2</cp:revision>
  <dcterms:created xsi:type="dcterms:W3CDTF">2018-04-12T11:32:00Z</dcterms:created>
  <dcterms:modified xsi:type="dcterms:W3CDTF">2018-04-12T11:32:00Z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