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B11" w:rsidRPr="007D03AB" w:rsidRDefault="00F06B11" w:rsidP="00F06B11">
      <w:pPr>
        <w:spacing w:before="144" w:after="0" w:line="240" w:lineRule="auto"/>
        <w:ind w:right="-1120"/>
        <w:jc w:val="both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D03AB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Proximate analysis, translocation and elemental distribution of</w:t>
      </w:r>
      <w:r w:rsidRPr="007D03AB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 xml:space="preserve"> Celosia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6B11" w:rsidRPr="007A187F" w:rsidRDefault="00F06B11" w:rsidP="00F06B11">
      <w:pPr>
        <w:spacing w:before="144" w:after="0" w:line="240" w:lineRule="auto"/>
        <w:ind w:right="-1120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</w:pPr>
      <w:r w:rsidRPr="007D03AB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 xml:space="preserve"> </w:t>
      </w:r>
      <w:proofErr w:type="spellStart"/>
      <w:r w:rsidRPr="007D03AB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>trigyna</w:t>
      </w:r>
      <w:proofErr w:type="spellEnd"/>
      <w:r w:rsidRPr="007D03AB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 xml:space="preserve"> </w:t>
      </w:r>
      <w:r w:rsidRPr="007D03AB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L</w:t>
      </w:r>
      <w:r w:rsidRPr="007D03AB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 xml:space="preserve"> </w:t>
      </w:r>
      <w:r w:rsidRPr="007D03AB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from the western geographical region of Nigeria</w:t>
      </w:r>
    </w:p>
    <w:p w:rsidR="00F06B11" w:rsidRPr="007D03AB" w:rsidRDefault="00F06B11" w:rsidP="00F06B11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>Adebimpe</w:t>
      </w:r>
      <w:proofErr w:type="spellEnd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 xml:space="preserve"> Esther </w:t>
      </w:r>
      <w:proofErr w:type="spellStart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>Ofusori</w:t>
      </w:r>
      <w:proofErr w:type="spellEnd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>Roshila</w:t>
      </w:r>
      <w:proofErr w:type="spellEnd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 xml:space="preserve"> Moodley and </w:t>
      </w:r>
      <w:proofErr w:type="spellStart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>Sreekantha</w:t>
      </w:r>
      <w:proofErr w:type="spellEnd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 xml:space="preserve"> B. </w:t>
      </w:r>
      <w:proofErr w:type="spellStart"/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>Jonnalagadda</w:t>
      </w:r>
      <w:proofErr w:type="spellEnd"/>
    </w:p>
    <w:p w:rsidR="00F06B11" w:rsidRPr="007D03AB" w:rsidRDefault="00F06B11" w:rsidP="00F06B11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3AB">
        <w:rPr>
          <w:rFonts w:ascii="Times New Roman" w:eastAsia="Times New Roman" w:hAnsi="Times New Roman" w:cs="Times New Roman"/>
          <w:bCs/>
          <w:sz w:val="24"/>
          <w:szCs w:val="24"/>
        </w:rPr>
        <w:t>School of Chemistry and Physics, University of KwaZulu-Natal, Durban 4000, South Africa</w:t>
      </w:r>
    </w:p>
    <w:p w:rsidR="00F06B11" w:rsidRPr="007D03AB" w:rsidRDefault="00F06B11" w:rsidP="00F06B11">
      <w:pPr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3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Abstract </w:t>
      </w:r>
    </w:p>
    <w:p w:rsidR="00F06B11" w:rsidRPr="00AF4A74" w:rsidRDefault="00F06B11" w:rsidP="00F06B1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F4A74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Celosia </w:t>
      </w:r>
      <w:proofErr w:type="spellStart"/>
      <w:r w:rsidRPr="00AF4A74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trigyna</w:t>
      </w:r>
      <w:proofErr w:type="spellEnd"/>
      <w:r w:rsidRPr="00AF4A74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r w:rsidRPr="00AF4A7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 which belongs to the plant family </w:t>
      </w:r>
      <w:proofErr w:type="spellStart"/>
      <w:r w:rsidRPr="00AF4A74">
        <w:rPr>
          <w:rFonts w:ascii="Times New Roman" w:eastAsia="Times New Roman" w:hAnsi="Times New Roman" w:cs="Times New Roman"/>
          <w:sz w:val="24"/>
          <w:szCs w:val="24"/>
          <w:lang w:val="en-GB"/>
        </w:rPr>
        <w:t>Amaranthaceae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AF4A7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is a medicinal plant used in orthodox medicine to treat several diseases such as sores, boils, costal pains diarrhoea, chest related complications and menstrual cramps. </w:t>
      </w:r>
      <w:r w:rsidRPr="00AF4A74">
        <w:rPr>
          <w:rFonts w:ascii="Times New Roman" w:eastAsia="Times New Roman" w:hAnsi="Times New Roman" w:cs="Times New Roman"/>
          <w:sz w:val="24"/>
          <w:szCs w:val="24"/>
        </w:rPr>
        <w:t>In this study, the concentrations of the elements in the plants and growth soil from the western region of Nigeria was investigated.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4A74">
        <w:rPr>
          <w:rFonts w:ascii="Times New Roman" w:eastAsia="Calibri" w:hAnsi="Times New Roman" w:cs="Times New Roman"/>
          <w:kern w:val="24"/>
          <w:sz w:val="24"/>
          <w:szCs w:val="24"/>
        </w:rPr>
        <w:t>The</w:t>
      </w:r>
      <w:r>
        <w:rPr>
          <w:rFonts w:ascii="Times New Roman" w:eastAsia="Calibri" w:hAnsi="Times New Roman" w:cs="Times New Roman"/>
          <w:kern w:val="24"/>
          <w:sz w:val="24"/>
          <w:szCs w:val="24"/>
        </w:rPr>
        <w:t>, s</w:t>
      </w:r>
      <w:r w:rsidRPr="00AF4A74">
        <w:rPr>
          <w:rFonts w:ascii="Times New Roman" w:eastAsia="Calibri" w:hAnsi="Times New Roman" w:cs="Times New Roman"/>
          <w:kern w:val="24"/>
          <w:sz w:val="24"/>
          <w:szCs w:val="24"/>
        </w:rPr>
        <w:t xml:space="preserve">oil organic matter (SOM), </w:t>
      </w:r>
      <w:hyperlink r:id="rId4" w:tooltip="PH" w:history="1">
        <w:r w:rsidRPr="00AF4A74">
          <w:rPr>
            <w:rFonts w:ascii="Times New Roman" w:eastAsia="MS PGothic" w:hAnsi="Times New Roman" w:cs="Times New Roman"/>
            <w:kern w:val="24"/>
            <w:sz w:val="24"/>
            <w:szCs w:val="24"/>
          </w:rPr>
          <w:t>pH</w:t>
        </w:r>
      </w:hyperlink>
      <w:r w:rsidRPr="00AF4A74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and Cation exchange capacity (CEC) in the growth soil was also determined </w:t>
      </w:r>
      <w:proofErr w:type="gramStart"/>
      <w:r w:rsidRPr="00AF4A74">
        <w:rPr>
          <w:rFonts w:ascii="Times New Roman" w:eastAsia="Calibri" w:hAnsi="Times New Roman" w:cs="Times New Roman"/>
          <w:kern w:val="24"/>
          <w:sz w:val="24"/>
          <w:szCs w:val="24"/>
        </w:rPr>
        <w:t>in order to</w:t>
      </w:r>
      <w:proofErr w:type="gramEnd"/>
      <w:r w:rsidRPr="00AF4A74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validate the soil quality effect</w:t>
      </w:r>
      <w:r>
        <w:rPr>
          <w:rFonts w:ascii="Times New Roman" w:eastAsia="Calibri" w:hAnsi="Times New Roman" w:cs="Times New Roman"/>
          <w:kern w:val="24"/>
          <w:sz w:val="24"/>
          <w:szCs w:val="24"/>
        </w:rPr>
        <w:t>s</w:t>
      </w:r>
      <w:r w:rsidRPr="00AF4A74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on elemental uptake. </w:t>
      </w:r>
    </w:p>
    <w:p w:rsidR="00F06B11" w:rsidRPr="00D26479" w:rsidRDefault="00F06B11" w:rsidP="00F06B11">
      <w:pPr>
        <w:spacing w:after="0" w:line="480" w:lineRule="auto"/>
        <w:jc w:val="both"/>
        <w:rPr>
          <w:rFonts w:ascii="Times New Roman" w:eastAsia="MS PGothic" w:hAnsi="Times New Roman" w:cs="Times New Roman"/>
          <w:kern w:val="24"/>
          <w:sz w:val="24"/>
          <w:szCs w:val="24"/>
        </w:rPr>
      </w:pPr>
      <w:r w:rsidRPr="00A542F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elemental concentration </w:t>
      </w:r>
      <w:r w:rsidRPr="00A542F8">
        <w:rPr>
          <w:rFonts w:ascii="Times New Roman" w:eastAsia="Times New Roman" w:hAnsi="Times New Roman" w:cs="Times New Roman"/>
          <w:sz w:val="24"/>
          <w:szCs w:val="24"/>
        </w:rPr>
        <w:t xml:space="preserve">in the leaves were found to be in decreasing order of 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Ca &gt; Mg&gt; Fe &gt; </w:t>
      </w:r>
      <w:proofErr w:type="spellStart"/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Mn</w:t>
      </w:r>
      <w:proofErr w:type="spellEnd"/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&gt; Zn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&gt; Cu &gt; </w:t>
      </w:r>
      <w:proofErr w:type="spellStart"/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Pb</w:t>
      </w:r>
      <w:proofErr w:type="spellEnd"/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&gt; As &gt; Ni </w:t>
      </w:r>
      <w:r w:rsidRPr="004D0C60">
        <w:rPr>
          <w:rFonts w:ascii="Times New Roman" w:eastAsia="MS PGothic" w:hAnsi="Times New Roman" w:cs="Times New Roman"/>
          <w:kern w:val="24"/>
          <w:sz w:val="24"/>
          <w:szCs w:val="24"/>
        </w:rPr>
        <w:t>but</w:t>
      </w:r>
      <w:r>
        <w:rPr>
          <w:rFonts w:ascii="Times New Roman" w:eastAsia="MS PGothic" w:hAnsi="Times New Roman" w:cs="Times New Roman"/>
          <w:kern w:val="24"/>
          <w:sz w:val="24"/>
          <w:szCs w:val="24"/>
        </w:rPr>
        <w:t xml:space="preserve"> variation of </w:t>
      </w:r>
      <w:proofErr w:type="spellStart"/>
      <w:r w:rsidRPr="004D0C60">
        <w:rPr>
          <w:rFonts w:ascii="Times New Roman" w:eastAsia="MS PGothic" w:hAnsi="Times New Roman" w:cs="Times New Roman"/>
          <w:kern w:val="24"/>
          <w:sz w:val="24"/>
          <w:szCs w:val="24"/>
        </w:rPr>
        <w:t>Pb</w:t>
      </w:r>
      <w:proofErr w:type="spellEnd"/>
      <w:r w:rsidRPr="004D0C60">
        <w:rPr>
          <w:rFonts w:ascii="Times New Roman" w:eastAsia="MS PGothic" w:hAnsi="Times New Roman" w:cs="Times New Roman"/>
          <w:kern w:val="24"/>
          <w:sz w:val="24"/>
          <w:szCs w:val="24"/>
        </w:rPr>
        <w:t xml:space="preserve"> and Ni</w:t>
      </w:r>
      <w:r>
        <w:rPr>
          <w:rFonts w:ascii="Times New Roman" w:eastAsia="MS PGothic" w:hAnsi="Times New Roman" w:cs="Times New Roman"/>
          <w:kern w:val="24"/>
          <w:sz w:val="24"/>
          <w:szCs w:val="24"/>
        </w:rPr>
        <w:t xml:space="preserve"> was observed within the plant parts.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The proximate analysis in the leaves were ash (22±0.58%), crude </w:t>
      </w:r>
      <w:proofErr w:type="spellStart"/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fibre</w:t>
      </w:r>
      <w:proofErr w:type="spellEnd"/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(1.4±0.2%) protein (25.6±1.05%) and fat (1.6±0.57%)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(P &lt; 0.05).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Calcium and 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Zn 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were 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found to contribute between 13.3-17.3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% and 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6.1-8.4%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, respectively,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towards their recommended dietary a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llowance. However, Fe and </w:t>
      </w:r>
      <w:proofErr w:type="spellStart"/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Mn</w:t>
      </w:r>
      <w:proofErr w:type="spellEnd"/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 xml:space="preserve"> contributes above 50% towards its RDA for these elements which makes the plant suitable for treating deficiencies of</w:t>
      </w:r>
      <w:r w:rsidRPr="00A542F8">
        <w:rPr>
          <w:rFonts w:ascii="Times New Roman" w:eastAsia="MS PGothic" w:hAnsi="Times New Roman" w:cs="Times New Roman"/>
          <w:color w:val="FF0000"/>
          <w:kern w:val="24"/>
          <w:sz w:val="24"/>
          <w:szCs w:val="24"/>
        </w:rPr>
        <w:t xml:space="preserve"> </w:t>
      </w:r>
      <w:r w:rsidRPr="00A542F8">
        <w:rPr>
          <w:rFonts w:ascii="Times New Roman" w:eastAsia="MS PGothic" w:hAnsi="Times New Roman" w:cs="Times New Roman"/>
          <w:color w:val="000000"/>
          <w:kern w:val="24"/>
          <w:sz w:val="24"/>
          <w:szCs w:val="24"/>
        </w:rPr>
        <w:t>these element.</w:t>
      </w:r>
      <w:r w:rsidRPr="00A542F8">
        <w:rPr>
          <w:rFonts w:ascii="Times New Roman" w:eastAsia="Times New Roman" w:hAnsi="Times New Roman" w:cs="Times New Roman"/>
          <w:sz w:val="24"/>
          <w:szCs w:val="24"/>
        </w:rPr>
        <w:t xml:space="preserve"> Hierarchical cluster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analysis </w:t>
      </w:r>
      <w:r w:rsidRPr="00A542F8">
        <w:rPr>
          <w:rFonts w:ascii="Times New Roman" w:eastAsia="Times New Roman" w:hAnsi="Times New Roman" w:cs="Times New Roman"/>
          <w:sz w:val="24"/>
          <w:szCs w:val="24"/>
        </w:rPr>
        <w:t>indicated that some elements absorbed by the plant were from common sources. Also, correlation coefficient shows synergistic and antagonistic relationships between soil parameters and elements across the plant parts.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Efficient translocation of nutrients was observed in the leaves compared to the stem as the translocation factor (TF&gt;1) for most of the elements</w:t>
      </w:r>
      <w:r w:rsidRPr="00D264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26479">
        <w:rPr>
          <w:rFonts w:ascii="Times New Roman" w:eastAsia="Times New Roman" w:hAnsi="Times New Roman" w:cs="Times New Roman"/>
          <w:bCs/>
          <w:sz w:val="24"/>
          <w:szCs w:val="24"/>
        </w:rPr>
        <w:t xml:space="preserve">Cadmium was not detected in the leaves but </w:t>
      </w:r>
      <w:r w:rsidRPr="00D26479">
        <w:rPr>
          <w:rFonts w:ascii="Times New Roman" w:eastAsia="Times New Roman" w:hAnsi="Times New Roman" w:cs="Times New Roman"/>
          <w:sz w:val="24"/>
          <w:szCs w:val="24"/>
        </w:rPr>
        <w:t xml:space="preserve">Lead and Arsenic </w:t>
      </w:r>
      <w:r w:rsidRPr="00D26479">
        <w:rPr>
          <w:rFonts w:ascii="Times New Roman" w:eastAsia="Times New Roman" w:hAnsi="Times New Roman" w:cs="Times New Roman"/>
          <w:bCs/>
          <w:sz w:val="24"/>
          <w:szCs w:val="24"/>
        </w:rPr>
        <w:t>were observed at low</w:t>
      </w:r>
      <w:r w:rsidRPr="00D26479">
        <w:rPr>
          <w:rFonts w:ascii="Times New Roman" w:eastAsia="Times New Roman" w:hAnsi="Times New Roman" w:cs="Times New Roman"/>
          <w:sz w:val="24"/>
          <w:szCs w:val="24"/>
        </w:rPr>
        <w:t xml:space="preserve"> concentrations well below the tolerable upper intake level (ULs), making them safe and beneficial for human consumption.</w:t>
      </w:r>
      <w:r w:rsidRPr="00D26479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F06B11" w:rsidRDefault="00F06B11"/>
    <w:sectPr w:rsidR="00F06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11"/>
    <w:rsid w:val="00F02EF1"/>
    <w:rsid w:val="00F0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AC920"/>
  <w15:chartTrackingRefBased/>
  <w15:docId w15:val="{14118F39-8DDE-4FCC-9A2C-00F8068A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B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.wikipedia.org/wiki/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ofusore</dc:creator>
  <cp:keywords/>
  <dc:description/>
  <cp:lastModifiedBy>ofusore</cp:lastModifiedBy>
  <cp:revision>2</cp:revision>
  <cp:lastPrinted>2017-09-06T08:35:00Z</cp:lastPrinted>
  <dcterms:created xsi:type="dcterms:W3CDTF">2017-09-06T08:17:00Z</dcterms:created>
  <dcterms:modified xsi:type="dcterms:W3CDTF">2017-09-06T11:11:00Z</dcterms:modified>
</cp:coreProperties>
</file>