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681812749"/>
        <w:docPartObj>
          <w:docPartGallery w:val="Cover Pages"/>
          <w:docPartUnique/>
        </w:docPartObj>
      </w:sdtPr>
      <w:sdtEndPr>
        <w:rPr>
          <w:rFonts w:ascii="Times New Roman" w:hAnsi="Times New Roman" w:cs="Times New Roman"/>
          <w:sz w:val="28"/>
          <w:szCs w:val="28"/>
        </w:rPr>
      </w:sdtEndPr>
      <w:sdtContent>
        <w:p w14:paraId="651EDDA9" w14:textId="11DB964C" w:rsidR="00777C48" w:rsidRDefault="007177FD">
          <w:r>
            <w:rPr>
              <w:noProof/>
            </w:rPr>
            <mc:AlternateContent>
              <mc:Choice Requires="wps">
                <w:drawing>
                  <wp:anchor distT="0" distB="0" distL="114300" distR="114300" simplePos="0" relativeHeight="251659264" behindDoc="0" locked="0" layoutInCell="1" allowOverlap="1" wp14:anchorId="686C986C" wp14:editId="7151AD84">
                    <wp:simplePos x="0" y="0"/>
                    <wp:positionH relativeFrom="page">
                      <wp:posOffset>227965</wp:posOffset>
                    </wp:positionH>
                    <wp:positionV relativeFrom="margin">
                      <wp:posOffset>638175</wp:posOffset>
                    </wp:positionV>
                    <wp:extent cx="7324725" cy="5111750"/>
                    <wp:effectExtent l="0" t="0" r="0" b="12700"/>
                    <wp:wrapSquare wrapText="bothSides"/>
                    <wp:docPr id="154" name="Text Box 154"/>
                    <wp:cNvGraphicFramePr/>
                    <a:graphic xmlns:a="http://schemas.openxmlformats.org/drawingml/2006/main">
                      <a:graphicData uri="http://schemas.microsoft.com/office/word/2010/wordprocessingShape">
                        <wps:wsp>
                          <wps:cNvSpPr txBox="1"/>
                          <wps:spPr>
                            <a:xfrm>
                              <a:off x="0" y="0"/>
                              <a:ext cx="7324725" cy="5111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F0C9A1" w14:textId="3E9DAD65" w:rsidR="00777C48" w:rsidRDefault="00777C48" w:rsidP="007177FD">
                                <w:pPr>
                                  <w:jc w:val="center"/>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7177FD">
                                      <w:rPr>
                                        <w:caps/>
                                        <w:color w:val="4472C4" w:themeColor="accent1"/>
                                        <w:sz w:val="64"/>
                                        <w:szCs w:val="64"/>
                                      </w:rPr>
                                      <w:t>Assessing nutritional needs of older adults</w:t>
                                    </w:r>
                                    <w:r w:rsidR="007177FD">
                                      <w:rPr>
                                        <w:caps/>
                                        <w:color w:val="4472C4" w:themeColor="accent1"/>
                                        <w:sz w:val="64"/>
                                        <w:szCs w:val="64"/>
                                      </w:rPr>
                                      <w:br/>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86C986C" id="_x0000_t202" coordsize="21600,21600" o:spt="202" path="m,l,21600r21600,l21600,xe">
                    <v:stroke joinstyle="miter"/>
                    <v:path gradientshapeok="t" o:connecttype="rect"/>
                  </v:shapetype>
                  <v:shape id="Text Box 154" o:spid="_x0000_s1026" type="#_x0000_t202" style="position:absolute;margin-left:17.95pt;margin-top:50.25pt;width:576.75pt;height:40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" filled="f" stroked="f" strokeweight=".5pt">
                    <v:textbox inset="126pt,0,54pt,0">
                      <w:txbxContent>
                        <w:p w14:paraId="21F0C9A1" w14:textId="3E9DAD65" w:rsidR="00777C48" w:rsidRDefault="00777C48" w:rsidP="007177FD">
                          <w:pPr>
                            <w:jc w:val="center"/>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7177FD">
                                <w:rPr>
                                  <w:caps/>
                                  <w:color w:val="4472C4" w:themeColor="accent1"/>
                                  <w:sz w:val="64"/>
                                  <w:szCs w:val="64"/>
                                </w:rPr>
                                <w:t>Assessing nutritional needs of older adults</w:t>
                              </w:r>
                              <w:r w:rsidR="007177FD">
                                <w:rPr>
                                  <w:caps/>
                                  <w:color w:val="4472C4" w:themeColor="accent1"/>
                                  <w:sz w:val="64"/>
                                  <w:szCs w:val="64"/>
                                </w:rPr>
                                <w:br/>
                              </w:r>
                            </w:sdtContent>
                          </w:sdt>
                        </w:p>
                      </w:txbxContent>
                    </v:textbox>
                    <w10:wrap type="square" anchorx="page" anchory="margin"/>
                  </v:shape>
                </w:pict>
              </mc:Fallback>
            </mc:AlternateContent>
          </w:r>
          <w:r w:rsidR="00777C48">
            <w:rPr>
              <w:noProof/>
            </w:rPr>
            <mc:AlternateContent>
              <mc:Choice Requires="wpg">
                <w:drawing>
                  <wp:anchor distT="0" distB="0" distL="114300" distR="114300" simplePos="0" relativeHeight="251662336" behindDoc="0" locked="0" layoutInCell="1" allowOverlap="1" wp14:anchorId="6C2A8C09" wp14:editId="374B27D6">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37F733E1"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7" o:title="" recolor="t" rotate="t" type="frame"/>
                    </v:rect>
                    <w10:wrap anchorx="page" anchory="page"/>
                  </v:group>
                </w:pict>
              </mc:Fallback>
            </mc:AlternateContent>
          </w:r>
          <w:r w:rsidR="00777C48">
            <w:rPr>
              <w:noProof/>
            </w:rPr>
            <mc:AlternateContent>
              <mc:Choice Requires="wps">
                <w:drawing>
                  <wp:anchor distT="0" distB="0" distL="114300" distR="114300" simplePos="0" relativeHeight="251660288" behindDoc="0" locked="0" layoutInCell="1" allowOverlap="1" wp14:anchorId="59440C3D" wp14:editId="229675A6">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4C2A3274" w14:textId="6502EB8E" w:rsidR="00777C48" w:rsidRDefault="00777C48">
                                    <w:pPr>
                                      <w:pStyle w:val="NoSpacing"/>
                                      <w:jc w:val="right"/>
                                      <w:rPr>
                                        <w:color w:val="595959" w:themeColor="text1" w:themeTint="A6"/>
                                        <w:sz w:val="28"/>
                                        <w:szCs w:val="28"/>
                                      </w:rPr>
                                    </w:pPr>
                                    <w:r>
                                      <w:rPr>
                                        <w:color w:val="595959" w:themeColor="text1" w:themeTint="A6"/>
                                        <w:sz w:val="28"/>
                                        <w:szCs w:val="28"/>
                                      </w:rPr>
                                      <w:t>Cassandra Hill</w:t>
                                    </w:r>
                                  </w:p>
                                </w:sdtContent>
                              </w:sdt>
                              <w:p w14:paraId="09DE6695" w14:textId="53AC7870" w:rsidR="00777C48" w:rsidRDefault="00777C48">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007177FD">
                                      <w:rPr>
                                        <w:color w:val="595959" w:themeColor="text1" w:themeTint="A6"/>
                                        <w:sz w:val="18"/>
                                        <w:szCs w:val="18"/>
                                      </w:rPr>
                                      <w:t>cassandrarhill@gmail.com</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59440C3D" id="Text Box 152" o:spid="_x0000_s1027"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4C2A3274" w14:textId="6502EB8E" w:rsidR="00777C48" w:rsidRDefault="00777C48">
                              <w:pPr>
                                <w:pStyle w:val="NoSpacing"/>
                                <w:jc w:val="right"/>
                                <w:rPr>
                                  <w:color w:val="595959" w:themeColor="text1" w:themeTint="A6"/>
                                  <w:sz w:val="28"/>
                                  <w:szCs w:val="28"/>
                                </w:rPr>
                              </w:pPr>
                              <w:r>
                                <w:rPr>
                                  <w:color w:val="595959" w:themeColor="text1" w:themeTint="A6"/>
                                  <w:sz w:val="28"/>
                                  <w:szCs w:val="28"/>
                                </w:rPr>
                                <w:t>Cassandra Hill</w:t>
                              </w:r>
                            </w:p>
                          </w:sdtContent>
                        </w:sdt>
                        <w:p w14:paraId="09DE6695" w14:textId="53AC7870" w:rsidR="00777C48" w:rsidRDefault="00777C48">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007177FD">
                                <w:rPr>
                                  <w:color w:val="595959" w:themeColor="text1" w:themeTint="A6"/>
                                  <w:sz w:val="18"/>
                                  <w:szCs w:val="18"/>
                                </w:rPr>
                                <w:t>cassandrarhill@gmail.com</w:t>
                              </w:r>
                            </w:sdtContent>
                          </w:sdt>
                        </w:p>
                      </w:txbxContent>
                    </v:textbox>
                    <w10:wrap type="square" anchorx="page" anchory="page"/>
                  </v:shape>
                </w:pict>
              </mc:Fallback>
            </mc:AlternateContent>
          </w:r>
          <w:r w:rsidR="00777C48">
            <w:rPr>
              <w:noProof/>
            </w:rPr>
            <mc:AlternateContent>
              <mc:Choice Requires="wps">
                <w:drawing>
                  <wp:anchor distT="0" distB="0" distL="114300" distR="114300" simplePos="0" relativeHeight="251661312" behindDoc="0" locked="0" layoutInCell="1" allowOverlap="1" wp14:anchorId="012C33F4" wp14:editId="6D2E46E3">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353D13" w14:textId="77777777" w:rsidR="00777C48" w:rsidRDefault="00777C48">
                                <w:pPr>
                                  <w:pStyle w:val="NoSpacing"/>
                                  <w:jc w:val="right"/>
                                  <w:rPr>
                                    <w:color w:val="4472C4" w:themeColor="accent1"/>
                                    <w:sz w:val="28"/>
                                    <w:szCs w:val="28"/>
                                  </w:rPr>
                                </w:pPr>
                                <w:r>
                                  <w:rPr>
                                    <w:color w:val="4472C4" w:themeColor="accent1"/>
                                    <w:sz w:val="28"/>
                                    <w:szCs w:val="28"/>
                                  </w:rPr>
                                  <w:t>Abstract</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Content>
                                  <w:p w14:paraId="3374D320" w14:textId="7A62CD79" w:rsidR="00777C48" w:rsidRDefault="007177FD">
                                    <w:pPr>
                                      <w:pStyle w:val="NoSpacing"/>
                                      <w:jc w:val="right"/>
                                      <w:rPr>
                                        <w:color w:val="595959" w:themeColor="text1" w:themeTint="A6"/>
                                        <w:sz w:val="20"/>
                                        <w:szCs w:val="20"/>
                                      </w:rPr>
                                    </w:pPr>
                                    <w:r>
                                      <w:rPr>
                                        <w:color w:val="595959" w:themeColor="text1" w:themeTint="A6"/>
                                        <w:sz w:val="20"/>
                                        <w:szCs w:val="20"/>
                                      </w:rPr>
                                      <w:t xml:space="preserve">We will learn how normal age-related changes affect nutrition in older adults. Assessment tools appropriate for older adult nutritional needs will be discussed as well as developing holistic modalities to manage their nutritional needs.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012C33F4" id="Text Box 153" o:spid="_x0000_s1028"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tj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5kHx2Nn17beo+He9kMTHL9q0JRrFuId85gSNBKTH29xSGVR&#10;fDtIlGys//k3fcKDvLBS0mLqKhp+bJkXlKivBrSezMoyMyTmX7zgszA7nZ4m4qxHtdnqC4uGTLBe&#10;HM9iAkc1itJb/YjdsEwPwsQMx7MVjaN4Efs1gN3CxXKZQZhJx+K1WTmeXKf+JLY9dI/Mu4GSEWy+&#10;seNosvkrZvbYTB233EbwM9M2lbgv6FB6zHNm87B70sJ4+Z9Rzxty8Qs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BItstjggIA&#10;AGkFAAAOAAAAAAAAAAAAAAAAAC4CAABkcnMvZTJvRG9jLnhtbFBLAQItABQABgAIAAAAIQDGREMM&#10;2wAAAAYBAAAPAAAAAAAAAAAAAAAAANwEAABkcnMvZG93bnJldi54bWxQSwUGAAAAAAQABADzAAAA&#10;5AUAAAAA&#10;" filled="f" stroked="f" strokeweight=".5pt">
                    <v:textbox style="mso-fit-shape-to-text:t" inset="126pt,0,54pt,0">
                      <w:txbxContent>
                        <w:p w14:paraId="36353D13" w14:textId="77777777" w:rsidR="00777C48" w:rsidRDefault="00777C48">
                          <w:pPr>
                            <w:pStyle w:val="NoSpacing"/>
                            <w:jc w:val="right"/>
                            <w:rPr>
                              <w:color w:val="4472C4" w:themeColor="accent1"/>
                              <w:sz w:val="28"/>
                              <w:szCs w:val="28"/>
                            </w:rPr>
                          </w:pPr>
                          <w:r>
                            <w:rPr>
                              <w:color w:val="4472C4" w:themeColor="accent1"/>
                              <w:sz w:val="28"/>
                              <w:szCs w:val="28"/>
                            </w:rPr>
                            <w:t>Abstract</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Content>
                            <w:p w14:paraId="3374D320" w14:textId="7A62CD79" w:rsidR="00777C48" w:rsidRDefault="007177FD">
                              <w:pPr>
                                <w:pStyle w:val="NoSpacing"/>
                                <w:jc w:val="right"/>
                                <w:rPr>
                                  <w:color w:val="595959" w:themeColor="text1" w:themeTint="A6"/>
                                  <w:sz w:val="20"/>
                                  <w:szCs w:val="20"/>
                                </w:rPr>
                              </w:pPr>
                              <w:r>
                                <w:rPr>
                                  <w:color w:val="595959" w:themeColor="text1" w:themeTint="A6"/>
                                  <w:sz w:val="20"/>
                                  <w:szCs w:val="20"/>
                                </w:rPr>
                                <w:t xml:space="preserve">We will learn how normal age-related changes affect nutrition in older adults. Assessment tools appropriate for older adult nutritional needs will be discussed as well as developing holistic modalities to manage their nutritional needs. </w:t>
                              </w:r>
                            </w:p>
                          </w:sdtContent>
                        </w:sdt>
                      </w:txbxContent>
                    </v:textbox>
                    <w10:wrap type="square" anchorx="page" anchory="page"/>
                  </v:shape>
                </w:pict>
              </mc:Fallback>
            </mc:AlternateContent>
          </w:r>
        </w:p>
        <w:p w14:paraId="478AC53C" w14:textId="4211C4F9" w:rsidR="00777C48" w:rsidRDefault="00777C48">
          <w:pPr>
            <w:rPr>
              <w:rFonts w:ascii="Times New Roman" w:hAnsi="Times New Roman" w:cs="Times New Roman"/>
              <w:sz w:val="28"/>
              <w:szCs w:val="28"/>
            </w:rPr>
          </w:pPr>
        </w:p>
      </w:sdtContent>
    </w:sdt>
    <w:p w14:paraId="18ACFEED" w14:textId="77777777" w:rsidR="00135F3E" w:rsidRDefault="00135F3E">
      <w:pPr>
        <w:rPr>
          <w:rFonts w:ascii="Times New Roman" w:hAnsi="Times New Roman" w:cs="Times New Roman"/>
          <w:sz w:val="28"/>
          <w:szCs w:val="28"/>
        </w:rPr>
      </w:pPr>
      <w:r>
        <w:rPr>
          <w:rFonts w:ascii="Times New Roman" w:hAnsi="Times New Roman" w:cs="Times New Roman"/>
          <w:sz w:val="28"/>
          <w:szCs w:val="28"/>
        </w:rPr>
        <w:t>Geriatric Nutrition</w:t>
      </w:r>
    </w:p>
    <w:p w14:paraId="3FBC8BF6" w14:textId="77777777" w:rsidR="00135F3E" w:rsidRDefault="00135F3E">
      <w:pPr>
        <w:rPr>
          <w:rFonts w:ascii="Times New Roman" w:hAnsi="Times New Roman" w:cs="Times New Roman"/>
          <w:sz w:val="28"/>
          <w:szCs w:val="28"/>
        </w:rPr>
      </w:pPr>
    </w:p>
    <w:p w14:paraId="3F52293E" w14:textId="77777777" w:rsidR="00135F3E" w:rsidRDefault="00135F3E">
      <w:pPr>
        <w:rPr>
          <w:rFonts w:ascii="Times New Roman" w:hAnsi="Times New Roman" w:cs="Times New Roman"/>
          <w:sz w:val="28"/>
          <w:szCs w:val="28"/>
        </w:rPr>
      </w:pPr>
      <w:r>
        <w:rPr>
          <w:rFonts w:ascii="Times New Roman" w:hAnsi="Times New Roman" w:cs="Times New Roman"/>
          <w:sz w:val="28"/>
          <w:szCs w:val="28"/>
        </w:rPr>
        <w:lastRenderedPageBreak/>
        <w:t>Main Idea: Common ailments associated with growing old are directly linked to types of food and beverage consumed. Specifically, we will focus on improving cognitive functioning through diet. Exploring various modalities such as essential oils and the acid-alkaline diet.</w:t>
      </w:r>
    </w:p>
    <w:p w14:paraId="4E05174C" w14:textId="3335ECCB" w:rsidR="00135F3E" w:rsidRDefault="00777C48">
      <w:pPr>
        <w:rPr>
          <w:rFonts w:ascii="Times New Roman" w:hAnsi="Times New Roman" w:cs="Times New Roman"/>
          <w:sz w:val="28"/>
          <w:szCs w:val="28"/>
        </w:rPr>
      </w:pPr>
      <w:r>
        <w:rPr>
          <w:rFonts w:ascii="Times New Roman" w:hAnsi="Times New Roman" w:cs="Times New Roman"/>
          <w:sz w:val="28"/>
          <w:szCs w:val="28"/>
        </w:rPr>
        <w:t>Changes associated with normal aging increase nutritional risk for seniors. Aging is symbolized by a weakened organ system. Age related changes related to nutrition include:</w:t>
      </w:r>
    </w:p>
    <w:p w14:paraId="36C9F06D" w14:textId="70DC5238" w:rsidR="00777C48" w:rsidRDefault="00777C48" w:rsidP="00777C48">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Xerostomia declining production of saliva</w:t>
      </w:r>
    </w:p>
    <w:p w14:paraId="4F4B1E10" w14:textId="67408F0F" w:rsidR="00777C48" w:rsidRDefault="00777C48" w:rsidP="00777C48">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There is </w:t>
      </w:r>
      <w:r w:rsidR="005B5C3A">
        <w:rPr>
          <w:rFonts w:ascii="Times New Roman" w:hAnsi="Times New Roman" w:cs="Times New Roman"/>
          <w:sz w:val="28"/>
          <w:szCs w:val="28"/>
        </w:rPr>
        <w:t>an</w:t>
      </w:r>
      <w:r>
        <w:rPr>
          <w:rFonts w:ascii="Times New Roman" w:hAnsi="Times New Roman" w:cs="Times New Roman"/>
          <w:sz w:val="28"/>
          <w:szCs w:val="28"/>
        </w:rPr>
        <w:t xml:space="preserve"> increase in gastric acid secretion which can limit intake of iron and vitamin B12</w:t>
      </w:r>
    </w:p>
    <w:p w14:paraId="32C07151" w14:textId="4F635C7E" w:rsidR="00777C48" w:rsidRDefault="00777C48" w:rsidP="00777C48">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Peristalsis is slower, and constipation can be an issue because fluid intake decreases</w:t>
      </w:r>
    </w:p>
    <w:p w14:paraId="5323F8CE" w14:textId="04F41784" w:rsidR="00777C48" w:rsidRDefault="00777C48" w:rsidP="00777C48">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Sacropenia loss of lean muscle mass usually indicated by loss of strength, functional decline, and endurance</w:t>
      </w:r>
    </w:p>
    <w:p w14:paraId="2336DC5A" w14:textId="3EBE50A9" w:rsidR="00777C48" w:rsidRDefault="00777C48" w:rsidP="00777C48">
      <w:pPr>
        <w:rPr>
          <w:rFonts w:ascii="Times New Roman" w:hAnsi="Times New Roman" w:cs="Times New Roman"/>
          <w:sz w:val="28"/>
          <w:szCs w:val="28"/>
        </w:rPr>
      </w:pPr>
      <w:r>
        <w:rPr>
          <w:rFonts w:ascii="Times New Roman" w:hAnsi="Times New Roman" w:cs="Times New Roman"/>
          <w:sz w:val="28"/>
          <w:szCs w:val="28"/>
        </w:rPr>
        <w:t xml:space="preserve">Two nutritional screening tools appropriate to assess older adults are the mini nutritional assessment and the short nutritional assessment questionnaire. These tools will identify seniors at risk for malnutrition. Since there are 2 out of 4 seniors at risk of becoming malnourished addressing older adult nutritional challenges is of utmost importance. </w:t>
      </w:r>
    </w:p>
    <w:p w14:paraId="262932D2" w14:textId="4AD6C196" w:rsidR="007177FD" w:rsidRDefault="007177FD" w:rsidP="00777C48">
      <w:pPr>
        <w:rPr>
          <w:rFonts w:ascii="Times New Roman" w:hAnsi="Times New Roman" w:cs="Times New Roman"/>
          <w:sz w:val="28"/>
          <w:szCs w:val="28"/>
        </w:rPr>
      </w:pPr>
    </w:p>
    <w:p w14:paraId="2BCD8065" w14:textId="05C3618F" w:rsidR="007177FD" w:rsidRDefault="007177FD" w:rsidP="00777C48">
      <w:pPr>
        <w:rPr>
          <w:rFonts w:ascii="Times New Roman" w:hAnsi="Times New Roman" w:cs="Times New Roman"/>
          <w:sz w:val="28"/>
          <w:szCs w:val="28"/>
        </w:rPr>
      </w:pPr>
    </w:p>
    <w:p w14:paraId="33826DA3" w14:textId="2DB4D305" w:rsidR="007177FD" w:rsidRDefault="007177FD" w:rsidP="00777C48">
      <w:pPr>
        <w:rPr>
          <w:rFonts w:ascii="Times New Roman" w:hAnsi="Times New Roman" w:cs="Times New Roman"/>
          <w:sz w:val="28"/>
          <w:szCs w:val="28"/>
        </w:rPr>
      </w:pPr>
    </w:p>
    <w:p w14:paraId="0D102144" w14:textId="3ED8D4E4" w:rsidR="007177FD" w:rsidRDefault="007177FD" w:rsidP="00777C48">
      <w:pPr>
        <w:rPr>
          <w:rFonts w:ascii="Times New Roman" w:hAnsi="Times New Roman" w:cs="Times New Roman"/>
          <w:sz w:val="28"/>
          <w:szCs w:val="28"/>
        </w:rPr>
      </w:pPr>
    </w:p>
    <w:p w14:paraId="1F6C0898" w14:textId="0E9279ED" w:rsidR="007177FD" w:rsidRDefault="007177FD" w:rsidP="00777C48">
      <w:pPr>
        <w:rPr>
          <w:rFonts w:ascii="Times New Roman" w:hAnsi="Times New Roman" w:cs="Times New Roman"/>
          <w:sz w:val="28"/>
          <w:szCs w:val="28"/>
        </w:rPr>
      </w:pPr>
    </w:p>
    <w:p w14:paraId="245C303F" w14:textId="7FB3AEBC" w:rsidR="007177FD" w:rsidRDefault="007177FD" w:rsidP="00777C48">
      <w:pPr>
        <w:rPr>
          <w:rFonts w:ascii="Times New Roman" w:hAnsi="Times New Roman" w:cs="Times New Roman"/>
          <w:sz w:val="28"/>
          <w:szCs w:val="28"/>
        </w:rPr>
      </w:pPr>
    </w:p>
    <w:p w14:paraId="2B4357F0" w14:textId="51914C8E" w:rsidR="007177FD" w:rsidRDefault="007177FD" w:rsidP="00777C48">
      <w:pPr>
        <w:rPr>
          <w:rFonts w:ascii="Times New Roman" w:hAnsi="Times New Roman" w:cs="Times New Roman"/>
          <w:sz w:val="28"/>
          <w:szCs w:val="28"/>
        </w:rPr>
      </w:pPr>
    </w:p>
    <w:p w14:paraId="4E32D088" w14:textId="0E76CF4B" w:rsidR="007177FD" w:rsidRDefault="007177FD" w:rsidP="00777C48">
      <w:pPr>
        <w:rPr>
          <w:rFonts w:ascii="Times New Roman" w:hAnsi="Times New Roman" w:cs="Times New Roman"/>
          <w:sz w:val="28"/>
          <w:szCs w:val="28"/>
        </w:rPr>
      </w:pPr>
    </w:p>
    <w:p w14:paraId="7EFB3A92" w14:textId="0702FA70" w:rsidR="007177FD" w:rsidRDefault="007177FD" w:rsidP="00777C48">
      <w:pPr>
        <w:rPr>
          <w:rFonts w:ascii="Times New Roman" w:hAnsi="Times New Roman" w:cs="Times New Roman"/>
          <w:sz w:val="28"/>
          <w:szCs w:val="28"/>
        </w:rPr>
      </w:pPr>
    </w:p>
    <w:p w14:paraId="184E56DC" w14:textId="1066E3EE" w:rsidR="007177FD" w:rsidRDefault="007177FD" w:rsidP="00777C48">
      <w:pPr>
        <w:rPr>
          <w:rFonts w:ascii="Times New Roman" w:hAnsi="Times New Roman" w:cs="Times New Roman"/>
          <w:sz w:val="28"/>
          <w:szCs w:val="28"/>
        </w:rPr>
      </w:pPr>
    </w:p>
    <w:p w14:paraId="5642E92B" w14:textId="5FF7E9F1" w:rsidR="007177FD" w:rsidRDefault="007177FD" w:rsidP="00777C48">
      <w:pPr>
        <w:rPr>
          <w:rFonts w:ascii="Times New Roman" w:hAnsi="Times New Roman" w:cs="Times New Roman"/>
          <w:sz w:val="28"/>
          <w:szCs w:val="28"/>
        </w:rPr>
      </w:pPr>
    </w:p>
    <w:p w14:paraId="44D69BCA" w14:textId="2B9E18B2" w:rsidR="007177FD" w:rsidRDefault="005B5C3A" w:rsidP="00777C48">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D5F5457" wp14:editId="008C90DD">
            <wp:extent cx="990600" cy="1238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siness photo 3-3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1500" cy="1239375"/>
                    </a:xfrm>
                    <a:prstGeom prst="rect">
                      <a:avLst/>
                    </a:prstGeom>
                  </pic:spPr>
                </pic:pic>
              </a:graphicData>
            </a:graphic>
          </wp:inline>
        </w:drawing>
      </w:r>
    </w:p>
    <w:p w14:paraId="6B263729" w14:textId="341F04B6" w:rsidR="005B5C3A" w:rsidRDefault="005B5C3A" w:rsidP="00777C48">
      <w:pPr>
        <w:rPr>
          <w:rFonts w:ascii="Times New Roman" w:hAnsi="Times New Roman" w:cs="Times New Roman"/>
          <w:sz w:val="28"/>
          <w:szCs w:val="28"/>
        </w:rPr>
      </w:pPr>
    </w:p>
    <w:p w14:paraId="3B10DC05" w14:textId="003C351C" w:rsidR="005B5C3A" w:rsidRDefault="005B5C3A" w:rsidP="005B5C3A">
      <w:pPr>
        <w:rPr>
          <w:rFonts w:ascii="Times New Roman" w:hAnsi="Times New Roman" w:cs="Times New Roman"/>
          <w:sz w:val="24"/>
          <w:szCs w:val="24"/>
        </w:rPr>
      </w:pPr>
      <w:r>
        <w:rPr>
          <w:rFonts w:ascii="Times New Roman" w:hAnsi="Times New Roman" w:cs="Times New Roman"/>
          <w:sz w:val="24"/>
          <w:szCs w:val="24"/>
        </w:rPr>
        <w:t xml:space="preserve">Cassandra has a passion in enhancing the quality of life of the aging population as well as their caregivers. As an undergraduate student she completed her internship at the Area Agency on Aging. She absolutely enjoyed helping seniors in the community. After much research and </w:t>
      </w:r>
      <w:r>
        <w:rPr>
          <w:rFonts w:ascii="Times New Roman" w:hAnsi="Times New Roman" w:cs="Times New Roman"/>
          <w:sz w:val="24"/>
          <w:szCs w:val="24"/>
        </w:rPr>
        <w:t>study,</w:t>
      </w:r>
      <w:r>
        <w:rPr>
          <w:rFonts w:ascii="Times New Roman" w:hAnsi="Times New Roman" w:cs="Times New Roman"/>
          <w:sz w:val="24"/>
          <w:szCs w:val="24"/>
        </w:rPr>
        <w:t xml:space="preserve"> she learned about gerontology. Cassandra graduated with her Bachelor of Social Work degree in 2004 earning several national recognitions such as National Dean’s List and All American Collegiate Scholar. She immediately started graduate school. She graduated in 2006 with a Master’s degree in Gerontology completing a thesis on “How Does Place of Residence Affect Depression Among Seniors”.</w:t>
      </w:r>
    </w:p>
    <w:p w14:paraId="10D58296" w14:textId="77777777" w:rsidR="005B5C3A" w:rsidRDefault="005B5C3A" w:rsidP="005B5C3A">
      <w:pPr>
        <w:rPr>
          <w:rFonts w:ascii="Times New Roman" w:hAnsi="Times New Roman" w:cs="Times New Roman"/>
          <w:sz w:val="24"/>
          <w:szCs w:val="24"/>
        </w:rPr>
      </w:pPr>
      <w:r>
        <w:rPr>
          <w:rFonts w:ascii="Times New Roman" w:hAnsi="Times New Roman" w:cs="Times New Roman"/>
          <w:sz w:val="24"/>
          <w:szCs w:val="24"/>
        </w:rPr>
        <w:t xml:space="preserve">After graduate school she worked mostly in long term care in management. Throughout her career in long term care she maintained zero deficiencies and was recognized as VIP Woman of the Year in 2010-2011 by the National Association of Professional Women. Her career experience includes hospice, geriatric psychiatry, and long term acute care hospital. </w:t>
      </w:r>
    </w:p>
    <w:p w14:paraId="69FF7501" w14:textId="77777777" w:rsidR="005B5C3A" w:rsidRDefault="005B5C3A" w:rsidP="005B5C3A">
      <w:pPr>
        <w:rPr>
          <w:rFonts w:ascii="Times New Roman" w:hAnsi="Times New Roman" w:cs="Times New Roman"/>
          <w:sz w:val="24"/>
          <w:szCs w:val="24"/>
        </w:rPr>
      </w:pPr>
      <w:r>
        <w:rPr>
          <w:rFonts w:ascii="Times New Roman" w:hAnsi="Times New Roman" w:cs="Times New Roman"/>
          <w:sz w:val="24"/>
          <w:szCs w:val="24"/>
        </w:rPr>
        <w:t>Cassandra is very active volunteering with non-profit organizations. She currently is on the Advisory Committee of the Alzheimer’s Cure Foundation. She is currently serving on the Governor’s Advisory Council on Aging for the state of Arkansas.</w:t>
      </w:r>
    </w:p>
    <w:p w14:paraId="08389044" w14:textId="77777777" w:rsidR="005B5C3A" w:rsidRDefault="005B5C3A" w:rsidP="005B5C3A">
      <w:pPr>
        <w:rPr>
          <w:rFonts w:ascii="Times New Roman" w:hAnsi="Times New Roman" w:cs="Times New Roman"/>
          <w:sz w:val="24"/>
          <w:szCs w:val="24"/>
        </w:rPr>
      </w:pPr>
      <w:r>
        <w:rPr>
          <w:rFonts w:ascii="Times New Roman" w:hAnsi="Times New Roman" w:cs="Times New Roman"/>
          <w:sz w:val="24"/>
          <w:szCs w:val="24"/>
        </w:rPr>
        <w:t xml:space="preserve">Cassandra also owns and operates Holistic Living Consulting LLC, a wellness consulting business, helping individuals on their path to healthy living. The business also develops senior wellness programs for senior living providers. </w:t>
      </w:r>
    </w:p>
    <w:p w14:paraId="7D033F91" w14:textId="77777777" w:rsidR="005B5C3A" w:rsidRPr="003304FB" w:rsidRDefault="005B5C3A" w:rsidP="005B5C3A">
      <w:pPr>
        <w:rPr>
          <w:rFonts w:ascii="Times New Roman" w:hAnsi="Times New Roman" w:cs="Times New Roman"/>
          <w:sz w:val="24"/>
          <w:szCs w:val="24"/>
        </w:rPr>
      </w:pPr>
    </w:p>
    <w:p w14:paraId="25049010" w14:textId="77777777" w:rsidR="005B5C3A" w:rsidRPr="00777C48" w:rsidRDefault="005B5C3A" w:rsidP="00777C48">
      <w:pPr>
        <w:rPr>
          <w:rFonts w:ascii="Times New Roman" w:hAnsi="Times New Roman" w:cs="Times New Roman"/>
          <w:sz w:val="28"/>
          <w:szCs w:val="28"/>
        </w:rPr>
      </w:pPr>
      <w:bookmarkStart w:id="0" w:name="_GoBack"/>
      <w:bookmarkEnd w:id="0"/>
    </w:p>
    <w:sectPr w:rsidR="005B5C3A" w:rsidRPr="00777C48" w:rsidSect="00777C48">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A41C1"/>
    <w:multiLevelType w:val="hybridMultilevel"/>
    <w:tmpl w:val="AC0AA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F3E"/>
    <w:rsid w:val="00135F3E"/>
    <w:rsid w:val="005B5C3A"/>
    <w:rsid w:val="007177FD"/>
    <w:rsid w:val="00777C48"/>
    <w:rsid w:val="00ED7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05822"/>
  <w15:chartTrackingRefBased/>
  <w15:docId w15:val="{C6889D49-B8B2-4A99-B16E-D7D71B4D5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C48"/>
    <w:pPr>
      <w:ind w:left="720"/>
      <w:contextualSpacing/>
    </w:pPr>
  </w:style>
  <w:style w:type="paragraph" w:styleId="NoSpacing">
    <w:name w:val="No Spacing"/>
    <w:link w:val="NoSpacingChar"/>
    <w:uiPriority w:val="1"/>
    <w:qFormat/>
    <w:rsid w:val="00777C48"/>
    <w:pPr>
      <w:spacing w:after="0" w:line="240" w:lineRule="auto"/>
    </w:pPr>
    <w:rPr>
      <w:rFonts w:eastAsiaTheme="minorEastAsia"/>
    </w:rPr>
  </w:style>
  <w:style w:type="character" w:customStyle="1" w:styleId="NoSpacingChar">
    <w:name w:val="No Spacing Char"/>
    <w:basedOn w:val="DefaultParagraphFont"/>
    <w:link w:val="NoSpacing"/>
    <w:uiPriority w:val="1"/>
    <w:rsid w:val="00777C48"/>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We will learn how normal age-related changes affect nutrition in older adults. Assessment tools appropriate for older adult nutritional needs will be discussed as well as developing holistic modalities to manage their nutritional needs. </Abstract>
  <CompanyAddress/>
  <CompanyPhone/>
  <CompanyFax/>
  <CompanyEmail>cassandrarhill@gmail.com</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Assessing nutritional needs of older adults</dc:title>
  <dc:subject/>
  <dc:creator>Cassandra Hill</dc:creator>
  <cp:keywords/>
  <dc:description/>
  <cp:lastModifiedBy>Cassandra Hill</cp:lastModifiedBy>
  <cp:revision>2</cp:revision>
  <dcterms:created xsi:type="dcterms:W3CDTF">2018-05-26T01:10:00Z</dcterms:created>
  <dcterms:modified xsi:type="dcterms:W3CDTF">2018-07-10T13:13:00Z</dcterms:modified>
</cp:coreProperties>
</file>