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744DD6" w:rsidRDefault="00744DD6" w:rsidP="00744DD6">
      <w:pPr>
        <w:pStyle w:val="Heading1"/>
        <w:spacing w:before="0" w:line="240" w:lineRule="auto"/>
        <w:ind w:left="0"/>
        <w:rPr>
          <w:sz w:val="28"/>
          <w:szCs w:val="28"/>
        </w:rPr>
      </w:pPr>
      <w:r w:rsidRPr="00744DD6">
        <w:rPr>
          <w:color w:val="337AB7"/>
          <w:sz w:val="28"/>
          <w:szCs w:val="28"/>
        </w:rPr>
        <w:t>Effectiveness of microelectrode recording with STN-DBS in Parkinson`s Disease (Electrode Implantation)</w:t>
      </w:r>
    </w:p>
    <w:p w:rsidR="0078738A" w:rsidRPr="00744DD6" w:rsidRDefault="0078738A" w:rsidP="005973B9">
      <w:pPr>
        <w:pStyle w:val="BodyText"/>
        <w:spacing w:line="198" w:lineRule="exact"/>
        <w:ind w:left="100" w:right="5987"/>
        <w:rPr>
          <w:rFonts w:ascii="Arial"/>
          <w:sz w:val="17"/>
          <w:szCs w:val="17"/>
        </w:rPr>
      </w:pPr>
      <w:r>
        <w:rPr>
          <w:rFonts w:ascii="Arial"/>
        </w:rPr>
        <w:t xml:space="preserve">Dr </w:t>
      </w:r>
      <w:r w:rsidR="00042983">
        <w:rPr>
          <w:rFonts w:ascii="Arial"/>
        </w:rPr>
        <w:t xml:space="preserve">Venkateshwarla R. Rama Raju, </w:t>
      </w:r>
      <w:r w:rsidR="00744DD6">
        <w:rPr>
          <w:rFonts w:ascii="Arial"/>
        </w:rPr>
        <w:t xml:space="preserve">MD, </w:t>
      </w:r>
      <w:r w:rsidR="005973B9">
        <w:rPr>
          <w:rFonts w:ascii="Arial"/>
        </w:rPr>
        <w:t xml:space="preserve">PhD, </w:t>
      </w:r>
      <w:r w:rsidR="00042983" w:rsidRPr="00744DD6">
        <w:rPr>
          <w:rFonts w:ascii="Arial"/>
          <w:sz w:val="17"/>
          <w:szCs w:val="17"/>
        </w:rPr>
        <w:t>CSRI</w:t>
      </w:r>
      <w:r w:rsidR="005973B9" w:rsidRPr="00744DD6">
        <w:rPr>
          <w:rFonts w:ascii="Arial"/>
          <w:sz w:val="17"/>
          <w:szCs w:val="17"/>
        </w:rPr>
        <w:t xml:space="preserve">, </w:t>
      </w:r>
      <w:r w:rsidR="00042983" w:rsidRPr="00744DD6">
        <w:rPr>
          <w:rFonts w:ascii="Arial"/>
          <w:sz w:val="17"/>
          <w:szCs w:val="17"/>
        </w:rPr>
        <w:t>Dept of Science &amp; Technology, Government of India, New Delhi</w:t>
      </w:r>
      <w:r w:rsidR="005973B9" w:rsidRPr="00744DD6">
        <w:rPr>
          <w:rFonts w:ascii="Arial"/>
          <w:sz w:val="17"/>
          <w:szCs w:val="17"/>
        </w:rPr>
        <w:t xml:space="preserve"> </w:t>
      </w:r>
    </w:p>
    <w:p w:rsidR="005973B9" w:rsidRDefault="0078738A" w:rsidP="005973B9">
      <w:pPr>
        <w:pStyle w:val="BodyText"/>
        <w:spacing w:before="73" w:line="198" w:lineRule="exact"/>
        <w:ind w:left="100" w:right="5987"/>
        <w:rPr>
          <w:rFonts w:ascii="Arial"/>
        </w:rPr>
      </w:pPr>
      <w:r>
        <w:rPr>
          <w:rFonts w:ascii="Arial"/>
        </w:rPr>
        <w:t xml:space="preserve">Dr </w:t>
      </w:r>
      <w:r w:rsidR="00D37E9D">
        <w:rPr>
          <w:rFonts w:ascii="Arial"/>
        </w:rPr>
        <w:t>Rukmini K. Mridula, MD, DM, NIMS Hospital, Hyderabad, India</w:t>
      </w:r>
    </w:p>
    <w:p w:rsidR="00D37E9D" w:rsidRDefault="00D37E9D" w:rsidP="00D37E9D">
      <w:pPr>
        <w:pStyle w:val="BodyText"/>
        <w:spacing w:before="73" w:line="198" w:lineRule="exact"/>
        <w:ind w:left="100" w:right="5987"/>
        <w:rPr>
          <w:rFonts w:ascii="Arial"/>
        </w:rPr>
      </w:pPr>
      <w:r>
        <w:rPr>
          <w:rFonts w:ascii="Arial"/>
        </w:rPr>
        <w:t>Dr Rupam Borgohain, DM, NIMS Hospital,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268C0" w:rsidRPr="00C52549" w:rsidRDefault="00B268C0" w:rsidP="00B268C0">
      <w:pPr>
        <w:pStyle w:val="Text"/>
        <w:spacing w:line="240" w:lineRule="auto"/>
        <w:ind w:firstLine="0"/>
        <w:rPr>
          <w:color w:val="000000" w:themeColor="text1"/>
        </w:rPr>
      </w:pPr>
      <w:r w:rsidRPr="00C52549">
        <w:rPr>
          <w:color w:val="000000" w:themeColor="text1"/>
        </w:rPr>
        <w:t>Parkinson`s disease (PD) is a brain disorder with distinct molecular, functional and structural features</w:t>
      </w:r>
      <w:r w:rsidR="00C52549" w:rsidRPr="00C52549">
        <w:rPr>
          <w:color w:val="000000" w:themeColor="text1"/>
        </w:rPr>
        <w:t xml:space="preserve"> </w:t>
      </w:r>
      <w:r w:rsidR="00C52549">
        <w:rPr>
          <w:color w:val="000000" w:themeColor="text1"/>
        </w:rPr>
        <w:t>causing</w:t>
      </w:r>
      <w:r w:rsidRPr="00C52549">
        <w:rPr>
          <w:rStyle w:val="apple-style-span"/>
          <w:color w:val="000000" w:themeColor="text1"/>
        </w:rPr>
        <w:t xml:space="preserve"> tremors, particularly in the elderly–matured, which is</w:t>
      </w:r>
      <w:r w:rsidRPr="00C52549">
        <w:rPr>
          <w:color w:val="000000" w:themeColor="text1"/>
        </w:rPr>
        <w:t>, differentiated by the convolution of cardinal motoric-symptoms: tremor, Bradykinesia</w:t>
      </w:r>
      <w:r w:rsidR="00C52549">
        <w:rPr>
          <w:color w:val="000000" w:themeColor="text1"/>
        </w:rPr>
        <w:t xml:space="preserve">/akinesia, </w:t>
      </w:r>
      <w:r w:rsidRPr="00C52549">
        <w:rPr>
          <w:color w:val="000000" w:themeColor="text1"/>
        </w:rPr>
        <w:t xml:space="preserve">rigidity and postural instability. Though clinical-diagnosis and benefits of deep-brain-stimulation(DBS) in subthalamic-nuclei(STN) have been established, albeit, how its mechanisms augment motoric-symptoms principally reducing-tremors and motor-fluctuations and restoring and/or increasing motor-functioning have not been fully elucidated. Also its objective-methods for quantifying—efficacy are scanty. We present a Principal-component(PC) based tracking method to quantify the efficacy of DBS predict UPDRS score objectively. 12 PD patients are included in this study. Our hypothesis is that whether DBS and innocuous microelectrodes saves STN neurons and restores motor function. In our long study, high frequency stimulation in PD brain did not </w:t>
      </w:r>
      <w:r w:rsidR="00C52549">
        <w:rPr>
          <w:color w:val="000000" w:themeColor="text1"/>
        </w:rPr>
        <w:t>alter</w:t>
      </w:r>
      <w:r w:rsidRPr="00C52549">
        <w:rPr>
          <w:color w:val="000000" w:themeColor="text1"/>
        </w:rPr>
        <w:t xml:space="preserve"> STN neurons. Further, it is risk-free to stimulate-STN much-prior than it was accepted far so. Intraoperative microelectrode-recording (MER)</w:t>
      </w:r>
      <w:r w:rsidR="00E202D9">
        <w:rPr>
          <w:color w:val="000000" w:themeColor="text1"/>
        </w:rPr>
        <w:t xml:space="preserve"> Figure</w:t>
      </w:r>
      <w:r w:rsidRPr="00C52549">
        <w:rPr>
          <w:color w:val="000000" w:themeColor="text1"/>
        </w:rPr>
        <w:t xml:space="preserve"> for targeting during deep brain stimulation (DBS) procedures has been evaluated in 46 successive patients with advanced idiopathic Parkinson</w:t>
      </w:r>
      <w:r w:rsidRPr="00C52549">
        <w:rPr>
          <w:rFonts w:ascii="Arial" w:hAnsi="Arial" w:cs="Arial"/>
          <w:color w:val="000000" w:themeColor="text1"/>
        </w:rPr>
        <w:t>’</w:t>
      </w:r>
      <w:r w:rsidRPr="00C52549">
        <w:rPr>
          <w:color w:val="000000" w:themeColor="text1"/>
        </w:rPr>
        <w:t xml:space="preserve">s disease, who received DBS in the STN neurons. We extracted—extrapolated MER signals of STN features with PCs for computing the effects of DBS in PD.  The signal parameters were transformed in to a lower-dimensional-feature space. In our computation we obtained 75% variation in scatter-plot. We find that MER gives proof of correct-positioning of microelectrode, ensures accurate-detection of STN confines and establishes its exact coordinates in a more objective way. MER boosts safety, accuracy and efficacy of DBS-electrode implementation. Thus, MER confirms presence of abnormal STN neurons. Certainly tranquil MER can confirm clear position of electrodes and strengthen the confidence of the neurosurgeons that they are in the right-target. Availability of MER results in a vast data vis-à-vis functioning on neurons positioned-deep in the brain may further help in untying arcane—esoteric of brain. </w:t>
      </w:r>
    </w:p>
    <w:p w:rsidR="00AE3E37" w:rsidRDefault="00A9710C">
      <w:pPr>
        <w:pStyle w:val="Heading3"/>
        <w:spacing w:before="74"/>
      </w:pPr>
      <w:r>
        <w:rPr>
          <w:b w:val="0"/>
        </w:rPr>
        <w:br w:type="column"/>
      </w:r>
      <w:r>
        <w:rPr>
          <w:color w:val="BF5A14"/>
        </w:rPr>
        <w:lastRenderedPageBreak/>
        <w:t>Image</w:t>
      </w:r>
    </w:p>
    <w:p w:rsidR="00AE3E37" w:rsidRDefault="002006E0" w:rsidP="002006E0">
      <w:pPr>
        <w:pStyle w:val="BodyText"/>
        <w:spacing w:before="2"/>
        <w:jc w:val="center"/>
        <w:rPr>
          <w:rFonts w:ascii="Arial"/>
          <w:b/>
          <w:sz w:val="16"/>
        </w:rPr>
      </w:pPr>
      <w:r w:rsidRPr="002006E0">
        <w:rPr>
          <w:noProof/>
        </w:rPr>
        <w:drawing>
          <wp:inline distT="0" distB="0" distL="0" distR="0">
            <wp:extent cx="3228898" cy="2179929"/>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232080" cy="2182077"/>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5D59CD" w:rsidRDefault="00C73CAF" w:rsidP="005D59CD">
      <w:pPr>
        <w:pStyle w:val="ListParagraph"/>
        <w:numPr>
          <w:ilvl w:val="0"/>
          <w:numId w:val="4"/>
        </w:numPr>
        <w:tabs>
          <w:tab w:val="left" w:pos="384"/>
        </w:tabs>
        <w:spacing w:before="0" w:line="240" w:lineRule="auto"/>
        <w:ind w:right="117"/>
        <w:rPr>
          <w:sz w:val="16"/>
          <w:szCs w:val="16"/>
        </w:rPr>
      </w:pPr>
      <w:r w:rsidRPr="005D59CD">
        <w:rPr>
          <w:rFonts w:ascii="Times New Roman" w:hAnsi="Times New Roman" w:cs="Times New Roman"/>
          <w:sz w:val="16"/>
          <w:szCs w:val="16"/>
        </w:rPr>
        <w:t xml:space="preserve">V. Rama Raju, Rukmini Kandadai Mridula &amp; Rupam Borgohain (2019): Effect of Microelectrode Recording in Accurate Targeting STN with High Frequency DBS in Parkinson Disease, </w:t>
      </w:r>
      <w:r w:rsidRPr="005D59CD">
        <w:rPr>
          <w:rFonts w:ascii="Times New Roman" w:eastAsia="Times New Roman" w:hAnsi="Times New Roman" w:cs="Times New Roman"/>
          <w:b/>
          <w:color w:val="0000FF"/>
          <w:sz w:val="16"/>
          <w:szCs w:val="16"/>
          <w:shd w:val="clear" w:color="auto" w:fill="EEEEEE"/>
        </w:rPr>
        <w:t xml:space="preserve"> Taylor &amp; Francis</w:t>
      </w:r>
      <w:r w:rsidRPr="005D59CD">
        <w:rPr>
          <w:rFonts w:ascii="Times New Roman" w:eastAsia="Times New Roman" w:hAnsi="Times New Roman" w:cs="Times New Roman"/>
          <w:i/>
          <w:color w:val="0000FF"/>
          <w:sz w:val="16"/>
          <w:szCs w:val="16"/>
          <w:shd w:val="clear" w:color="auto" w:fill="EEEEEE"/>
        </w:rPr>
        <w:t xml:space="preserve"> </w:t>
      </w:r>
      <w:r w:rsidRPr="005D59CD">
        <w:rPr>
          <w:rFonts w:ascii="Times New Roman" w:eastAsia="Times New Roman" w:hAnsi="Times New Roman" w:cs="Times New Roman"/>
          <w:b/>
          <w:i/>
          <w:color w:val="0000FF"/>
          <w:sz w:val="16"/>
          <w:szCs w:val="16"/>
          <w:shd w:val="clear" w:color="auto" w:fill="EEEEEE"/>
        </w:rPr>
        <w:t>IETE Journal of Research</w:t>
      </w:r>
      <w:r w:rsidRPr="005D59CD">
        <w:rPr>
          <w:rFonts w:ascii="Times New Roman" w:hAnsi="Times New Roman" w:cs="Times New Roman"/>
          <w:sz w:val="16"/>
          <w:szCs w:val="16"/>
        </w:rPr>
        <w:t xml:space="preserve"> ETE Journal of Research, DOI: 10.1080/03772063. 2019.1592715, March 2019. Published online: 26 Mar 2019.</w:t>
      </w:r>
    </w:p>
    <w:p w:rsidR="00C73CAF" w:rsidRPr="005D59CD" w:rsidRDefault="00C73CAF" w:rsidP="005D59CD">
      <w:pPr>
        <w:pStyle w:val="ListParagraph"/>
        <w:numPr>
          <w:ilvl w:val="0"/>
          <w:numId w:val="4"/>
        </w:numPr>
        <w:spacing w:before="0" w:line="240" w:lineRule="auto"/>
        <w:ind w:right="-540"/>
        <w:rPr>
          <w:rFonts w:ascii="Times New Roman" w:hAnsi="Times New Roman" w:cs="Times New Roman"/>
          <w:color w:val="000000" w:themeColor="text1"/>
          <w:sz w:val="16"/>
          <w:szCs w:val="16"/>
        </w:rPr>
      </w:pPr>
      <w:r w:rsidRPr="005D59CD">
        <w:rPr>
          <w:rFonts w:ascii="Times New Roman" w:hAnsi="Times New Roman" w:cs="Times New Roman"/>
          <w:color w:val="000000" w:themeColor="text1"/>
          <w:sz w:val="16"/>
          <w:szCs w:val="16"/>
        </w:rPr>
        <w:t>V. Rama Raju, R. Borgohain and R. K. Mridula, “</w:t>
      </w:r>
      <w:hyperlink r:id="rId10" w:tgtFrame="_Blank" w:history="1">
        <w:r w:rsidRPr="005D59CD">
          <w:rPr>
            <w:rStyle w:val="Hyperlink"/>
            <w:rFonts w:ascii="Times New Roman" w:hAnsi="Times New Roman" w:cs="Times New Roman"/>
            <w:color w:val="000000" w:themeColor="text1"/>
            <w:sz w:val="16"/>
            <w:szCs w:val="16"/>
          </w:rPr>
          <w:t xml:space="preserve">A Clinico-Statistical Analysis of Writer`s Cramp Signals: Study with Indigenously Developed Multi-Channel Intramuscular EMG”, </w:t>
        </w:r>
      </w:hyperlink>
      <w:r w:rsidRPr="005D59CD">
        <w:rPr>
          <w:rFonts w:ascii="Times New Roman" w:hAnsi="Times New Roman" w:cs="Times New Roman"/>
          <w:i/>
          <w:color w:val="0000FF"/>
          <w:sz w:val="16"/>
          <w:szCs w:val="16"/>
        </w:rPr>
        <w:t>Acta Scientific Neurology</w:t>
      </w:r>
      <w:r w:rsidRPr="005D59CD">
        <w:rPr>
          <w:rFonts w:ascii="Times New Roman" w:hAnsi="Times New Roman" w:cs="Times New Roman"/>
          <w:color w:val="000000" w:themeColor="text1"/>
          <w:sz w:val="16"/>
          <w:szCs w:val="16"/>
        </w:rPr>
        <w:t xml:space="preserve">, </w:t>
      </w:r>
      <w:r w:rsidRPr="005D59CD">
        <w:rPr>
          <w:rFonts w:ascii="Times New Roman" w:hAnsi="Times New Roman" w:cs="Times New Roman"/>
          <w:color w:val="0000FF"/>
          <w:sz w:val="16"/>
          <w:szCs w:val="16"/>
        </w:rPr>
        <w:t>Volume 2 Issue 2: 10-15, January 29, 2019. https://www.actascientific.com/ASNE-2-2.php</w:t>
      </w:r>
    </w:p>
    <w:p w:rsidR="00744DD6" w:rsidRPr="005D59CD" w:rsidRDefault="00744DD6" w:rsidP="005D59CD">
      <w:pPr>
        <w:pStyle w:val="ListParagraph"/>
        <w:numPr>
          <w:ilvl w:val="0"/>
          <w:numId w:val="4"/>
        </w:numPr>
        <w:spacing w:before="0" w:line="240" w:lineRule="auto"/>
        <w:rPr>
          <w:rFonts w:ascii="Times New Roman" w:hAnsi="Times New Roman" w:cs="Times New Roman"/>
          <w:sz w:val="16"/>
          <w:szCs w:val="16"/>
        </w:rPr>
      </w:pPr>
      <w:r w:rsidRPr="005D59CD">
        <w:rPr>
          <w:rFonts w:ascii="Times New Roman" w:eastAsia="Times New Roman" w:hAnsi="Times New Roman" w:cs="Times New Roman"/>
          <w:color w:val="000000"/>
          <w:sz w:val="16"/>
          <w:szCs w:val="16"/>
          <w:shd w:val="clear" w:color="auto" w:fill="EEEEEE"/>
        </w:rPr>
        <w:t xml:space="preserve">V. Rama Raju, </w:t>
      </w:r>
      <w:r w:rsidRPr="005D59CD">
        <w:rPr>
          <w:rFonts w:ascii="Times New Roman" w:hAnsi="Times New Roman" w:cs="Times New Roman"/>
          <w:color w:val="000000" w:themeColor="text1"/>
          <w:sz w:val="16"/>
          <w:szCs w:val="16"/>
        </w:rPr>
        <w:t xml:space="preserve">Design Latent variate factorial PC and cluster analysis of multichannel multisited EMG writer`s cramp signals (based on means and variances), </w:t>
      </w:r>
      <w:r w:rsidRPr="005D59CD">
        <w:rPr>
          <w:rFonts w:ascii="Times New Roman" w:hAnsi="Times New Roman" w:cs="Times New Roman"/>
          <w:i/>
          <w:color w:val="0000FF"/>
          <w:sz w:val="16"/>
          <w:szCs w:val="16"/>
        </w:rPr>
        <w:t>IFMBE Proceedings</w:t>
      </w:r>
      <w:r w:rsidRPr="005D59CD">
        <w:rPr>
          <w:rFonts w:ascii="Times New Roman" w:hAnsi="Times New Roman" w:cs="Times New Roman"/>
          <w:sz w:val="16"/>
          <w:szCs w:val="16"/>
        </w:rPr>
        <w:t xml:space="preserve">, </w:t>
      </w:r>
      <w:r w:rsidRPr="005D59CD">
        <w:rPr>
          <w:rFonts w:ascii="Times New Roman" w:hAnsi="Times New Roman" w:cs="Times New Roman"/>
          <w:i/>
          <w:color w:val="0000FF"/>
          <w:sz w:val="16"/>
          <w:szCs w:val="16"/>
        </w:rPr>
        <w:t>Springer Nature</w:t>
      </w:r>
      <w:r w:rsidRPr="005D59CD">
        <w:rPr>
          <w:rFonts w:ascii="Times New Roman" w:hAnsi="Times New Roman" w:cs="Times New Roman"/>
          <w:sz w:val="16"/>
          <w:szCs w:val="16"/>
        </w:rPr>
        <w:t xml:space="preserve">, </w:t>
      </w:r>
      <w:r w:rsidRPr="005D59CD">
        <w:rPr>
          <w:rFonts w:ascii="Times New Roman" w:hAnsi="Times New Roman" w:cs="Times New Roman"/>
          <w:color w:val="0000FF"/>
          <w:sz w:val="16"/>
          <w:szCs w:val="16"/>
        </w:rPr>
        <w:t>Vol. 68/2, Pages: 195-199, 2019</w:t>
      </w:r>
      <w:r w:rsidRPr="005D59CD">
        <w:rPr>
          <w:rFonts w:ascii="Times New Roman" w:hAnsi="Times New Roman" w:cs="Times New Roman"/>
          <w:sz w:val="16"/>
          <w:szCs w:val="16"/>
        </w:rPr>
        <w:t>.</w:t>
      </w:r>
    </w:p>
    <w:p w:rsidR="00C73CAF" w:rsidRPr="005D59CD" w:rsidRDefault="00744DD6" w:rsidP="005D59CD">
      <w:pPr>
        <w:pStyle w:val="ListParagraph"/>
        <w:numPr>
          <w:ilvl w:val="0"/>
          <w:numId w:val="4"/>
        </w:numPr>
        <w:tabs>
          <w:tab w:val="left" w:pos="384"/>
        </w:tabs>
        <w:spacing w:before="0" w:line="240" w:lineRule="auto"/>
        <w:ind w:right="117"/>
        <w:rPr>
          <w:sz w:val="16"/>
          <w:szCs w:val="16"/>
        </w:rPr>
      </w:pPr>
      <w:r w:rsidRPr="005D59CD">
        <w:rPr>
          <w:rFonts w:ascii="Times New Roman" w:eastAsia="Times New Roman" w:hAnsi="Times New Roman" w:cs="Times New Roman"/>
          <w:color w:val="000000"/>
          <w:sz w:val="16"/>
          <w:szCs w:val="16"/>
          <w:shd w:val="clear" w:color="auto" w:fill="EEEEEE"/>
        </w:rPr>
        <w:t xml:space="preserve">V. Rama Raju, </w:t>
      </w:r>
      <w:r w:rsidRPr="005D59CD">
        <w:rPr>
          <w:rFonts w:ascii="Times New Roman" w:hAnsi="Times New Roman" w:cs="Times New Roman"/>
          <w:color w:val="000000" w:themeColor="text1"/>
          <w:sz w:val="16"/>
          <w:szCs w:val="16"/>
        </w:rPr>
        <w:t xml:space="preserve">Principal Component Latent Variate Factorial Analysis of MER Signals of STN-DBS in Parkinson`s Disease (Electrode Implantation), </w:t>
      </w:r>
      <w:r w:rsidRPr="005D59CD">
        <w:rPr>
          <w:rFonts w:ascii="Times New Roman" w:hAnsi="Times New Roman" w:cs="Times New Roman"/>
          <w:i/>
          <w:color w:val="0000FF"/>
          <w:sz w:val="16"/>
          <w:szCs w:val="16"/>
        </w:rPr>
        <w:t>IFMBE Proceedings</w:t>
      </w:r>
      <w:r w:rsidRPr="005D59CD">
        <w:rPr>
          <w:rFonts w:ascii="Times New Roman" w:hAnsi="Times New Roman" w:cs="Times New Roman"/>
          <w:color w:val="0000FF"/>
          <w:sz w:val="16"/>
          <w:szCs w:val="16"/>
        </w:rPr>
        <w:t xml:space="preserve">, </w:t>
      </w:r>
      <w:r w:rsidRPr="005D59CD">
        <w:rPr>
          <w:rFonts w:ascii="Times New Roman" w:hAnsi="Times New Roman" w:cs="Times New Roman"/>
          <w:i/>
          <w:color w:val="0000FF"/>
          <w:sz w:val="16"/>
          <w:szCs w:val="16"/>
        </w:rPr>
        <w:t>Springer Nature</w:t>
      </w:r>
      <w:r w:rsidRPr="005D59CD">
        <w:rPr>
          <w:rFonts w:ascii="Times New Roman" w:hAnsi="Times New Roman" w:cs="Times New Roman"/>
          <w:color w:val="0000FF"/>
          <w:sz w:val="16"/>
          <w:szCs w:val="16"/>
        </w:rPr>
        <w:t>, Vol. 68/2, Pages: 189-193, 2019</w:t>
      </w:r>
      <w:r w:rsidRPr="005D59CD">
        <w:rPr>
          <w:rFonts w:ascii="Times New Roman" w:hAnsi="Times New Roman" w:cs="Times New Roman"/>
          <w:sz w:val="16"/>
          <w:szCs w:val="16"/>
        </w:rPr>
        <w:t>.</w:t>
      </w:r>
    </w:p>
    <w:p w:rsidR="00744DD6" w:rsidRPr="005D59CD" w:rsidRDefault="005D59CD" w:rsidP="005D59CD">
      <w:pPr>
        <w:pStyle w:val="ListParagraph"/>
        <w:numPr>
          <w:ilvl w:val="0"/>
          <w:numId w:val="4"/>
        </w:numPr>
        <w:spacing w:before="0" w:line="240" w:lineRule="auto"/>
        <w:ind w:right="-540"/>
        <w:rPr>
          <w:rFonts w:ascii="Times New Roman" w:hAnsi="Times New Roman" w:cs="Times New Roman"/>
          <w:b/>
          <w:sz w:val="16"/>
          <w:szCs w:val="16"/>
        </w:rPr>
      </w:pPr>
      <w:r w:rsidRPr="005D59CD">
        <w:rPr>
          <w:rFonts w:ascii="Times New Roman" w:hAnsi="Times New Roman" w:cs="Times New Roman"/>
          <w:color w:val="000000"/>
          <w:sz w:val="16"/>
          <w:szCs w:val="16"/>
          <w:shd w:val="clear" w:color="auto" w:fill="EEEEEE"/>
        </w:rPr>
        <w:t>V.</w:t>
      </w:r>
      <w:r w:rsidR="00744DD6" w:rsidRPr="005D59CD">
        <w:rPr>
          <w:rFonts w:ascii="Times New Roman" w:hAnsi="Times New Roman" w:cs="Times New Roman"/>
          <w:color w:val="000000"/>
          <w:sz w:val="16"/>
          <w:szCs w:val="16"/>
          <w:shd w:val="clear" w:color="auto" w:fill="EEEEEE"/>
        </w:rPr>
        <w:t xml:space="preserve"> Rama Raju, R.K. Mridula, R. Borgohain, V. Rama Raju. Objective methods for quantifying the deep brain stimulation (DBS) efficacy in subthalamic-nuclei (STN) neurons with microelectrode recording (MER) technology [abstract].</w:t>
      </w:r>
      <w:r w:rsidR="00744DD6" w:rsidRPr="005D59CD">
        <w:rPr>
          <w:rStyle w:val="apple-converted-space"/>
          <w:rFonts w:ascii="Times New Roman" w:hAnsi="Times New Roman" w:cs="Times New Roman"/>
          <w:color w:val="000000"/>
          <w:sz w:val="16"/>
          <w:szCs w:val="16"/>
          <w:shd w:val="clear" w:color="auto" w:fill="EEEEEE"/>
        </w:rPr>
        <w:t> </w:t>
      </w:r>
      <w:r w:rsidR="00744DD6" w:rsidRPr="005D59CD">
        <w:rPr>
          <w:rStyle w:val="Emphasis"/>
          <w:rFonts w:ascii="Times New Roman" w:hAnsi="Times New Roman" w:cs="Times New Roman"/>
          <w:b/>
          <w:color w:val="000000"/>
          <w:sz w:val="16"/>
          <w:szCs w:val="16"/>
        </w:rPr>
        <w:t>Mov Disord</w:t>
      </w:r>
      <w:r w:rsidR="00744DD6" w:rsidRPr="005D59CD">
        <w:rPr>
          <w:rStyle w:val="Emphasis"/>
          <w:rFonts w:ascii="Times New Roman" w:hAnsi="Times New Roman" w:cs="Times New Roman"/>
          <w:color w:val="000000"/>
          <w:sz w:val="16"/>
          <w:szCs w:val="16"/>
        </w:rPr>
        <w:t>.</w:t>
      </w:r>
      <w:r w:rsidR="00744DD6" w:rsidRPr="005D59CD">
        <w:rPr>
          <w:rStyle w:val="apple-converted-space"/>
          <w:rFonts w:ascii="Times New Roman" w:hAnsi="Times New Roman" w:cs="Times New Roman"/>
          <w:color w:val="000000"/>
          <w:sz w:val="16"/>
          <w:szCs w:val="16"/>
          <w:shd w:val="clear" w:color="auto" w:fill="EEEEEE"/>
        </w:rPr>
        <w:t> </w:t>
      </w:r>
      <w:r w:rsidR="00744DD6" w:rsidRPr="005D59CD">
        <w:rPr>
          <w:rFonts w:ascii="Times New Roman" w:hAnsi="Times New Roman" w:cs="Times New Roman"/>
          <w:color w:val="000000"/>
          <w:sz w:val="16"/>
          <w:szCs w:val="16"/>
          <w:shd w:val="clear" w:color="auto" w:fill="EEEEEE"/>
        </w:rPr>
        <w:t>2016;31(suppl</w:t>
      </w:r>
      <w:r w:rsidRPr="005D59CD">
        <w:rPr>
          <w:rFonts w:ascii="Times New Roman" w:hAnsi="Times New Roman" w:cs="Times New Roman"/>
          <w:color w:val="000000"/>
          <w:sz w:val="16"/>
          <w:szCs w:val="16"/>
          <w:shd w:val="clear" w:color="auto" w:fill="EEEEEE"/>
        </w:rPr>
        <w:t>2).</w:t>
      </w:r>
      <w:r w:rsidR="00744DD6" w:rsidRPr="005D59CD">
        <w:rPr>
          <w:rFonts w:ascii="Times New Roman" w:hAnsi="Times New Roman" w:cs="Times New Roman"/>
          <w:color w:val="000000"/>
          <w:sz w:val="16"/>
          <w:szCs w:val="16"/>
          <w:shd w:val="clear" w:color="auto" w:fill="EEEEEE"/>
        </w:rPr>
        <w:t xml:space="preserve">http://www.mdsabstracts.org/abstract/objective-methods-for-quantifying-the-deep-brain-stimulation-dbs-efficacy-in-subthalamic-nuclei-stn-neurons-with-microelectrode-recording-mer-technology/.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9D23B1">
      <w:pPr>
        <w:pStyle w:val="BodyText"/>
        <w:spacing w:line="40" w:lineRule="exact"/>
        <w:ind w:left="2202"/>
        <w:rPr>
          <w:rFonts w:ascii="Calibri"/>
          <w:sz w:val="4"/>
        </w:rPr>
      </w:pPr>
      <w:r w:rsidRPr="009D23B1">
        <w:rPr>
          <w:rFonts w:ascii="Calibri"/>
          <w:noProof/>
          <w:sz w:val="4"/>
          <w:lang w:val="en-IN" w:eastAsia="en-IN"/>
        </w:rPr>
      </w:r>
      <w:r w:rsidRPr="009D23B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2006E0">
        <w:rPr>
          <w:noProof/>
        </w:rPr>
        <w:drawing>
          <wp:inline distT="0" distB="0" distL="0" distR="0">
            <wp:extent cx="535610" cy="628326"/>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537439" cy="630471"/>
                    </a:xfrm>
                    <a:prstGeom prst="rect">
                      <a:avLst/>
                    </a:prstGeom>
                    <a:noFill/>
                    <a:ln w="9525">
                      <a:noFill/>
                      <a:miter lim="800000"/>
                      <a:headEnd/>
                      <a:tailEnd/>
                    </a:ln>
                  </pic:spPr>
                </pic:pic>
              </a:graphicData>
            </a:graphic>
          </wp:inline>
        </w:drawing>
      </w:r>
      <w:r w:rsidR="002006E0">
        <w:rPr>
          <w:noProof/>
        </w:rPr>
        <w:t xml:space="preserve"> </w:t>
      </w:r>
      <w:r w:rsidR="00A9710C">
        <w:rPr>
          <w:rFonts w:ascii="Arial"/>
          <w:color w:val="BF5A14"/>
        </w:rPr>
        <w:t>Biography</w:t>
      </w:r>
      <w:r w:rsidR="00404E5B">
        <w:rPr>
          <w:rFonts w:ascii="Arial"/>
          <w:color w:val="BF5A14"/>
        </w:rPr>
        <w:t xml:space="preserve"> (150 word limit)</w:t>
      </w:r>
    </w:p>
    <w:p w:rsidR="00AE3E37" w:rsidRPr="000E5B24" w:rsidRDefault="005D59CD">
      <w:pPr>
        <w:spacing w:before="41" w:line="154" w:lineRule="exact"/>
        <w:ind w:left="213" w:right="231"/>
        <w:jc w:val="both"/>
        <w:rPr>
          <w:rFonts w:ascii="Times New Roman" w:hAnsi="Times New Roman" w:cs="Times New Roman"/>
          <w:color w:val="000000" w:themeColor="text1"/>
          <w:sz w:val="20"/>
          <w:szCs w:val="20"/>
        </w:rPr>
      </w:pPr>
      <w:r w:rsidRPr="000E5B24">
        <w:rPr>
          <w:rFonts w:ascii="Times New Roman" w:hAnsi="Times New Roman" w:cs="Times New Roman"/>
          <w:color w:val="000000" w:themeColor="text1"/>
          <w:sz w:val="20"/>
          <w:szCs w:val="20"/>
        </w:rPr>
        <w:t xml:space="preserve">Dr. Venkateshwararao R Rama Raju is one of the distinguished pioneers of the field of biomedical neural eng and neurology He is recognized for his contribution significantly to the neuro-muscular-rehabilitation engineering and shaping the discipline. He has written many peer reviewed papers and served as keynote speaker at several conferences and chaired in many international world congresses. In parallel, he has authored more than 200 archival publications and, is a Peer reviewer of IEEE Transactions on Biomedical Engineering (IEEE-tBME). Dr. Raju’s outstanding accomplishments in different fields of engineering and medicine (transdiscipline) are numerous in finicky IEEE Engineering in Medicine and Biology and applications to Parkinson`s disease (PD), Writer`s and Musician`s cramp (other movement disorders). For his excellent work on Nerve and Muscle Signals and their application in neurological disorders at NIMS (autonomous) meticulously to PD as well as disabilities of dexterous movement, such as writing he was awarded a PhD through MD (Neurology). These muscle signals are </w:t>
      </w:r>
      <w:r w:rsidRPr="000E5B24">
        <w:rPr>
          <w:rFonts w:ascii="Times New Roman" w:hAnsi="Times New Roman" w:cs="Times New Roman"/>
          <w:color w:val="000000" w:themeColor="text1"/>
          <w:sz w:val="20"/>
          <w:szCs w:val="20"/>
        </w:rPr>
        <w:lastRenderedPageBreak/>
        <w:t>fully utilized in prosthetics.   (common interest in the methods of signal analysis and their clinical applications). He has excelled in three major areas in scrupulous: analyzing and monitoring nerve and brain injury and muscle damages using statistical signal processing methods and machine/deep learning techniques; developing vital technology for neural interfaces; leading the indigenously developed neural recording systems (electromyography-EMG and microelectrode recording (MER) with deep brain stimulator) capable of dexterous manipulation and identifying the cardinal motoric features/symptoms of PD for reducing the tremors and increasing the motor circuit functioning and dexterous manipulation. These directions are naturally complimentary. Dr. Raju’s work in analyzing and monitoring nerve and brain injury resulting from basal-ganglia (BG) motor circuit dysfunctional which is implicated in movement and motor control, particularly, because defects there were associated with frailty or infirmity such as Parkinson`s disease (PD) and Dystonia Writer`s Cramp (DWC) in which motor disturbances feature predominantly. However, little was known about how exactly the BG contributes to movement and motor control. To find out, Dr Raju implanted micro-neuro-sensors (microelectrodes) into the flexor aspect of forearm muscles - DWC, and PD brain in fastidious subthalamic-nucleus (STN) and globus pallidal neurons.</w:t>
      </w:r>
    </w:p>
    <w:p w:rsidR="000E5B24" w:rsidRPr="000E5B24" w:rsidRDefault="000E5B24">
      <w:pPr>
        <w:spacing w:before="41" w:line="154" w:lineRule="exact"/>
        <w:ind w:left="213" w:right="231"/>
        <w:jc w:val="both"/>
        <w:rPr>
          <w:rFonts w:ascii="Times New Roman" w:hAnsi="Times New Roman" w:cs="Times New Roman"/>
          <w:sz w:val="14"/>
        </w:rPr>
      </w:pPr>
      <w:r w:rsidRPr="000E5B24">
        <w:rPr>
          <w:rFonts w:ascii="Times New Roman" w:hAnsi="Times New Roman" w:cs="Times New Roman"/>
          <w:color w:val="000000" w:themeColor="text1"/>
          <w:sz w:val="20"/>
          <w:szCs w:val="20"/>
        </w:rPr>
        <w:t>The third frontier that Dr. Raju is spear heading is microelectrode neural recording of subthalamic-nucleus neurons stimulations with deep brain stimulator (MER with STN-DBS) after the microchip (microelectrode) implantation in PD subjects. Presently, he is recording the flexor aspect of EMG fore arm nerve and muscles, STN and Pallidal neurons of PD with Magnetic Resonance Imaging (MRI) and MER machines at NIMS hospital Hyderabad and to further detection of cardinal motoric-features (tremor, Bradykinesia, rigidity and postural instability) and non-motoric features (cognitive impairment – CI, cognitive dementia – CD, memory, action and cognition, and axial features (slurred speech, insomnia, hallucinations, etc) and analyzing the STN signals using SSP and decoding to interpret MER signals and features and feature associations in neural prosthetics capable of dexterous manipulation.</w:t>
      </w:r>
    </w:p>
    <w:p w:rsidR="00AE3E37" w:rsidRDefault="00A9710C" w:rsidP="00110CD0">
      <w:pPr>
        <w:spacing w:before="62"/>
        <w:ind w:left="3600" w:right="4235"/>
        <w:rPr>
          <w:rFonts w:ascii="Arial"/>
          <w:sz w:val="14"/>
        </w:rPr>
      </w:pPr>
      <w:r>
        <w:rPr>
          <w:rFonts w:ascii="Arial"/>
          <w:sz w:val="14"/>
        </w:rPr>
        <w:t>Email:</w:t>
      </w:r>
      <w:hyperlink r:id="rId12" w:history="1">
        <w:r w:rsidR="000E5B24" w:rsidRPr="00DC33B4">
          <w:rPr>
            <w:rStyle w:val="Hyperlink"/>
            <w:rFonts w:ascii="Arial"/>
            <w:sz w:val="14"/>
          </w:rPr>
          <w:t>drvenkateshwararrr@xxxmail.com</w:t>
        </w:r>
      </w:hyperlink>
    </w:p>
    <w:p w:rsidR="00AE3E37" w:rsidRDefault="009D23B1">
      <w:pPr>
        <w:pStyle w:val="BodyText"/>
        <w:spacing w:before="2"/>
        <w:rPr>
          <w:rFonts w:ascii="Arial"/>
          <w:sz w:val="19"/>
        </w:rPr>
      </w:pPr>
      <w:bookmarkStart w:id="0" w:name="_GoBack"/>
      <w:bookmarkEnd w:id="0"/>
      <w:r w:rsidRPr="009D23B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49B" w:rsidRDefault="00AA149B">
      <w:r>
        <w:separator/>
      </w:r>
    </w:p>
  </w:endnote>
  <w:endnote w:type="continuationSeparator" w:id="0">
    <w:p w:rsidR="00AA149B" w:rsidRDefault="00AA14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D23B1">
    <w:pPr>
      <w:pStyle w:val="BodyText"/>
      <w:spacing w:line="14" w:lineRule="auto"/>
      <w:rPr>
        <w:sz w:val="20"/>
      </w:rPr>
    </w:pPr>
    <w:r w:rsidRPr="009D23B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D23B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D23B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49B" w:rsidRDefault="00AA149B">
      <w:r>
        <w:separator/>
      </w:r>
    </w:p>
  </w:footnote>
  <w:footnote w:type="continuationSeparator" w:id="0">
    <w:p w:rsidR="00AA149B" w:rsidRDefault="00AA14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D23B1">
    <w:pPr>
      <w:pStyle w:val="BodyText"/>
      <w:spacing w:line="14" w:lineRule="auto"/>
      <w:rPr>
        <w:sz w:val="20"/>
      </w:rPr>
    </w:pPr>
    <w:r w:rsidRPr="009D23B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D23B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497759"/>
    <w:multiLevelType w:val="hybridMultilevel"/>
    <w:tmpl w:val="70B41DBA"/>
    <w:lvl w:ilvl="0" w:tplc="454CF9D8">
      <w:start w:val="1"/>
      <w:numFmt w:val="decimal"/>
      <w:lvlText w:val="%1."/>
      <w:lvlJc w:val="left"/>
      <w:pPr>
        <w:ind w:left="720" w:hanging="360"/>
      </w:pPr>
      <w:rPr>
        <w:rFonts w:ascii="Times New Roman" w:hAnsi="Times New Roman" w:cs="Times New Roman"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42983"/>
    <w:rsid w:val="000D572E"/>
    <w:rsid w:val="000E2911"/>
    <w:rsid w:val="000E5B24"/>
    <w:rsid w:val="00110CD0"/>
    <w:rsid w:val="001263DF"/>
    <w:rsid w:val="001E763C"/>
    <w:rsid w:val="002006E0"/>
    <w:rsid w:val="00292ED9"/>
    <w:rsid w:val="00314AFB"/>
    <w:rsid w:val="00314DAF"/>
    <w:rsid w:val="003B76D9"/>
    <w:rsid w:val="00404E5B"/>
    <w:rsid w:val="00414F7B"/>
    <w:rsid w:val="004355DC"/>
    <w:rsid w:val="004749B4"/>
    <w:rsid w:val="00494130"/>
    <w:rsid w:val="004F3523"/>
    <w:rsid w:val="005973B9"/>
    <w:rsid w:val="005B3A56"/>
    <w:rsid w:val="005D59CD"/>
    <w:rsid w:val="006060CE"/>
    <w:rsid w:val="0063497F"/>
    <w:rsid w:val="00744DD6"/>
    <w:rsid w:val="0078738A"/>
    <w:rsid w:val="00873DF0"/>
    <w:rsid w:val="008756E6"/>
    <w:rsid w:val="009B2D44"/>
    <w:rsid w:val="009D23B1"/>
    <w:rsid w:val="00A07E82"/>
    <w:rsid w:val="00A9710C"/>
    <w:rsid w:val="00AA149B"/>
    <w:rsid w:val="00AE3E37"/>
    <w:rsid w:val="00B21A57"/>
    <w:rsid w:val="00B268C0"/>
    <w:rsid w:val="00C33602"/>
    <w:rsid w:val="00C52549"/>
    <w:rsid w:val="00C73CAF"/>
    <w:rsid w:val="00CD6F55"/>
    <w:rsid w:val="00D37E9D"/>
    <w:rsid w:val="00D62425"/>
    <w:rsid w:val="00DE3104"/>
    <w:rsid w:val="00E202D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ext">
    <w:name w:val="Text"/>
    <w:basedOn w:val="Normal"/>
    <w:rsid w:val="00B268C0"/>
    <w:pPr>
      <w:autoSpaceDE w:val="0"/>
      <w:autoSpaceDN w:val="0"/>
      <w:spacing w:line="252" w:lineRule="auto"/>
      <w:ind w:firstLine="202"/>
      <w:jc w:val="both"/>
    </w:pPr>
    <w:rPr>
      <w:rFonts w:ascii="Times New Roman" w:eastAsia="Times New Roman" w:hAnsi="Times New Roman" w:cs="Times New Roman"/>
      <w:sz w:val="20"/>
      <w:szCs w:val="20"/>
    </w:rPr>
  </w:style>
  <w:style w:type="character" w:customStyle="1" w:styleId="apple-style-span">
    <w:name w:val="apple-style-span"/>
    <w:basedOn w:val="DefaultParagraphFont"/>
    <w:rsid w:val="00B268C0"/>
  </w:style>
  <w:style w:type="character" w:customStyle="1" w:styleId="apple-converted-space">
    <w:name w:val="apple-converted-space"/>
    <w:basedOn w:val="DefaultParagraphFont"/>
    <w:rsid w:val="00744DD6"/>
  </w:style>
  <w:style w:type="character" w:styleId="Emphasis">
    <w:name w:val="Emphasis"/>
    <w:basedOn w:val="DefaultParagraphFont"/>
    <w:uiPriority w:val="20"/>
    <w:qFormat/>
    <w:rsid w:val="00744DD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venkateshwararrr@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actascientific.com/ASNE/pdf/ASNE-02-0020.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13</cp:revision>
  <dcterms:created xsi:type="dcterms:W3CDTF">2019-07-24T08:22:00Z</dcterms:created>
  <dcterms:modified xsi:type="dcterms:W3CDTF">2019-07-24T09:07:00Z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