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86E" w:rsidRDefault="00CE3410" w:rsidP="005E386E">
      <w:pPr>
        <w:pStyle w:val="1"/>
        <w:spacing w:before="170"/>
        <w:ind w:left="0"/>
        <w:rPr>
          <w:color w:val="337AB7"/>
        </w:rPr>
      </w:pPr>
      <w:r w:rsidRPr="00CE3410">
        <w:rPr>
          <w:color w:val="337AB7"/>
        </w:rPr>
        <w:t xml:space="preserve">Antitumor Performance Regulation of Drug-conjugated Gold Nanoparticles: </w:t>
      </w:r>
      <w:bookmarkStart w:id="0" w:name="_Hlk15394496"/>
      <w:r w:rsidRPr="00CE3410">
        <w:rPr>
          <w:color w:val="337AB7"/>
        </w:rPr>
        <w:t>Structure-Efficacy Relationship Studies</w:t>
      </w:r>
      <w:bookmarkEnd w:id="0"/>
    </w:p>
    <w:p w:rsidR="005E386E" w:rsidRDefault="00CE3410" w:rsidP="005E386E">
      <w:pPr>
        <w:pStyle w:val="TextBody"/>
        <w:spacing w:before="73" w:line="198" w:lineRule="exact"/>
        <w:ind w:left="100" w:right="5987"/>
      </w:pPr>
      <w:proofErr w:type="spellStart"/>
      <w:r>
        <w:rPr>
          <w:rFonts w:ascii="Arial" w:hAnsi="Arial"/>
        </w:rPr>
        <w:t>Ya</w:t>
      </w:r>
      <w:proofErr w:type="spellEnd"/>
      <w:r>
        <w:rPr>
          <w:rFonts w:ascii="Arial" w:hAnsi="Arial"/>
        </w:rPr>
        <w:t xml:space="preserve"> Ding</w:t>
      </w:r>
      <w:r w:rsidR="005E386E">
        <w:rPr>
          <w:rFonts w:ascii="Arial" w:hAnsi="Arial"/>
        </w:rPr>
        <w:t xml:space="preserve">, PhD, </w:t>
      </w:r>
      <w:r w:rsidRPr="00CE3410">
        <w:rPr>
          <w:rFonts w:ascii="Arial" w:hAnsi="Arial"/>
        </w:rPr>
        <w:t>China Pharmaceutical University</w:t>
      </w:r>
      <w:r w:rsidR="005E386E">
        <w:rPr>
          <w:rFonts w:ascii="Arial" w:hAnsi="Arial"/>
        </w:rPr>
        <w:t xml:space="preserve">, </w:t>
      </w:r>
      <w:r>
        <w:rPr>
          <w:rFonts w:ascii="Arial" w:hAnsi="Arial"/>
        </w:rPr>
        <w:t>Nanjing</w:t>
      </w:r>
      <w:r w:rsidR="005E386E">
        <w:rPr>
          <w:rFonts w:ascii="Arial" w:hAnsi="Arial"/>
        </w:rPr>
        <w:t xml:space="preserve">, </w:t>
      </w:r>
      <w:r>
        <w:rPr>
          <w:rFonts w:ascii="Arial" w:hAnsi="Arial"/>
        </w:rPr>
        <w:t>CHINA</w:t>
      </w:r>
    </w:p>
    <w:p w:rsidR="007E1A75" w:rsidRDefault="007E1A75" w:rsidP="00B833AD">
      <w:pPr>
        <w:pStyle w:val="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F60D3E" w:rsidP="00B833AD">
      <w:pPr>
        <w:pStyle w:val="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 xml:space="preserve">   </w:t>
      </w:r>
      <w:r w:rsidR="00B833AD" w:rsidRPr="007E1A75">
        <w:rPr>
          <w:rFonts w:asciiTheme="minorHAnsi" w:hAnsiTheme="minorHAnsi" w:cstheme="minorHAnsi"/>
          <w:color w:val="BF5A14"/>
          <w:sz w:val="16"/>
          <w:szCs w:val="16"/>
        </w:rPr>
        <w:t>Abstract: 300 words</w:t>
      </w:r>
    </w:p>
    <w:p w:rsidR="00CE3410" w:rsidRPr="00CE3410" w:rsidRDefault="00CE3410" w:rsidP="00CE3410">
      <w:pPr>
        <w:rPr>
          <w:rFonts w:cstheme="minorHAnsi"/>
          <w:sz w:val="16"/>
          <w:szCs w:val="16"/>
        </w:rPr>
      </w:pPr>
      <w:r w:rsidRPr="00CE3410">
        <w:rPr>
          <w:rFonts w:cstheme="minorHAnsi"/>
          <w:sz w:val="16"/>
          <w:szCs w:val="16"/>
        </w:rPr>
        <w:t xml:space="preserve">Drug-conjugated nanoparticle is a uniquely structured drug delivery system. In each conjugate, the nanoparticle acts as a core to crosslink more than 100 prodrug molecules and prodrug is composed of its parent drug molecules covalently connected on the surface of nanoparticles via proper spacers. This system can be seen the assembly of prodrugs in the nanoscale and show the advantages of both prodrug and nanoparticles. To investigate the structure-efficacy relationship of this system, gold nanoparticles (GNPs) and Doxorubicin (Dox) are selected as the demonstrations to construct Dox-conjugated GNPs. Polyethylene glycol (PEG) is used as the spacer to improve the solubility, biocompatibility, and body circulation of the system. Here, the position of Dox, size of gold core, and molecular weight of PEG are adjusted to regulate the in vitro properties and in vivo performance of Dox-conjugated GNPs systematically. </w:t>
      </w:r>
    </w:p>
    <w:p w:rsidR="00CE3410" w:rsidRDefault="00CE3410" w:rsidP="00CE3410">
      <w:pPr>
        <w:rPr>
          <w:rFonts w:cstheme="minorHAnsi"/>
          <w:sz w:val="16"/>
          <w:szCs w:val="16"/>
        </w:rPr>
      </w:pPr>
      <w:r w:rsidRPr="00CE3410">
        <w:rPr>
          <w:rFonts w:cstheme="minorHAnsi"/>
          <w:sz w:val="16"/>
          <w:szCs w:val="16"/>
        </w:rPr>
        <w:t>According to the structure-efficacy relationship studies of Dox-conjugated GNPs, it allows to reveal the internal mechanism that guides therapy of tumor treatment, explore physicochemical and material science approaches to improve the therapy efficacy of nanoconjugates, and promote the theoretical and practical researches of nanoparticle-based drug delivery system as the candidate for tumor treatment.</w:t>
      </w:r>
      <w:r>
        <w:rPr>
          <w:rFonts w:cstheme="minorHAnsi"/>
          <w:sz w:val="16"/>
          <w:szCs w:val="16"/>
        </w:rPr>
        <w:t xml:space="preserve"> </w:t>
      </w:r>
    </w:p>
    <w:p w:rsidR="00AC745F" w:rsidRDefault="00B833AD" w:rsidP="00CE3410">
      <w:pPr>
        <w:rPr>
          <w:rFonts w:cstheme="minorHAnsi"/>
          <w:b/>
          <w:noProof/>
          <w:sz w:val="16"/>
          <w:szCs w:val="16"/>
        </w:rPr>
      </w:pPr>
      <w:r w:rsidRPr="007E1A75">
        <w:rPr>
          <w:rFonts w:cstheme="minorHAnsi"/>
          <w:b/>
          <w:color w:val="BF5A14"/>
          <w:sz w:val="16"/>
          <w:szCs w:val="16"/>
        </w:rPr>
        <w:t>Image:</w:t>
      </w:r>
      <w:r w:rsidRPr="007E1A75">
        <w:rPr>
          <w:rFonts w:cstheme="minorHAnsi"/>
          <w:b/>
          <w:noProof/>
          <w:sz w:val="16"/>
          <w:szCs w:val="16"/>
        </w:rPr>
        <w:t xml:space="preserve"> </w:t>
      </w:r>
    </w:p>
    <w:p w:rsidR="00AC745F" w:rsidRDefault="00AC745F" w:rsidP="00CE3410">
      <w:pPr>
        <w:rPr>
          <w:rFonts w:cstheme="minorHAnsi"/>
          <w:b/>
          <w:noProof/>
          <w:sz w:val="16"/>
          <w:szCs w:val="16"/>
        </w:rPr>
      </w:pPr>
      <w:r>
        <w:rPr>
          <w:rFonts w:cstheme="minorHAnsi"/>
          <w:b/>
          <w:noProof/>
          <w:sz w:val="16"/>
          <w:szCs w:val="16"/>
        </w:rPr>
        <w:drawing>
          <wp:inline distT="0" distB="0" distL="0" distR="0" wp14:anchorId="3B002276">
            <wp:extent cx="2880000" cy="2296800"/>
            <wp:effectExtent l="0" t="0" r="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0000" cy="2296800"/>
                    </a:xfrm>
                    <a:prstGeom prst="rect">
                      <a:avLst/>
                    </a:prstGeom>
                    <a:noFill/>
                  </pic:spPr>
                </pic:pic>
              </a:graphicData>
            </a:graphic>
          </wp:inline>
        </w:drawing>
      </w:r>
    </w:p>
    <w:p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rsidR="00B833AD" w:rsidRPr="007E1A75" w:rsidRDefault="00CE3410" w:rsidP="00B833AD">
      <w:pPr>
        <w:pStyle w:val="a4"/>
        <w:numPr>
          <w:ilvl w:val="0"/>
          <w:numId w:val="1"/>
        </w:numPr>
        <w:tabs>
          <w:tab w:val="left" w:pos="384"/>
        </w:tabs>
        <w:spacing w:before="103" w:line="216" w:lineRule="exact"/>
        <w:rPr>
          <w:rFonts w:asciiTheme="minorHAnsi" w:hAnsiTheme="minorHAnsi" w:cstheme="minorHAnsi"/>
          <w:sz w:val="16"/>
          <w:szCs w:val="16"/>
        </w:rPr>
      </w:pPr>
      <w:r w:rsidRPr="00CE3410">
        <w:rPr>
          <w:rFonts w:asciiTheme="minorHAnsi" w:hAnsiTheme="minorHAnsi" w:cstheme="minorHAnsi"/>
          <w:sz w:val="16"/>
          <w:szCs w:val="16"/>
        </w:rPr>
        <w:t xml:space="preserve">Dong-Yan Wu, </w:t>
      </w:r>
      <w:proofErr w:type="spellStart"/>
      <w:r w:rsidRPr="00CE3410">
        <w:rPr>
          <w:rFonts w:asciiTheme="minorHAnsi" w:hAnsiTheme="minorHAnsi" w:cstheme="minorHAnsi"/>
          <w:sz w:val="16"/>
          <w:szCs w:val="16"/>
        </w:rPr>
        <w:t>Huai</w:t>
      </w:r>
      <w:proofErr w:type="spellEnd"/>
      <w:r w:rsidRPr="00CE3410">
        <w:rPr>
          <w:rFonts w:asciiTheme="minorHAnsi" w:hAnsiTheme="minorHAnsi" w:cstheme="minorHAnsi"/>
          <w:sz w:val="16"/>
          <w:szCs w:val="16"/>
        </w:rPr>
        <w:t xml:space="preserve">-Song Wang, Xiao-Shuang Hou, Huan Chen, Yu Ma, </w:t>
      </w:r>
      <w:proofErr w:type="spellStart"/>
      <w:r w:rsidRPr="00CE3410">
        <w:rPr>
          <w:rFonts w:asciiTheme="minorHAnsi" w:hAnsiTheme="minorHAnsi" w:cstheme="minorHAnsi"/>
          <w:sz w:val="16"/>
          <w:szCs w:val="16"/>
        </w:rPr>
        <w:t>Yanglong</w:t>
      </w:r>
      <w:proofErr w:type="spellEnd"/>
      <w:r w:rsidRPr="00CE3410">
        <w:rPr>
          <w:rFonts w:asciiTheme="minorHAnsi" w:hAnsiTheme="minorHAnsi" w:cstheme="minorHAnsi"/>
          <w:sz w:val="16"/>
          <w:szCs w:val="16"/>
        </w:rPr>
        <w:t xml:space="preserve"> Hou, </w:t>
      </w:r>
      <w:proofErr w:type="spellStart"/>
      <w:r w:rsidRPr="00CE3410">
        <w:rPr>
          <w:rFonts w:asciiTheme="minorHAnsi" w:hAnsiTheme="minorHAnsi" w:cstheme="minorHAnsi"/>
          <w:sz w:val="16"/>
          <w:szCs w:val="16"/>
        </w:rPr>
        <w:t>Jin</w:t>
      </w:r>
      <w:proofErr w:type="spellEnd"/>
      <w:r w:rsidRPr="00CE3410">
        <w:rPr>
          <w:rFonts w:asciiTheme="minorHAnsi" w:hAnsiTheme="minorHAnsi" w:cstheme="minorHAnsi"/>
          <w:sz w:val="16"/>
          <w:szCs w:val="16"/>
        </w:rPr>
        <w:t xml:space="preserve"> Hong, </w:t>
      </w:r>
      <w:proofErr w:type="spellStart"/>
      <w:r w:rsidRPr="00CE3410">
        <w:rPr>
          <w:rFonts w:asciiTheme="minorHAnsi" w:hAnsiTheme="minorHAnsi" w:cstheme="minorHAnsi"/>
          <w:sz w:val="16"/>
          <w:szCs w:val="16"/>
        </w:rPr>
        <w:t>Ya</w:t>
      </w:r>
      <w:proofErr w:type="spellEnd"/>
      <w:r w:rsidRPr="00CE3410">
        <w:rPr>
          <w:rFonts w:asciiTheme="minorHAnsi" w:hAnsiTheme="minorHAnsi" w:cstheme="minorHAnsi"/>
          <w:sz w:val="16"/>
          <w:szCs w:val="16"/>
        </w:rPr>
        <w:t xml:space="preserve"> Ding</w:t>
      </w:r>
      <w:r>
        <w:rPr>
          <w:rFonts w:asciiTheme="minorHAnsi" w:hAnsiTheme="minorHAnsi" w:cstheme="minorHAnsi"/>
          <w:sz w:val="16"/>
          <w:szCs w:val="16"/>
        </w:rPr>
        <w:t xml:space="preserve"> (2018) </w:t>
      </w:r>
      <w:r w:rsidRPr="00CE3410">
        <w:rPr>
          <w:rFonts w:asciiTheme="minorHAnsi" w:hAnsiTheme="minorHAnsi" w:cstheme="minorHAnsi"/>
          <w:sz w:val="16"/>
          <w:szCs w:val="16"/>
        </w:rPr>
        <w:t>Effects of gold core size on regulating the performance of Doxorubicin-conjugated gold nanoparticles. Nano Research 2018, 11</w:t>
      </w:r>
      <w:r>
        <w:rPr>
          <w:rFonts w:asciiTheme="minorHAnsi" w:hAnsiTheme="minorHAnsi" w:cstheme="minorHAnsi"/>
          <w:sz w:val="16"/>
          <w:szCs w:val="16"/>
        </w:rPr>
        <w:t xml:space="preserve">: </w:t>
      </w:r>
      <w:r w:rsidRPr="00CE3410">
        <w:rPr>
          <w:rFonts w:asciiTheme="minorHAnsi" w:hAnsiTheme="minorHAnsi" w:cstheme="minorHAnsi"/>
          <w:sz w:val="16"/>
          <w:szCs w:val="16"/>
        </w:rPr>
        <w:t>3396-3410.</w:t>
      </w:r>
    </w:p>
    <w:p w:rsidR="00B833AD" w:rsidRPr="007E1A75" w:rsidRDefault="00CE3410" w:rsidP="00B833AD">
      <w:pPr>
        <w:pStyle w:val="a4"/>
        <w:numPr>
          <w:ilvl w:val="0"/>
          <w:numId w:val="1"/>
        </w:numPr>
        <w:tabs>
          <w:tab w:val="left" w:pos="384"/>
        </w:tabs>
        <w:spacing w:line="216" w:lineRule="exact"/>
        <w:rPr>
          <w:rFonts w:asciiTheme="minorHAnsi" w:hAnsiTheme="minorHAnsi" w:cstheme="minorHAnsi"/>
          <w:sz w:val="16"/>
          <w:szCs w:val="16"/>
        </w:rPr>
      </w:pPr>
      <w:r w:rsidRPr="00CE3410">
        <w:rPr>
          <w:rFonts w:asciiTheme="minorHAnsi" w:hAnsiTheme="minorHAnsi" w:cstheme="minorHAnsi"/>
          <w:sz w:val="16"/>
          <w:szCs w:val="16"/>
        </w:rPr>
        <w:t xml:space="preserve">Yuan-Yue Gao, Huan Chen, Ying-Ying Zhou, Lin-Tao Wang, </w:t>
      </w:r>
      <w:proofErr w:type="spellStart"/>
      <w:r w:rsidRPr="00CE3410">
        <w:rPr>
          <w:rFonts w:asciiTheme="minorHAnsi" w:hAnsiTheme="minorHAnsi" w:cstheme="minorHAnsi"/>
          <w:sz w:val="16"/>
          <w:szCs w:val="16"/>
        </w:rPr>
        <w:t>Yanglong</w:t>
      </w:r>
      <w:proofErr w:type="spellEnd"/>
      <w:r w:rsidRPr="00CE3410">
        <w:rPr>
          <w:rFonts w:asciiTheme="minorHAnsi" w:hAnsiTheme="minorHAnsi" w:cstheme="minorHAnsi"/>
          <w:sz w:val="16"/>
          <w:szCs w:val="16"/>
        </w:rPr>
        <w:t xml:space="preserve"> Hou, Xing-Hua Xia, </w:t>
      </w:r>
      <w:proofErr w:type="spellStart"/>
      <w:r w:rsidRPr="00CE3410">
        <w:rPr>
          <w:rFonts w:asciiTheme="minorHAnsi" w:hAnsiTheme="minorHAnsi" w:cstheme="minorHAnsi"/>
          <w:sz w:val="16"/>
          <w:szCs w:val="16"/>
        </w:rPr>
        <w:t>Ya</w:t>
      </w:r>
      <w:proofErr w:type="spellEnd"/>
      <w:r w:rsidRPr="00CE3410">
        <w:rPr>
          <w:rFonts w:asciiTheme="minorHAnsi" w:hAnsiTheme="minorHAnsi" w:cstheme="minorHAnsi"/>
          <w:sz w:val="16"/>
          <w:szCs w:val="16"/>
        </w:rPr>
        <w:t xml:space="preserve"> Ding, </w:t>
      </w:r>
      <w:proofErr w:type="spellStart"/>
      <w:r w:rsidRPr="00CE3410">
        <w:rPr>
          <w:rFonts w:asciiTheme="minorHAnsi" w:hAnsiTheme="minorHAnsi" w:cstheme="minorHAnsi"/>
          <w:sz w:val="16"/>
          <w:szCs w:val="16"/>
        </w:rPr>
        <w:t>Intraorgan</w:t>
      </w:r>
      <w:proofErr w:type="spellEnd"/>
      <w:r w:rsidRPr="00CE3410">
        <w:rPr>
          <w:rFonts w:asciiTheme="minorHAnsi" w:hAnsiTheme="minorHAnsi" w:cstheme="minorHAnsi"/>
          <w:sz w:val="16"/>
          <w:szCs w:val="16"/>
        </w:rPr>
        <w:t xml:space="preserve"> targeting of gold conjugates for precise liver cancer treatment. ACS Applied Materials &amp; Interfaces 2017, 9</w:t>
      </w:r>
      <w:r>
        <w:rPr>
          <w:rFonts w:asciiTheme="minorHAnsi" w:hAnsiTheme="minorHAnsi" w:cstheme="minorHAnsi"/>
          <w:sz w:val="16"/>
          <w:szCs w:val="16"/>
        </w:rPr>
        <w:t>:</w:t>
      </w:r>
      <w:r w:rsidRPr="00CE3410">
        <w:rPr>
          <w:rFonts w:asciiTheme="minorHAnsi" w:hAnsiTheme="minorHAnsi" w:cstheme="minorHAnsi"/>
          <w:sz w:val="16"/>
          <w:szCs w:val="16"/>
        </w:rPr>
        <w:t xml:space="preserve"> 31458–31468.</w:t>
      </w:r>
    </w:p>
    <w:p w:rsidR="00B833AD" w:rsidRPr="007E1A75" w:rsidRDefault="00CE3410" w:rsidP="00B833AD">
      <w:pPr>
        <w:pStyle w:val="a4"/>
        <w:numPr>
          <w:ilvl w:val="0"/>
          <w:numId w:val="1"/>
        </w:numPr>
        <w:tabs>
          <w:tab w:val="left" w:pos="384"/>
        </w:tabs>
        <w:spacing w:line="216" w:lineRule="exact"/>
        <w:rPr>
          <w:rFonts w:asciiTheme="minorHAnsi" w:hAnsiTheme="minorHAnsi" w:cstheme="minorHAnsi"/>
          <w:sz w:val="16"/>
          <w:szCs w:val="16"/>
        </w:rPr>
      </w:pPr>
      <w:r w:rsidRPr="00CE3410">
        <w:rPr>
          <w:rFonts w:asciiTheme="minorHAnsi" w:hAnsiTheme="minorHAnsi" w:cstheme="minorHAnsi"/>
          <w:sz w:val="16"/>
          <w:szCs w:val="16"/>
        </w:rPr>
        <w:t xml:space="preserve">Teng Cui, Juan-Juan Liang, Huan Chen, Dong-Dong </w:t>
      </w:r>
      <w:proofErr w:type="spellStart"/>
      <w:r w:rsidRPr="00CE3410">
        <w:rPr>
          <w:rFonts w:asciiTheme="minorHAnsi" w:hAnsiTheme="minorHAnsi" w:cstheme="minorHAnsi"/>
          <w:sz w:val="16"/>
          <w:szCs w:val="16"/>
        </w:rPr>
        <w:t>Geng</w:t>
      </w:r>
      <w:proofErr w:type="spellEnd"/>
      <w:r w:rsidRPr="00CE3410">
        <w:rPr>
          <w:rFonts w:asciiTheme="minorHAnsi" w:hAnsiTheme="minorHAnsi" w:cstheme="minorHAnsi"/>
          <w:sz w:val="16"/>
          <w:szCs w:val="16"/>
        </w:rPr>
        <w:t xml:space="preserve">, Lei Jiao, Jian-Yong Yang, Hai Qian, Can Zhang, </w:t>
      </w:r>
      <w:proofErr w:type="spellStart"/>
      <w:r w:rsidRPr="00CE3410">
        <w:rPr>
          <w:rFonts w:asciiTheme="minorHAnsi" w:hAnsiTheme="minorHAnsi" w:cstheme="minorHAnsi"/>
          <w:sz w:val="16"/>
          <w:szCs w:val="16"/>
        </w:rPr>
        <w:t>Ya</w:t>
      </w:r>
      <w:proofErr w:type="spellEnd"/>
      <w:r w:rsidRPr="00CE3410">
        <w:rPr>
          <w:rFonts w:asciiTheme="minorHAnsi" w:hAnsiTheme="minorHAnsi" w:cstheme="minorHAnsi"/>
          <w:sz w:val="16"/>
          <w:szCs w:val="16"/>
        </w:rPr>
        <w:t xml:space="preserve"> Ding, The performance of doxorubicin-conjugated gold nanoparticles: regulation of drug location. ACS Applied Materials &amp; Interfaces 2017, 9</w:t>
      </w:r>
      <w:r>
        <w:rPr>
          <w:rFonts w:asciiTheme="minorHAnsi" w:hAnsiTheme="minorHAnsi" w:cstheme="minorHAnsi"/>
          <w:sz w:val="16"/>
          <w:szCs w:val="16"/>
        </w:rPr>
        <w:t>:</w:t>
      </w:r>
      <w:r w:rsidRPr="00CE3410">
        <w:rPr>
          <w:rFonts w:asciiTheme="minorHAnsi" w:hAnsiTheme="minorHAnsi" w:cstheme="minorHAnsi"/>
          <w:sz w:val="16"/>
          <w:szCs w:val="16"/>
        </w:rPr>
        <w:t xml:space="preserve"> 8569–8580.</w:t>
      </w:r>
    </w:p>
    <w:p w:rsidR="00B833AD" w:rsidRPr="007E1A75" w:rsidRDefault="00CE3410" w:rsidP="00B833AD">
      <w:pPr>
        <w:pStyle w:val="a4"/>
        <w:numPr>
          <w:ilvl w:val="0"/>
          <w:numId w:val="1"/>
        </w:numPr>
        <w:tabs>
          <w:tab w:val="left" w:pos="384"/>
        </w:tabs>
        <w:spacing w:before="92" w:line="218" w:lineRule="exact"/>
        <w:rPr>
          <w:rFonts w:asciiTheme="minorHAnsi" w:hAnsiTheme="minorHAnsi" w:cstheme="minorHAnsi"/>
          <w:sz w:val="16"/>
          <w:szCs w:val="16"/>
        </w:rPr>
      </w:pPr>
      <w:r w:rsidRPr="00CE3410">
        <w:rPr>
          <w:rFonts w:asciiTheme="minorHAnsi" w:hAnsiTheme="minorHAnsi" w:cstheme="minorHAnsi"/>
          <w:sz w:val="16"/>
          <w:szCs w:val="16"/>
        </w:rPr>
        <w:t xml:space="preserve">Ning Zhang, Huan Chen, Ai-Yun Liu, Jia-Jia Shen, </w:t>
      </w:r>
      <w:proofErr w:type="spellStart"/>
      <w:r w:rsidRPr="00CE3410">
        <w:rPr>
          <w:rFonts w:asciiTheme="minorHAnsi" w:hAnsiTheme="minorHAnsi" w:cstheme="minorHAnsi"/>
          <w:sz w:val="16"/>
          <w:szCs w:val="16"/>
        </w:rPr>
        <w:t>Vishva</w:t>
      </w:r>
      <w:proofErr w:type="spellEnd"/>
      <w:r w:rsidRPr="00CE3410">
        <w:rPr>
          <w:rFonts w:asciiTheme="minorHAnsi" w:hAnsiTheme="minorHAnsi" w:cstheme="minorHAnsi"/>
          <w:sz w:val="16"/>
          <w:szCs w:val="16"/>
        </w:rPr>
        <w:t xml:space="preserve"> Shah, Can Zhang, </w:t>
      </w:r>
      <w:proofErr w:type="spellStart"/>
      <w:r w:rsidRPr="00CE3410">
        <w:rPr>
          <w:rFonts w:asciiTheme="minorHAnsi" w:hAnsiTheme="minorHAnsi" w:cstheme="minorHAnsi"/>
          <w:sz w:val="16"/>
          <w:szCs w:val="16"/>
        </w:rPr>
        <w:t>Jin</w:t>
      </w:r>
      <w:proofErr w:type="spellEnd"/>
      <w:r w:rsidRPr="00CE3410">
        <w:rPr>
          <w:rFonts w:asciiTheme="minorHAnsi" w:hAnsiTheme="minorHAnsi" w:cstheme="minorHAnsi"/>
          <w:sz w:val="16"/>
          <w:szCs w:val="16"/>
        </w:rPr>
        <w:t xml:space="preserve"> Hong, </w:t>
      </w:r>
      <w:proofErr w:type="spellStart"/>
      <w:r w:rsidRPr="00CE3410">
        <w:rPr>
          <w:rFonts w:asciiTheme="minorHAnsi" w:hAnsiTheme="minorHAnsi" w:cstheme="minorHAnsi"/>
          <w:sz w:val="16"/>
          <w:szCs w:val="16"/>
        </w:rPr>
        <w:t>Ya</w:t>
      </w:r>
      <w:proofErr w:type="spellEnd"/>
      <w:r w:rsidRPr="00CE3410">
        <w:rPr>
          <w:rFonts w:asciiTheme="minorHAnsi" w:hAnsiTheme="minorHAnsi" w:cstheme="minorHAnsi"/>
          <w:sz w:val="16"/>
          <w:szCs w:val="16"/>
        </w:rPr>
        <w:t xml:space="preserve"> Ding, Gold conjugate-based liposomes with hybrid cluster bomb structure for liver cancer therapy. Biomaterials 2016, 74</w:t>
      </w:r>
      <w:r>
        <w:rPr>
          <w:rFonts w:asciiTheme="minorHAnsi" w:hAnsiTheme="minorHAnsi" w:cstheme="minorHAnsi"/>
          <w:sz w:val="16"/>
          <w:szCs w:val="16"/>
        </w:rPr>
        <w:t>:</w:t>
      </w:r>
      <w:r w:rsidRPr="00CE3410">
        <w:rPr>
          <w:rFonts w:asciiTheme="minorHAnsi" w:hAnsiTheme="minorHAnsi" w:cstheme="minorHAnsi"/>
          <w:sz w:val="16"/>
          <w:szCs w:val="16"/>
        </w:rPr>
        <w:t xml:space="preserve"> 280-291.</w:t>
      </w:r>
    </w:p>
    <w:p w:rsidR="00B833AD" w:rsidRPr="007E1A75" w:rsidRDefault="00B833AD" w:rsidP="00B833AD">
      <w:pPr>
        <w:pStyle w:val="TextBody"/>
        <w:spacing w:before="85" w:line="216" w:lineRule="exact"/>
        <w:ind w:left="383" w:right="138" w:hanging="284"/>
        <w:jc w:val="both"/>
        <w:rPr>
          <w:rFonts w:asciiTheme="minorHAnsi" w:hAnsiTheme="minorHAnsi" w:cstheme="minorHAnsi"/>
          <w:sz w:val="16"/>
          <w:szCs w:val="16"/>
        </w:rPr>
      </w:pPr>
      <w:r w:rsidRPr="007E1A75">
        <w:rPr>
          <w:rFonts w:asciiTheme="minorHAnsi" w:hAnsiTheme="minorHAnsi" w:cstheme="minorHAnsi"/>
          <w:sz w:val="16"/>
          <w:szCs w:val="16"/>
        </w:rPr>
        <w:t xml:space="preserve">5. </w:t>
      </w:r>
      <w:r w:rsidR="00CE3410">
        <w:rPr>
          <w:rFonts w:asciiTheme="minorHAnsi" w:hAnsiTheme="minorHAnsi" w:cstheme="minorHAnsi"/>
          <w:sz w:val="16"/>
          <w:szCs w:val="16"/>
        </w:rPr>
        <w:t xml:space="preserve">  </w:t>
      </w:r>
      <w:proofErr w:type="spellStart"/>
      <w:r w:rsidR="00CE3410" w:rsidRPr="00CE3410">
        <w:rPr>
          <w:rFonts w:asciiTheme="minorHAnsi" w:hAnsiTheme="minorHAnsi" w:cstheme="minorHAnsi"/>
          <w:sz w:val="16"/>
          <w:szCs w:val="16"/>
        </w:rPr>
        <w:t>Ya</w:t>
      </w:r>
      <w:proofErr w:type="spellEnd"/>
      <w:r w:rsidR="00CE3410" w:rsidRPr="00CE3410">
        <w:rPr>
          <w:rFonts w:asciiTheme="minorHAnsi" w:hAnsiTheme="minorHAnsi" w:cstheme="minorHAnsi"/>
          <w:sz w:val="16"/>
          <w:szCs w:val="16"/>
        </w:rPr>
        <w:t xml:space="preserve"> Ding, Ying-Ying Zhou, Huan Chen, Dong-Dong </w:t>
      </w:r>
      <w:proofErr w:type="spellStart"/>
      <w:r w:rsidR="00CE3410" w:rsidRPr="00CE3410">
        <w:rPr>
          <w:rFonts w:asciiTheme="minorHAnsi" w:hAnsiTheme="minorHAnsi" w:cstheme="minorHAnsi"/>
          <w:sz w:val="16"/>
          <w:szCs w:val="16"/>
        </w:rPr>
        <w:t>Geng</w:t>
      </w:r>
      <w:proofErr w:type="spellEnd"/>
      <w:r w:rsidR="00CE3410" w:rsidRPr="00CE3410">
        <w:rPr>
          <w:rFonts w:asciiTheme="minorHAnsi" w:hAnsiTheme="minorHAnsi" w:cstheme="minorHAnsi"/>
          <w:sz w:val="16"/>
          <w:szCs w:val="16"/>
        </w:rPr>
        <w:t xml:space="preserve">, Dong-Yan Wu, </w:t>
      </w:r>
      <w:proofErr w:type="spellStart"/>
      <w:r w:rsidR="00CE3410" w:rsidRPr="00CE3410">
        <w:rPr>
          <w:rFonts w:asciiTheme="minorHAnsi" w:hAnsiTheme="minorHAnsi" w:cstheme="minorHAnsi"/>
          <w:sz w:val="16"/>
          <w:szCs w:val="16"/>
        </w:rPr>
        <w:t>Jin</w:t>
      </w:r>
      <w:proofErr w:type="spellEnd"/>
      <w:r w:rsidR="00CE3410" w:rsidRPr="00CE3410">
        <w:rPr>
          <w:rFonts w:asciiTheme="minorHAnsi" w:hAnsiTheme="minorHAnsi" w:cstheme="minorHAnsi"/>
          <w:sz w:val="16"/>
          <w:szCs w:val="16"/>
        </w:rPr>
        <w:t xml:space="preserve"> Hong, Wen-Bin Shen, Tai-Jun Hang, Can Zhang, The performance of thiol-terminated PEG-paclitaxel-conjugated gold nanoparticles. Biomaterials 2013, 34</w:t>
      </w:r>
      <w:r w:rsidR="00CE3410">
        <w:rPr>
          <w:rFonts w:asciiTheme="minorHAnsi" w:hAnsiTheme="minorHAnsi" w:cstheme="minorHAnsi"/>
          <w:sz w:val="16"/>
          <w:szCs w:val="16"/>
        </w:rPr>
        <w:t>:</w:t>
      </w:r>
      <w:r w:rsidR="00CE3410" w:rsidRPr="00CE3410">
        <w:rPr>
          <w:rFonts w:asciiTheme="minorHAnsi" w:hAnsiTheme="minorHAnsi" w:cstheme="minorHAnsi"/>
          <w:sz w:val="16"/>
          <w:szCs w:val="16"/>
        </w:rPr>
        <w:t xml:space="preserve"> 10217–10227.</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AC745F" w:rsidRDefault="00AC745F" w:rsidP="00B833AD">
      <w:pPr>
        <w:spacing w:before="90" w:line="278" w:lineRule="auto"/>
        <w:ind w:left="100"/>
        <w:jc w:val="both"/>
        <w:rPr>
          <w:sz w:val="16"/>
          <w:szCs w:val="16"/>
          <w:lang w:eastAsia="zh-CN"/>
        </w:rPr>
      </w:pPr>
      <w:r>
        <w:rPr>
          <w:rFonts w:hint="eastAsia"/>
          <w:sz w:val="16"/>
          <w:szCs w:val="16"/>
          <w:lang w:eastAsia="zh-CN"/>
        </w:rPr>
        <w:t>F</w:t>
      </w:r>
      <w:r>
        <w:rPr>
          <w:sz w:val="16"/>
          <w:szCs w:val="16"/>
          <w:lang w:eastAsia="zh-CN"/>
        </w:rPr>
        <w:t xml:space="preserve">igure. The structure of Doxorubicin-conjugated gold nanoparticles </w:t>
      </w:r>
    </w:p>
    <w:p w:rsidR="00B833AD" w:rsidRPr="007E1A75" w:rsidRDefault="00AC745F" w:rsidP="00B833AD">
      <w:pPr>
        <w:spacing w:before="90" w:line="278" w:lineRule="auto"/>
        <w:ind w:left="100"/>
        <w:jc w:val="both"/>
        <w:rPr>
          <w:rFonts w:hint="eastAsia"/>
          <w:sz w:val="16"/>
          <w:szCs w:val="16"/>
          <w:lang w:eastAsia="zh-CN"/>
        </w:rPr>
      </w:pPr>
      <w:r>
        <w:rPr>
          <w:sz w:val="16"/>
          <w:szCs w:val="16"/>
          <w:lang w:eastAsia="zh-CN"/>
        </w:rPr>
        <w:t xml:space="preserve">for </w:t>
      </w:r>
      <w:r w:rsidRPr="00AC745F">
        <w:rPr>
          <w:sz w:val="16"/>
          <w:szCs w:val="16"/>
          <w:lang w:eastAsia="zh-CN"/>
        </w:rPr>
        <w:t>Structure-Efficacy Relationship Studies</w:t>
      </w:r>
    </w:p>
    <w:p w:rsidR="007E1A75" w:rsidRDefault="007E1A75" w:rsidP="00B833AD">
      <w:pPr>
        <w:spacing w:before="90" w:line="278" w:lineRule="auto"/>
        <w:ind w:left="100"/>
        <w:jc w:val="both"/>
        <w:rPr>
          <w:rFonts w:ascii="Arial" w:hAnsi="Arial"/>
          <w:color w:val="BF5A14"/>
        </w:rPr>
      </w:pPr>
    </w:p>
    <w:p w:rsidR="00B833AD" w:rsidRDefault="00AC745F" w:rsidP="00B833AD">
      <w:pPr>
        <w:spacing w:before="90" w:line="278" w:lineRule="auto"/>
        <w:ind w:left="100"/>
        <w:jc w:val="both"/>
        <w:rPr>
          <w:rFonts w:ascii="Arial" w:hAnsi="Arial"/>
          <w:color w:val="BF5A14"/>
        </w:rPr>
      </w:pPr>
      <w:r>
        <w:rPr>
          <w:rFonts w:ascii="Arial" w:hAnsi="Arial"/>
          <w:noProof/>
          <w:color w:val="BF5A14"/>
        </w:rPr>
        <w:lastRenderedPageBreak/>
        <w:drawing>
          <wp:anchor distT="0" distB="0" distL="114300" distR="114300" simplePos="0" relativeHeight="251658240" behindDoc="0" locked="0" layoutInCell="1" allowOverlap="1" wp14:anchorId="0A91E25C">
            <wp:simplePos x="0" y="0"/>
            <wp:positionH relativeFrom="column">
              <wp:posOffset>63568</wp:posOffset>
            </wp:positionH>
            <wp:positionV relativeFrom="paragraph">
              <wp:posOffset>0</wp:posOffset>
            </wp:positionV>
            <wp:extent cx="1085850" cy="1190625"/>
            <wp:effectExtent l="0" t="0" r="0" b="952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190625"/>
                    </a:xfrm>
                    <a:prstGeom prst="rect">
                      <a:avLst/>
                    </a:prstGeom>
                    <a:noFill/>
                  </pic:spPr>
                </pic:pic>
              </a:graphicData>
            </a:graphic>
          </wp:anchor>
        </w:drawing>
      </w:r>
      <w:r w:rsidR="00B833AD">
        <w:rPr>
          <w:rFonts w:ascii="Arial" w:hAnsi="Arial"/>
          <w:color w:val="BF5A14"/>
        </w:rPr>
        <w:t xml:space="preserve">Biography: </w:t>
      </w:r>
    </w:p>
    <w:p w:rsidR="00B833AD" w:rsidRDefault="00AC745F" w:rsidP="00B833AD">
      <w:pPr>
        <w:spacing w:before="41" w:line="154" w:lineRule="exact"/>
        <w:ind w:left="213" w:right="231"/>
        <w:jc w:val="both"/>
      </w:pPr>
      <w:r w:rsidRPr="00AC745F">
        <w:rPr>
          <w:rFonts w:ascii="Arial" w:hAnsi="Arial"/>
          <w:sz w:val="14"/>
        </w:rPr>
        <w:t xml:space="preserve">Prof. </w:t>
      </w:r>
      <w:proofErr w:type="spellStart"/>
      <w:r w:rsidRPr="00AC745F">
        <w:rPr>
          <w:rFonts w:ascii="Arial" w:hAnsi="Arial"/>
          <w:sz w:val="14"/>
        </w:rPr>
        <w:t>Ya</w:t>
      </w:r>
      <w:proofErr w:type="spellEnd"/>
      <w:r w:rsidRPr="00AC745F">
        <w:rPr>
          <w:rFonts w:ascii="Arial" w:hAnsi="Arial"/>
          <w:sz w:val="14"/>
        </w:rPr>
        <w:t xml:space="preserve"> Ding is a professor of Pharmaceutical Analysis at China Pharmaceutical University, China. She obtained her Ph.D. degree in Analytical Chemistry from Nanjing University in 2007. She was a postdoctoral fellow from 2008-2012 in Department of Biology, Nanjing University and a visiting scholar from 2013-2014 in Department of Chemistry, at University of Massachusetts-Amherst. Her research interests include smart drug delivery based on gold nanoparticles, study on the quality standard of nanomaterials, and spectroscopic study of nanomaterials. She has the awardees of Program for New Century Excellent Talents in University (2010) and Science Technology Achievement Award, Higher Institution (Natural Science Award, the first prize, 2011).</w:t>
      </w:r>
      <w:r w:rsidR="00B833AD">
        <w:rPr>
          <w:rFonts w:ascii="Arial" w:hAnsi="Arial"/>
          <w:sz w:val="14"/>
          <w:szCs w:val="14"/>
        </w:rPr>
        <w:t xml:space="preserve"> (</w:t>
      </w:r>
      <w:r w:rsidR="00B833AD">
        <w:rPr>
          <w:rFonts w:ascii="Arial" w:hAnsi="Arial"/>
          <w:sz w:val="14"/>
          <w:szCs w:val="14"/>
          <w:lang w:val="pl-PL"/>
        </w:rPr>
        <w:t>orcid.org/</w:t>
      </w:r>
      <w:r w:rsidRPr="00AC745F">
        <w:rPr>
          <w:rFonts w:ascii="Arial" w:hAnsi="Arial"/>
          <w:sz w:val="14"/>
          <w:szCs w:val="14"/>
          <w:lang w:val="pl-PL"/>
        </w:rPr>
        <w:t>0000-0001-6214-5641</w:t>
      </w:r>
      <w:r w:rsidR="00B833AD">
        <w:rPr>
          <w:rFonts w:ascii="Arial" w:hAnsi="Arial"/>
          <w:sz w:val="14"/>
          <w:szCs w:val="14"/>
          <w:lang w:val="pl-PL"/>
        </w:rPr>
        <w:t>)</w:t>
      </w:r>
      <w:bookmarkStart w:id="1" w:name="_GoBack"/>
      <w:bookmarkEnd w:id="1"/>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AC745F">
        <w:rPr>
          <w:rFonts w:cstheme="minorHAnsi"/>
          <w:color w:val="BF5A14"/>
          <w:sz w:val="16"/>
          <w:szCs w:val="16"/>
        </w:rPr>
        <w:t>dingya</w:t>
      </w:r>
      <w:r w:rsidRPr="00B833AD">
        <w:rPr>
          <w:rFonts w:cstheme="minorHAnsi"/>
          <w:color w:val="BF5A14"/>
          <w:sz w:val="16"/>
          <w:szCs w:val="16"/>
        </w:rPr>
        <w:t>@</w:t>
      </w:r>
      <w:r w:rsidR="00AC745F">
        <w:rPr>
          <w:rFonts w:cstheme="minorHAnsi"/>
          <w:color w:val="BF5A14"/>
          <w:sz w:val="16"/>
          <w:szCs w:val="16"/>
        </w:rPr>
        <w:t>cpu.edu.cn</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1"/>
        <w:spacing w:before="170"/>
        <w:ind w:left="0"/>
      </w:pPr>
    </w:p>
    <w:p w:rsidR="007F4A2B" w:rsidRDefault="00442823"/>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2823" w:rsidRDefault="00442823" w:rsidP="007E1A75">
      <w:pPr>
        <w:spacing w:after="0" w:line="240" w:lineRule="auto"/>
      </w:pPr>
      <w:r>
        <w:separator/>
      </w:r>
    </w:p>
  </w:endnote>
  <w:endnote w:type="continuationSeparator" w:id="0">
    <w:p w:rsidR="00442823" w:rsidRDefault="00442823"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Minion Pro">
    <w:panose1 w:val="02040503050201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2823" w:rsidRDefault="00442823" w:rsidP="007E1A75">
      <w:pPr>
        <w:spacing w:after="0" w:line="240" w:lineRule="auto"/>
      </w:pPr>
      <w:r>
        <w:separator/>
      </w:r>
    </w:p>
  </w:footnote>
  <w:footnote w:type="continuationSeparator" w:id="0">
    <w:p w:rsidR="00442823" w:rsidRDefault="00442823"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E66"/>
    <w:rsid w:val="001063C4"/>
    <w:rsid w:val="00236A4D"/>
    <w:rsid w:val="002A2E66"/>
    <w:rsid w:val="00442823"/>
    <w:rsid w:val="005E386E"/>
    <w:rsid w:val="007E1A75"/>
    <w:rsid w:val="009257BB"/>
    <w:rsid w:val="00AC745F"/>
    <w:rsid w:val="00B37006"/>
    <w:rsid w:val="00B833AD"/>
    <w:rsid w:val="00C636C6"/>
    <w:rsid w:val="00CE3410"/>
    <w:rsid w:val="00DA6DE1"/>
    <w:rsid w:val="00F264C1"/>
    <w:rsid w:val="00F60D3E"/>
    <w:rsid w:val="00F84AD6"/>
    <w:rsid w:val="00F91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D3C72"/>
  <w15:docId w15:val="{F914E731-DF37-4516-B296-D9DF3D01F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标题 3 字符"/>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批注框文本 字符"/>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页眉 字符"/>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页脚 字符"/>
    <w:basedOn w:val="a0"/>
    <w:link w:val="a9"/>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aya</cp:lastModifiedBy>
  <cp:revision>7</cp:revision>
  <dcterms:created xsi:type="dcterms:W3CDTF">2019-07-30T07:40:00Z</dcterms:created>
  <dcterms:modified xsi:type="dcterms:W3CDTF">2019-07-30T07:57:00Z</dcterms:modified>
</cp:coreProperties>
</file>