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8BA" w:rsidRDefault="00D508BA" w:rsidP="00D508BA">
      <w:pPr>
        <w:keepNext/>
        <w:rPr>
          <w:b/>
          <w:noProof/>
          <w:color w:val="0000FF"/>
          <w:lang w:val="en-GB" w:eastAsia="en-GB"/>
        </w:rPr>
      </w:pPr>
      <w:r>
        <w:rPr>
          <w:noProof/>
          <w:lang w:val="en-GB" w:eastAsia="en-GB"/>
        </w:rPr>
        <w:drawing>
          <wp:inline distT="0" distB="0" distL="0" distR="0">
            <wp:extent cx="1250950" cy="1543040"/>
            <wp:effectExtent l="0" t="0" r="635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0186.JPG"/>
                    <pic:cNvPicPr/>
                  </pic:nvPicPr>
                  <pic:blipFill rotWithShape="1">
                    <a:blip r:embed="rId4" cstate="print">
                      <a:extLst>
                        <a:ext uri="{28A0092B-C50C-407E-A947-70E740481C1C}">
                          <a14:useLocalDpi xmlns:a14="http://schemas.microsoft.com/office/drawing/2010/main" val="0"/>
                        </a:ext>
                      </a:extLst>
                    </a:blip>
                    <a:srcRect l="1" t="8644" r="7468"/>
                    <a:stretch/>
                  </pic:blipFill>
                  <pic:spPr bwMode="auto">
                    <a:xfrm>
                      <a:off x="0" y="0"/>
                      <a:ext cx="1266902" cy="1562717"/>
                    </a:xfrm>
                    <a:prstGeom prst="rect">
                      <a:avLst/>
                    </a:prstGeom>
                    <a:ln>
                      <a:noFill/>
                    </a:ln>
                    <a:extLst>
                      <a:ext uri="{53640926-AAD7-44D8-BBD7-CCE9431645EC}">
                        <a14:shadowObscured xmlns:a14="http://schemas.microsoft.com/office/drawing/2010/main"/>
                      </a:ext>
                    </a:extLst>
                  </pic:spPr>
                </pic:pic>
              </a:graphicData>
            </a:graphic>
          </wp:inline>
        </w:drawing>
      </w:r>
      <w:r>
        <w:rPr>
          <w:b/>
          <w:noProof/>
          <w:color w:val="0000FF"/>
          <w:lang w:val="en-GB" w:eastAsia="en-GB"/>
        </w:rPr>
        <w:t xml:space="preserve">                                                                            </w:t>
      </w:r>
      <w:r>
        <w:rPr>
          <w:b/>
          <w:noProof/>
          <w:color w:val="0000FF"/>
          <w:lang w:val="en-GB" w:eastAsia="en-GB"/>
        </w:rPr>
        <w:drawing>
          <wp:inline distT="0" distB="0" distL="0" distR="0" wp14:anchorId="3B4D6951" wp14:editId="23CE0B57">
            <wp:extent cx="1498600" cy="1123275"/>
            <wp:effectExtent l="0" t="0" r="635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1506727" cy="1129366"/>
                    </a:xfrm>
                    <a:prstGeom prst="rect">
                      <a:avLst/>
                    </a:prstGeom>
                  </pic:spPr>
                </pic:pic>
              </a:graphicData>
            </a:graphic>
          </wp:inline>
        </w:drawing>
      </w:r>
    </w:p>
    <w:p w:rsidR="00D508BA" w:rsidRDefault="00D508BA" w:rsidP="00D508BA">
      <w:pPr>
        <w:keepNext/>
        <w:rPr>
          <w:b/>
          <w:noProof/>
          <w:color w:val="0000FF"/>
          <w:lang w:val="en-GB" w:eastAsia="en-GB"/>
        </w:rPr>
      </w:pPr>
    </w:p>
    <w:p w:rsidR="00D508BA" w:rsidRPr="00D508BA" w:rsidRDefault="00D508BA" w:rsidP="00D508BA">
      <w:pPr>
        <w:keepNext/>
      </w:pPr>
      <w:r>
        <w:t xml:space="preserve">                                                                                       </w:t>
      </w:r>
    </w:p>
    <w:p w:rsidR="00AF61EB" w:rsidRDefault="00AF61EB" w:rsidP="00074C9C">
      <w:pPr>
        <w:rPr>
          <w:rFonts w:eastAsia="MS PGothic"/>
          <w:b/>
          <w:color w:val="000000"/>
          <w:sz w:val="28"/>
          <w:szCs w:val="28"/>
        </w:rPr>
      </w:pPr>
    </w:p>
    <w:p w:rsidR="000B5736" w:rsidRPr="00524B68" w:rsidRDefault="00074C9C" w:rsidP="000B5736">
      <w:pPr>
        <w:jc w:val="center"/>
        <w:rPr>
          <w:rFonts w:ascii="Cambria" w:hAnsi="Cambria"/>
          <w:u w:val="single"/>
        </w:rPr>
      </w:pPr>
      <w:r w:rsidRPr="00327F9B">
        <w:rPr>
          <w:rFonts w:eastAsia="MS PGothic"/>
          <w:b/>
          <w:color w:val="000000"/>
          <w:sz w:val="28"/>
          <w:szCs w:val="28"/>
        </w:rPr>
        <w:t xml:space="preserve">Title: </w:t>
      </w:r>
      <w:r w:rsidR="000B5736" w:rsidRPr="00524B68">
        <w:rPr>
          <w:rFonts w:ascii="Cambria" w:hAnsi="Cambria"/>
          <w:u w:val="single"/>
        </w:rPr>
        <w:t>Assessment of EGFR Modulation in HPV negative</w:t>
      </w:r>
      <w:r w:rsidR="000B5736">
        <w:rPr>
          <w:rFonts w:ascii="Cambria" w:hAnsi="Cambria"/>
          <w:u w:val="single"/>
        </w:rPr>
        <w:t>/positive</w:t>
      </w:r>
      <w:r w:rsidR="000B5736" w:rsidRPr="00524B68">
        <w:rPr>
          <w:rFonts w:ascii="Cambria" w:hAnsi="Cambria"/>
          <w:u w:val="single"/>
        </w:rPr>
        <w:t xml:space="preserve"> Head and Neck Cancer Cells and The effect on Response to Targeted Therapies</w:t>
      </w:r>
    </w:p>
    <w:p w:rsidR="00074C9C" w:rsidRPr="00327F9B" w:rsidRDefault="00074C9C" w:rsidP="00074C9C">
      <w:pPr>
        <w:rPr>
          <w:rFonts w:eastAsia="MS PGothic"/>
          <w:b/>
          <w:color w:val="000000"/>
          <w:sz w:val="28"/>
          <w:szCs w:val="28"/>
        </w:rPr>
      </w:pP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FF7B6D">
        <w:rPr>
          <w:rFonts w:eastAsia="MS PGothic" w:hAnsi="Arial"/>
          <w:color w:val="000000"/>
        </w:rPr>
        <w:t xml:space="preserve">Name: </w:t>
      </w:r>
      <w:bookmarkStart w:id="0" w:name="_GoBack"/>
      <w:bookmarkEnd w:id="0"/>
      <w:r w:rsidR="00FF7B6D">
        <w:rPr>
          <w:rFonts w:eastAsia="MS PGothic" w:hAnsi="Arial"/>
          <w:color w:val="000000"/>
        </w:rPr>
        <w:t>Elham N. Sahafi</w:t>
      </w:r>
    </w:p>
    <w:p w:rsidR="008E2F78" w:rsidRDefault="008E2F78" w:rsidP="003A3C5A">
      <w:pPr>
        <w:rPr>
          <w:rFonts w:eastAsia="MS PGothic" w:hAnsi="Arial"/>
          <w:color w:val="000000"/>
        </w:rPr>
      </w:pPr>
    </w:p>
    <w:p w:rsidR="00DC433A" w:rsidRDefault="00DC433A" w:rsidP="00DC433A">
      <w:pPr>
        <w:rPr>
          <w:rFonts w:eastAsia="MS PGothic" w:hAnsi="Arial"/>
          <w:color w:val="000000"/>
        </w:rPr>
      </w:pPr>
      <w:r>
        <w:rPr>
          <w:b/>
          <w:sz w:val="28"/>
          <w:szCs w:val="28"/>
        </w:rPr>
        <w:t xml:space="preserve">                     </w:t>
      </w:r>
      <w:r w:rsidR="00FF7B6D">
        <w:rPr>
          <w:b/>
          <w:sz w:val="28"/>
          <w:szCs w:val="28"/>
        </w:rPr>
        <w:t xml:space="preserve">               </w:t>
      </w:r>
      <w:r w:rsidR="00FF7B6D">
        <w:rPr>
          <w:rFonts w:eastAsia="MS PGothic" w:hAnsi="Arial"/>
          <w:color w:val="000000"/>
        </w:rPr>
        <w:t>King</w:t>
      </w:r>
      <w:r w:rsidR="00FF7B6D">
        <w:rPr>
          <w:rFonts w:eastAsia="MS PGothic" w:hAnsi="Arial"/>
          <w:color w:val="000000"/>
        </w:rPr>
        <w:t>’</w:t>
      </w:r>
      <w:r w:rsidR="00FF7B6D">
        <w:rPr>
          <w:rFonts w:eastAsia="MS PGothic" w:hAnsi="Arial"/>
          <w:color w:val="000000"/>
        </w:rPr>
        <w:t>s College London, London-UK</w:t>
      </w:r>
    </w:p>
    <w:p w:rsidR="00395AF7" w:rsidRPr="00327F9B" w:rsidRDefault="00395AF7" w:rsidP="00DC433A">
      <w:pPr>
        <w:rPr>
          <w:rFonts w:eastAsia="MS PGothic" w:hAnsi="Arial"/>
          <w:color w:val="000000"/>
        </w:rPr>
      </w:pPr>
    </w:p>
    <w:p w:rsidR="00395AF7" w:rsidRPr="00395AF7" w:rsidRDefault="00395AF7" w:rsidP="00395AF7">
      <w:pPr>
        <w:jc w:val="both"/>
        <w:rPr>
          <w:rFonts w:asciiTheme="majorHAnsi" w:hAnsiTheme="majorHAnsi"/>
          <w:sz w:val="22"/>
          <w:szCs w:val="22"/>
        </w:rPr>
      </w:pPr>
      <w:r w:rsidRPr="00395AF7">
        <w:rPr>
          <w:rFonts w:asciiTheme="majorHAnsi" w:hAnsiTheme="majorHAnsi"/>
          <w:sz w:val="22"/>
          <w:szCs w:val="22"/>
        </w:rPr>
        <w:t xml:space="preserve">The HPV negative head and neck squamous cell carcinoma (HNSCC) have poor outcome due to the aggressive nature of the disease. Epidermal growth factor receptor (EGFR) regulates growth, survival and progression of HNSCC representing a promising molecular target. Although, 90% of HNSCC demonstrate overexpression of EGFR, the clinical response to EGFR inhibitors is only 10-15%. Cetuximab, an EGFR-targeted monoclonal antibody, has been approved clinically for advanced HNSCC treatment. There has been no direct correlation between EGFR overexpression and clinical response to cetuximab. </w:t>
      </w:r>
      <w:r w:rsidR="001F6050" w:rsidRPr="00395AF7">
        <w:rPr>
          <w:rFonts w:asciiTheme="majorHAnsi" w:hAnsiTheme="majorHAnsi"/>
          <w:sz w:val="22"/>
          <w:szCs w:val="22"/>
        </w:rPr>
        <w:t>Th</w:t>
      </w:r>
      <w:r w:rsidR="001F6050">
        <w:rPr>
          <w:rFonts w:asciiTheme="majorHAnsi" w:hAnsiTheme="majorHAnsi"/>
          <w:sz w:val="22"/>
          <w:szCs w:val="22"/>
        </w:rPr>
        <w:t>erefore, we</w:t>
      </w:r>
      <w:r w:rsidRPr="00395AF7">
        <w:rPr>
          <w:rFonts w:asciiTheme="majorHAnsi" w:hAnsiTheme="majorHAnsi"/>
          <w:sz w:val="22"/>
          <w:szCs w:val="22"/>
        </w:rPr>
        <w:t xml:space="preserve"> aimed to assess the effects of EGFR modulation in HPV</w:t>
      </w:r>
      <w:r w:rsidR="00487A3A">
        <w:rPr>
          <w:rFonts w:asciiTheme="majorHAnsi" w:hAnsiTheme="majorHAnsi"/>
          <w:sz w:val="22"/>
          <w:szCs w:val="22"/>
        </w:rPr>
        <w:t>+/-</w:t>
      </w:r>
      <w:r w:rsidRPr="00395AF7">
        <w:rPr>
          <w:rFonts w:asciiTheme="majorHAnsi" w:hAnsiTheme="majorHAnsi"/>
          <w:sz w:val="22"/>
          <w:szCs w:val="22"/>
        </w:rPr>
        <w:t xml:space="preserve"> </w:t>
      </w:r>
      <w:r w:rsidRPr="00395AF7">
        <w:rPr>
          <w:rFonts w:asciiTheme="majorHAnsi" w:hAnsiTheme="majorHAnsi"/>
          <w:sz w:val="22"/>
          <w:szCs w:val="22"/>
        </w:rPr>
        <w:t xml:space="preserve">HNSCC </w:t>
      </w:r>
      <w:r w:rsidRPr="00395AF7">
        <w:rPr>
          <w:rFonts w:asciiTheme="majorHAnsi" w:hAnsiTheme="majorHAnsi"/>
          <w:sz w:val="22"/>
          <w:szCs w:val="22"/>
        </w:rPr>
        <w:t>cells</w:t>
      </w:r>
      <w:r w:rsidRPr="00395AF7">
        <w:rPr>
          <w:rFonts w:asciiTheme="majorHAnsi" w:hAnsiTheme="majorHAnsi"/>
          <w:sz w:val="22"/>
          <w:szCs w:val="22"/>
        </w:rPr>
        <w:t xml:space="preserve"> and</w:t>
      </w:r>
      <w:r w:rsidRPr="00395AF7">
        <w:rPr>
          <w:rFonts w:asciiTheme="majorHAnsi" w:hAnsiTheme="majorHAnsi"/>
          <w:sz w:val="22"/>
          <w:szCs w:val="22"/>
        </w:rPr>
        <w:t xml:space="preserve"> the </w:t>
      </w:r>
      <w:r w:rsidR="001F6050">
        <w:rPr>
          <w:rFonts w:asciiTheme="majorHAnsi" w:hAnsiTheme="majorHAnsi"/>
          <w:sz w:val="22"/>
          <w:szCs w:val="22"/>
        </w:rPr>
        <w:t xml:space="preserve">response to cetuximab. Two HNC cell lines, SCC072 (HPV-) and SCC154 (HPV+) </w:t>
      </w:r>
      <w:r w:rsidRPr="00395AF7">
        <w:rPr>
          <w:rFonts w:asciiTheme="majorHAnsi" w:hAnsiTheme="majorHAnsi"/>
          <w:sz w:val="22"/>
          <w:szCs w:val="22"/>
        </w:rPr>
        <w:t>with low endogenous EGFR level w</w:t>
      </w:r>
      <w:r w:rsidR="001F6050">
        <w:rPr>
          <w:rFonts w:asciiTheme="majorHAnsi" w:hAnsiTheme="majorHAnsi"/>
          <w:sz w:val="22"/>
          <w:szCs w:val="22"/>
        </w:rPr>
        <w:t>ere modulated to overexpress EGFR.</w:t>
      </w:r>
      <w:r w:rsidR="00487A3A">
        <w:rPr>
          <w:rFonts w:asciiTheme="majorHAnsi" w:hAnsiTheme="majorHAnsi"/>
          <w:sz w:val="22"/>
          <w:szCs w:val="22"/>
        </w:rPr>
        <w:t xml:space="preserve"> Overexpression</w:t>
      </w:r>
      <w:r w:rsidR="001F6050">
        <w:rPr>
          <w:rFonts w:asciiTheme="majorHAnsi" w:hAnsiTheme="majorHAnsi"/>
          <w:sz w:val="22"/>
          <w:szCs w:val="22"/>
        </w:rPr>
        <w:t xml:space="preserve"> was confirmed and functional characterisations were performed</w:t>
      </w:r>
      <w:r w:rsidR="00487A3A">
        <w:rPr>
          <w:rFonts w:asciiTheme="majorHAnsi" w:hAnsiTheme="majorHAnsi"/>
          <w:sz w:val="22"/>
          <w:szCs w:val="22"/>
        </w:rPr>
        <w:t xml:space="preserve">. </w:t>
      </w:r>
      <w:r w:rsidRPr="00395AF7">
        <w:rPr>
          <w:rFonts w:asciiTheme="majorHAnsi" w:hAnsiTheme="majorHAnsi"/>
          <w:sz w:val="22"/>
          <w:szCs w:val="22"/>
        </w:rPr>
        <w:t>Interestingly, overexpression of EGFR aff</w:t>
      </w:r>
      <w:r w:rsidR="00AF411F">
        <w:rPr>
          <w:rFonts w:asciiTheme="majorHAnsi" w:hAnsiTheme="majorHAnsi"/>
          <w:sz w:val="22"/>
          <w:szCs w:val="22"/>
        </w:rPr>
        <w:t>ected cellular proliferation,</w:t>
      </w:r>
      <w:r w:rsidRPr="00395AF7">
        <w:rPr>
          <w:rFonts w:asciiTheme="majorHAnsi" w:hAnsiTheme="majorHAnsi"/>
          <w:sz w:val="22"/>
          <w:szCs w:val="22"/>
        </w:rPr>
        <w:t xml:space="preserve"> migration</w:t>
      </w:r>
      <w:r w:rsidR="00AF411F">
        <w:rPr>
          <w:rFonts w:asciiTheme="majorHAnsi" w:hAnsiTheme="majorHAnsi"/>
          <w:sz w:val="22"/>
          <w:szCs w:val="22"/>
        </w:rPr>
        <w:t xml:space="preserve"> and invasion</w:t>
      </w:r>
      <w:r w:rsidRPr="00395AF7">
        <w:rPr>
          <w:rFonts w:asciiTheme="majorHAnsi" w:hAnsiTheme="majorHAnsi"/>
          <w:sz w:val="22"/>
          <w:szCs w:val="22"/>
        </w:rPr>
        <w:t>.  Howev</w:t>
      </w:r>
      <w:r w:rsidR="00487A3A">
        <w:rPr>
          <w:rFonts w:asciiTheme="majorHAnsi" w:hAnsiTheme="majorHAnsi"/>
          <w:sz w:val="22"/>
          <w:szCs w:val="22"/>
        </w:rPr>
        <w:t>er, the modulated</w:t>
      </w:r>
      <w:r w:rsidRPr="00395AF7">
        <w:rPr>
          <w:rFonts w:asciiTheme="majorHAnsi" w:hAnsiTheme="majorHAnsi"/>
          <w:sz w:val="22"/>
          <w:szCs w:val="22"/>
        </w:rPr>
        <w:t xml:space="preserve"> cells were</w:t>
      </w:r>
      <w:r w:rsidR="00487A3A">
        <w:rPr>
          <w:rFonts w:asciiTheme="majorHAnsi" w:hAnsiTheme="majorHAnsi"/>
          <w:sz w:val="22"/>
          <w:szCs w:val="22"/>
        </w:rPr>
        <w:t xml:space="preserve"> resistant to cetuximab. </w:t>
      </w:r>
      <w:r w:rsidRPr="00395AF7">
        <w:rPr>
          <w:rFonts w:asciiTheme="majorHAnsi" w:hAnsiTheme="majorHAnsi"/>
          <w:sz w:val="22"/>
          <w:szCs w:val="22"/>
        </w:rPr>
        <w:t xml:space="preserve">The resistance of </w:t>
      </w:r>
      <w:r w:rsidR="00487A3A">
        <w:rPr>
          <w:rFonts w:asciiTheme="majorHAnsi" w:hAnsiTheme="majorHAnsi"/>
          <w:sz w:val="22"/>
          <w:szCs w:val="22"/>
        </w:rPr>
        <w:t xml:space="preserve">modulated cells </w:t>
      </w:r>
      <w:r w:rsidRPr="00395AF7">
        <w:rPr>
          <w:rFonts w:asciiTheme="majorHAnsi" w:hAnsiTheme="majorHAnsi"/>
          <w:sz w:val="22"/>
          <w:szCs w:val="22"/>
        </w:rPr>
        <w:t>to cetuximab suggested that overexpression of EGFR may not be the only mechanism of response to the drug. The presence of other EGFR family members such as Her2, 3, 4 may influence the response. Studies are in progress to investigate the activation of other EGFR pathways.  Effect</w:t>
      </w:r>
      <w:r w:rsidR="00487A3A">
        <w:rPr>
          <w:rFonts w:asciiTheme="majorHAnsi" w:hAnsiTheme="majorHAnsi"/>
          <w:sz w:val="22"/>
          <w:szCs w:val="22"/>
        </w:rPr>
        <w:t>s</w:t>
      </w:r>
      <w:r w:rsidRPr="00395AF7">
        <w:rPr>
          <w:rFonts w:asciiTheme="majorHAnsi" w:hAnsiTheme="majorHAnsi"/>
          <w:sz w:val="22"/>
          <w:szCs w:val="22"/>
        </w:rPr>
        <w:t xml:space="preserve"> of other EGFR inhibitors such as Gefitin</w:t>
      </w:r>
      <w:r w:rsidR="00487A3A">
        <w:rPr>
          <w:rFonts w:asciiTheme="majorHAnsi" w:hAnsiTheme="majorHAnsi"/>
          <w:sz w:val="22"/>
          <w:szCs w:val="22"/>
        </w:rPr>
        <w:t>ib combined with radiotherapy are</w:t>
      </w:r>
      <w:r w:rsidRPr="00395AF7">
        <w:rPr>
          <w:rFonts w:asciiTheme="majorHAnsi" w:hAnsiTheme="majorHAnsi"/>
          <w:sz w:val="22"/>
          <w:szCs w:val="22"/>
        </w:rPr>
        <w:t xml:space="preserve"> also being investigated. Notably, HPV+ HNSCC have low EGFR expression compared to HPV- cancers and the former have </w:t>
      </w:r>
      <w:r w:rsidR="00487A3A" w:rsidRPr="00395AF7">
        <w:rPr>
          <w:rFonts w:asciiTheme="majorHAnsi" w:hAnsiTheme="majorHAnsi"/>
          <w:sz w:val="22"/>
          <w:szCs w:val="22"/>
        </w:rPr>
        <w:t>favorable</w:t>
      </w:r>
      <w:r w:rsidRPr="00395AF7">
        <w:rPr>
          <w:rFonts w:asciiTheme="majorHAnsi" w:hAnsiTheme="majorHAnsi"/>
          <w:sz w:val="22"/>
          <w:szCs w:val="22"/>
        </w:rPr>
        <w:t xml:space="preserve"> prognosis. Another aim of this study is to investigate whether EGFR is a factor in radio</w:t>
      </w:r>
      <w:r w:rsidR="00487A3A" w:rsidRPr="00395AF7">
        <w:rPr>
          <w:rFonts w:asciiTheme="majorHAnsi" w:hAnsiTheme="majorHAnsi"/>
          <w:sz w:val="22"/>
          <w:szCs w:val="22"/>
        </w:rPr>
        <w:t>sensitivity</w:t>
      </w:r>
      <w:r w:rsidRPr="00395AF7">
        <w:rPr>
          <w:rFonts w:asciiTheme="majorHAnsi" w:hAnsiTheme="majorHAnsi"/>
          <w:sz w:val="22"/>
          <w:szCs w:val="22"/>
        </w:rPr>
        <w:t xml:space="preserve"> in HPV+ HNSCCs.</w:t>
      </w:r>
    </w:p>
    <w:p w:rsidR="00395AF7" w:rsidRPr="00395AF7" w:rsidRDefault="00395AF7" w:rsidP="00395AF7">
      <w:pPr>
        <w:jc w:val="both"/>
        <w:rPr>
          <w:rFonts w:asciiTheme="majorHAnsi" w:hAnsiTheme="majorHAnsi"/>
          <w:sz w:val="22"/>
          <w:szCs w:val="22"/>
        </w:rPr>
      </w:pP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E75B49" w:rsidRPr="00E75B49" w:rsidRDefault="00AF411F" w:rsidP="00E75B49">
      <w:pPr>
        <w:jc w:val="both"/>
        <w:rPr>
          <w:rFonts w:asciiTheme="majorHAnsi" w:hAnsiTheme="majorHAnsi"/>
          <w:sz w:val="22"/>
          <w:szCs w:val="22"/>
        </w:rPr>
      </w:pPr>
      <w:r w:rsidRPr="00E75B49">
        <w:rPr>
          <w:rFonts w:asciiTheme="majorHAnsi" w:hAnsiTheme="majorHAnsi"/>
          <w:sz w:val="22"/>
          <w:szCs w:val="22"/>
        </w:rPr>
        <w:t xml:space="preserve">Dr Elham Sahafi has achieved her BDS in Dental Medicine and Surgery from King Abdul-Aziz University with Second-Honor in Saudi Arabia. She successfully obtained an academic position at Umm Al-Qura University in Basic and Clinical </w:t>
      </w:r>
      <w:r w:rsidR="00E75B49" w:rsidRPr="00E75B49">
        <w:rPr>
          <w:rFonts w:asciiTheme="majorHAnsi" w:hAnsiTheme="majorHAnsi"/>
          <w:sz w:val="22"/>
          <w:szCs w:val="22"/>
        </w:rPr>
        <w:t xml:space="preserve">Sciences Department-Oral Biology. After which, she was offered scholarship for post-graduate studies. She completed her MSc in Oral Biology with Distinction at Queen Mary University of London. Currently, she finished her first year of </w:t>
      </w:r>
      <w:r w:rsidR="00A50C1E" w:rsidRPr="00E75B49">
        <w:rPr>
          <w:rFonts w:asciiTheme="majorHAnsi" w:hAnsiTheme="majorHAnsi"/>
          <w:sz w:val="22"/>
          <w:szCs w:val="22"/>
        </w:rPr>
        <w:t>PhD</w:t>
      </w:r>
      <w:r w:rsidR="00E75B49" w:rsidRPr="00E75B49">
        <w:rPr>
          <w:rFonts w:asciiTheme="majorHAnsi" w:hAnsiTheme="majorHAnsi"/>
          <w:sz w:val="22"/>
          <w:szCs w:val="22"/>
        </w:rPr>
        <w:t xml:space="preserve"> at King's College London in Head and Neck Oncology.</w:t>
      </w:r>
    </w:p>
    <w:sectPr w:rsidR="00E75B49" w:rsidRPr="00E75B49"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B5736"/>
    <w:rsid w:val="000D6718"/>
    <w:rsid w:val="001B06AE"/>
    <w:rsid w:val="001F6050"/>
    <w:rsid w:val="00265E72"/>
    <w:rsid w:val="002C359D"/>
    <w:rsid w:val="002C3D9B"/>
    <w:rsid w:val="0031455A"/>
    <w:rsid w:val="00363668"/>
    <w:rsid w:val="00384441"/>
    <w:rsid w:val="00395AF7"/>
    <w:rsid w:val="003A3C5A"/>
    <w:rsid w:val="00437503"/>
    <w:rsid w:val="00441F91"/>
    <w:rsid w:val="00487A3A"/>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52FE6"/>
    <w:rsid w:val="009E52D9"/>
    <w:rsid w:val="00A4183E"/>
    <w:rsid w:val="00A50C1E"/>
    <w:rsid w:val="00A67093"/>
    <w:rsid w:val="00AA5A30"/>
    <w:rsid w:val="00AC5543"/>
    <w:rsid w:val="00AF411F"/>
    <w:rsid w:val="00AF61EB"/>
    <w:rsid w:val="00B03DB8"/>
    <w:rsid w:val="00B17C38"/>
    <w:rsid w:val="00B44878"/>
    <w:rsid w:val="00B8710A"/>
    <w:rsid w:val="00BA2068"/>
    <w:rsid w:val="00BB3C9E"/>
    <w:rsid w:val="00C07C5B"/>
    <w:rsid w:val="00C578FF"/>
    <w:rsid w:val="00C828BF"/>
    <w:rsid w:val="00CE6677"/>
    <w:rsid w:val="00D508BA"/>
    <w:rsid w:val="00D605F8"/>
    <w:rsid w:val="00D734FE"/>
    <w:rsid w:val="00D841B1"/>
    <w:rsid w:val="00DC433A"/>
    <w:rsid w:val="00E63452"/>
    <w:rsid w:val="00E75B49"/>
    <w:rsid w:val="00E90D52"/>
    <w:rsid w:val="00ED2B89"/>
    <w:rsid w:val="00F848FD"/>
    <w:rsid w:val="00FF7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37B09F-7CEA-4E27-A30B-CB3F0140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Alsahafi, Elham</cp:lastModifiedBy>
  <cp:revision>3</cp:revision>
  <dcterms:created xsi:type="dcterms:W3CDTF">2015-02-18T06:05:00Z</dcterms:created>
  <dcterms:modified xsi:type="dcterms:W3CDTF">2017-08-08T13:31:00Z</dcterms:modified>
</cp:coreProperties>
</file>