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EE3C44" w14:textId="4EBCC20A" w:rsidR="00072970" w:rsidRDefault="00512CCE" w:rsidP="00512CCE">
      <w:pPr>
        <w:pStyle w:val="TableText"/>
        <w:spacing w:before="120" w:line="360" w:lineRule="auto"/>
        <w:jc w:val="both"/>
        <w:rPr>
          <w:rFonts w:asciiTheme="minorHAnsi" w:hAnsiTheme="minorHAnsi" w:cs="Arial"/>
          <w:b/>
          <w:sz w:val="24"/>
          <w:szCs w:val="22"/>
          <w:lang w:val="en-ZA"/>
        </w:rPr>
      </w:pPr>
      <w:r>
        <w:rPr>
          <w:rFonts w:asciiTheme="minorHAnsi" w:hAnsiTheme="minorHAnsi" w:cs="Arial"/>
          <w:b/>
          <w:sz w:val="24"/>
          <w:szCs w:val="22"/>
          <w:lang w:val="en-ZA"/>
        </w:rPr>
        <w:t xml:space="preserve">TITLE: </w:t>
      </w:r>
      <w:r w:rsidR="00072970" w:rsidRPr="00512CCE">
        <w:rPr>
          <w:rFonts w:asciiTheme="minorHAnsi" w:hAnsiTheme="minorHAnsi" w:cs="Arial"/>
          <w:b/>
          <w:sz w:val="24"/>
          <w:szCs w:val="22"/>
          <w:lang w:val="en-ZA"/>
        </w:rPr>
        <w:t>Dental and Craniofacial Manifestations in Rare Genetic Thin Bone Disorders in SA</w:t>
      </w:r>
    </w:p>
    <w:p w14:paraId="1679DD68" w14:textId="77777777" w:rsidR="00BF545F" w:rsidRPr="00512CCE" w:rsidRDefault="00BF545F" w:rsidP="00512CCE">
      <w:pPr>
        <w:pStyle w:val="TableText"/>
        <w:spacing w:before="120" w:line="360" w:lineRule="auto"/>
        <w:jc w:val="both"/>
        <w:rPr>
          <w:rFonts w:asciiTheme="minorHAnsi" w:hAnsiTheme="minorHAnsi" w:cs="Arial"/>
          <w:b/>
          <w:sz w:val="24"/>
          <w:szCs w:val="22"/>
          <w:lang w:val="en-ZA"/>
        </w:rPr>
      </w:pPr>
    </w:p>
    <w:p w14:paraId="59D8EF43" w14:textId="77777777" w:rsidR="004473F9" w:rsidRPr="00512CCE" w:rsidRDefault="004473F9" w:rsidP="00512CCE">
      <w:pPr>
        <w:pStyle w:val="TableText"/>
        <w:spacing w:before="120" w:line="360" w:lineRule="auto"/>
        <w:jc w:val="both"/>
        <w:rPr>
          <w:rFonts w:asciiTheme="minorHAnsi" w:hAnsiTheme="minorHAnsi" w:cs="Arial"/>
          <w:b/>
          <w:sz w:val="22"/>
          <w:szCs w:val="22"/>
          <w:lang w:val="en-ZA"/>
        </w:rPr>
      </w:pPr>
      <w:r w:rsidRPr="00512CCE">
        <w:rPr>
          <w:rFonts w:asciiTheme="minorHAnsi" w:hAnsiTheme="minorHAnsi" w:cs="Arial"/>
          <w:b/>
          <w:sz w:val="22"/>
          <w:szCs w:val="22"/>
          <w:lang w:val="en-ZA"/>
        </w:rPr>
        <w:t xml:space="preserve">Introduction </w:t>
      </w:r>
    </w:p>
    <w:p w14:paraId="725FBA2C" w14:textId="6B431F22" w:rsidR="004473F9" w:rsidRPr="00512CCE" w:rsidRDefault="004473F9" w:rsidP="00512CCE">
      <w:pPr>
        <w:pStyle w:val="TableText"/>
        <w:spacing w:before="120" w:line="360" w:lineRule="auto"/>
        <w:jc w:val="both"/>
        <w:rPr>
          <w:rFonts w:asciiTheme="minorHAnsi" w:hAnsiTheme="minorHAnsi"/>
          <w:sz w:val="22"/>
          <w:szCs w:val="22"/>
        </w:rPr>
      </w:pPr>
      <w:r w:rsidRPr="00512CCE">
        <w:rPr>
          <w:rFonts w:asciiTheme="minorHAnsi" w:hAnsiTheme="minorHAnsi" w:cs="Arial"/>
          <w:color w:val="000000" w:themeColor="text1"/>
          <w:sz w:val="22"/>
          <w:szCs w:val="22"/>
        </w:rPr>
        <w:t xml:space="preserve">The prevalence of Osteogenesis imperfecta type III (OI III) as a category of the inherited connective tissue disorders in South Africa is of paramount importance. Although </w:t>
      </w:r>
      <w:r w:rsidRPr="00512CCE">
        <w:rPr>
          <w:rFonts w:asciiTheme="minorHAnsi" w:hAnsiTheme="minorHAnsi" w:cs="Arial"/>
          <w:sz w:val="22"/>
          <w:szCs w:val="22"/>
          <w:lang w:val="en-ZA"/>
        </w:rPr>
        <w:t>worldwide, autosomal recessive (AR) OI is rare, it had emerged that the frequency of OI III is relatively high in the indigenous Black African population of South Africa.</w:t>
      </w:r>
      <w:r w:rsidRPr="00512CCE">
        <w:rPr>
          <w:rFonts w:asciiTheme="minorHAnsi" w:hAnsiTheme="minorHAnsi"/>
          <w:sz w:val="22"/>
          <w:szCs w:val="22"/>
        </w:rPr>
        <w:t xml:space="preserve"> A review of the literature revealed a paucity of information regarding the dental and craniofacial manifestations of the disorder in this ethnic group. For these reasons, the central </w:t>
      </w:r>
      <w:r w:rsidR="00BF545F">
        <w:rPr>
          <w:rFonts w:asciiTheme="minorHAnsi" w:hAnsiTheme="minorHAnsi"/>
          <w:sz w:val="22"/>
          <w:szCs w:val="22"/>
        </w:rPr>
        <w:t xml:space="preserve">theme of this project was </w:t>
      </w:r>
      <w:r w:rsidR="00BF545F" w:rsidRPr="00512CCE">
        <w:rPr>
          <w:rFonts w:asciiTheme="minorHAnsi" w:hAnsiTheme="minorHAnsi"/>
          <w:sz w:val="22"/>
          <w:szCs w:val="22"/>
        </w:rPr>
        <w:t>the</w:t>
      </w:r>
      <w:r w:rsidRPr="00512CCE">
        <w:rPr>
          <w:rFonts w:asciiTheme="minorHAnsi" w:hAnsiTheme="minorHAnsi"/>
          <w:sz w:val="22"/>
          <w:szCs w:val="22"/>
        </w:rPr>
        <w:t xml:space="preserve"> identification, documentation and analysis of these features in individuals with OI III in the Black African population of SA.                                             </w:t>
      </w:r>
    </w:p>
    <w:p w14:paraId="198AE1C5" w14:textId="77777777" w:rsidR="004473F9" w:rsidRDefault="004473F9" w:rsidP="00512CCE">
      <w:pPr>
        <w:pStyle w:val="TableText"/>
        <w:spacing w:before="120" w:line="360" w:lineRule="auto"/>
        <w:jc w:val="both"/>
        <w:rPr>
          <w:rFonts w:asciiTheme="minorHAnsi" w:hAnsiTheme="minorHAnsi" w:cs="Arial"/>
          <w:b/>
          <w:sz w:val="22"/>
          <w:szCs w:val="22"/>
          <w:lang w:val="en-ZA"/>
        </w:rPr>
      </w:pPr>
      <w:r w:rsidRPr="00512CCE">
        <w:rPr>
          <w:rFonts w:asciiTheme="minorHAnsi" w:hAnsiTheme="minorHAnsi" w:cs="Arial"/>
          <w:b/>
          <w:sz w:val="22"/>
          <w:szCs w:val="22"/>
          <w:lang w:val="en-ZA"/>
        </w:rPr>
        <w:t>Methodology</w:t>
      </w:r>
    </w:p>
    <w:p w14:paraId="20D39E98" w14:textId="7177ED81" w:rsidR="00CE3716" w:rsidRPr="00CE3716" w:rsidRDefault="00CE3716" w:rsidP="00512CCE">
      <w:pPr>
        <w:pStyle w:val="TableText"/>
        <w:spacing w:before="120" w:line="360" w:lineRule="auto"/>
        <w:jc w:val="both"/>
        <w:rPr>
          <w:rFonts w:asciiTheme="minorHAnsi" w:hAnsiTheme="minorHAnsi" w:cs="Arial"/>
          <w:b/>
          <w:sz w:val="22"/>
          <w:szCs w:val="22"/>
          <w:lang w:val="en-ZA"/>
        </w:rPr>
      </w:pPr>
      <w:r w:rsidRPr="00CE3716">
        <w:rPr>
          <w:rFonts w:asciiTheme="minorHAnsi" w:hAnsiTheme="minorHAnsi"/>
          <w:sz w:val="22"/>
          <w:szCs w:val="22"/>
        </w:rPr>
        <w:t>Documentation of the dental and craniofacial phenotype and the correlation with the genotype in affected persons is a major objective of this study.</w:t>
      </w:r>
    </w:p>
    <w:p w14:paraId="0004075B" w14:textId="3A6CD0A0" w:rsidR="004473F9" w:rsidRPr="00CE3716" w:rsidRDefault="004473F9" w:rsidP="00512CCE">
      <w:pPr>
        <w:pStyle w:val="TableText"/>
        <w:spacing w:before="120" w:line="360" w:lineRule="auto"/>
        <w:jc w:val="both"/>
        <w:rPr>
          <w:rFonts w:asciiTheme="minorHAnsi" w:hAnsiTheme="minorHAnsi" w:cs="Arial"/>
          <w:sz w:val="22"/>
          <w:szCs w:val="22"/>
          <w:lang w:val="en-ZA"/>
        </w:rPr>
      </w:pPr>
      <w:r w:rsidRPr="00CE3716">
        <w:rPr>
          <w:rFonts w:asciiTheme="minorHAnsi" w:hAnsiTheme="minorHAnsi" w:cs="Arial"/>
          <w:sz w:val="22"/>
          <w:szCs w:val="22"/>
          <w:lang w:val="en-ZA"/>
        </w:rPr>
        <w:t xml:space="preserve">A total of 64 Black African affected persons </w:t>
      </w:r>
      <w:r w:rsidR="00512CCE" w:rsidRPr="00CE3716">
        <w:rPr>
          <w:rFonts w:asciiTheme="minorHAnsi" w:hAnsiTheme="minorHAnsi" w:cs="Arial"/>
          <w:sz w:val="22"/>
          <w:szCs w:val="22"/>
          <w:lang w:val="en-ZA"/>
        </w:rPr>
        <w:t xml:space="preserve">with OI III </w:t>
      </w:r>
      <w:r w:rsidRPr="00CE3716">
        <w:rPr>
          <w:rFonts w:asciiTheme="minorHAnsi" w:hAnsiTheme="minorHAnsi" w:cs="Arial"/>
          <w:sz w:val="22"/>
          <w:szCs w:val="22"/>
          <w:lang w:val="en-ZA"/>
        </w:rPr>
        <w:t xml:space="preserve">were assessed. In addition 5 persons of Cape Mixed Ancestry (CMA) and 3 Indian individuals were investigated. </w:t>
      </w:r>
    </w:p>
    <w:p w14:paraId="291ED413" w14:textId="1EBA9ED7" w:rsidR="006A48BB" w:rsidRPr="00512CCE" w:rsidRDefault="006A48BB" w:rsidP="00512CCE">
      <w:pPr>
        <w:pStyle w:val="TableText"/>
        <w:spacing w:before="120" w:line="360" w:lineRule="auto"/>
        <w:jc w:val="both"/>
        <w:rPr>
          <w:rFonts w:asciiTheme="minorHAnsi" w:hAnsiTheme="minorHAnsi" w:cs="Arial"/>
          <w:sz w:val="22"/>
          <w:szCs w:val="22"/>
          <w:lang w:val="en-ZA"/>
        </w:rPr>
      </w:pPr>
      <w:r w:rsidRPr="00512CCE">
        <w:rPr>
          <w:rFonts w:asciiTheme="minorHAnsi" w:hAnsiTheme="minorHAnsi" w:cs="Arial"/>
          <w:sz w:val="22"/>
          <w:szCs w:val="22"/>
        </w:rPr>
        <w:t>By reason of their similarity to OI, three very rare autonomous genetic thin bone disorders, Pyle Disease, Osteolysis (Torg-Winchester Syndrome) and Osteoporosis-pseudoglioma Syndrome were also investigated and documented in this project.</w:t>
      </w:r>
    </w:p>
    <w:p w14:paraId="07A4B8FF" w14:textId="533A3408" w:rsidR="004473F9" w:rsidRPr="00512CCE" w:rsidRDefault="00512CCE" w:rsidP="00512CCE">
      <w:pPr>
        <w:pStyle w:val="TableText"/>
        <w:spacing w:before="120" w:line="360" w:lineRule="auto"/>
        <w:jc w:val="both"/>
        <w:rPr>
          <w:rFonts w:asciiTheme="minorHAnsi" w:hAnsiTheme="minorHAnsi" w:cs="Arial"/>
          <w:sz w:val="22"/>
          <w:szCs w:val="22"/>
          <w:lang w:val="en-ZA"/>
        </w:rPr>
      </w:pPr>
      <w:r>
        <w:rPr>
          <w:rFonts w:asciiTheme="minorHAnsi" w:hAnsiTheme="minorHAnsi" w:cs="Arial"/>
          <w:sz w:val="22"/>
          <w:szCs w:val="22"/>
          <w:lang w:val="en-ZA"/>
        </w:rPr>
        <w:t>The</w:t>
      </w:r>
      <w:r w:rsidR="004473F9" w:rsidRPr="00512CCE">
        <w:rPr>
          <w:rFonts w:asciiTheme="minorHAnsi" w:hAnsiTheme="minorHAnsi" w:cs="Arial"/>
          <w:sz w:val="22"/>
          <w:szCs w:val="22"/>
          <w:lang w:val="en-ZA"/>
        </w:rPr>
        <w:t xml:space="preserve"> stu</w:t>
      </w:r>
      <w:r w:rsidR="006A48BB" w:rsidRPr="00512CCE">
        <w:rPr>
          <w:rFonts w:asciiTheme="minorHAnsi" w:hAnsiTheme="minorHAnsi" w:cs="Arial"/>
          <w:sz w:val="22"/>
          <w:szCs w:val="22"/>
          <w:lang w:val="en-ZA"/>
        </w:rPr>
        <w:t xml:space="preserve">dy had a </w:t>
      </w:r>
      <w:r w:rsidR="004473F9" w:rsidRPr="00512CCE">
        <w:rPr>
          <w:rFonts w:asciiTheme="minorHAnsi" w:hAnsiTheme="minorHAnsi" w:cs="Arial"/>
          <w:sz w:val="22"/>
          <w:szCs w:val="22"/>
          <w:lang w:val="en-ZA"/>
        </w:rPr>
        <w:t>clinical</w:t>
      </w:r>
      <w:r w:rsidR="006A48BB" w:rsidRPr="00512CCE">
        <w:rPr>
          <w:rFonts w:asciiTheme="minorHAnsi" w:hAnsiTheme="minorHAnsi" w:cs="Arial"/>
          <w:sz w:val="22"/>
          <w:szCs w:val="22"/>
          <w:lang w:val="en-ZA"/>
        </w:rPr>
        <w:t>,</w:t>
      </w:r>
      <w:r w:rsidR="004473F9" w:rsidRPr="00512CCE">
        <w:rPr>
          <w:rFonts w:asciiTheme="minorHAnsi" w:hAnsiTheme="minorHAnsi" w:cs="Arial"/>
          <w:sz w:val="22"/>
          <w:szCs w:val="22"/>
          <w:lang w:val="en-ZA"/>
        </w:rPr>
        <w:t xml:space="preserve"> imaging </w:t>
      </w:r>
      <w:r w:rsidR="006A48BB" w:rsidRPr="00512CCE">
        <w:rPr>
          <w:rFonts w:asciiTheme="minorHAnsi" w:hAnsiTheme="minorHAnsi" w:cs="Arial"/>
          <w:sz w:val="22"/>
          <w:szCs w:val="22"/>
          <w:lang w:val="en-ZA"/>
        </w:rPr>
        <w:t>and genetic component</w:t>
      </w:r>
      <w:r w:rsidR="004473F9" w:rsidRPr="00512CCE">
        <w:rPr>
          <w:rFonts w:asciiTheme="minorHAnsi" w:hAnsiTheme="minorHAnsi" w:cs="Arial"/>
          <w:sz w:val="22"/>
          <w:szCs w:val="22"/>
          <w:lang w:val="en-ZA"/>
        </w:rPr>
        <w:t xml:space="preserve"> in which dental and craniofacial abnormalities in affected persons were documented. Although radiographic resources were limited, 15 CBCT images, 20 panorex and 20 cephalometric radiographs were obtained</w:t>
      </w:r>
      <w:r w:rsidR="006A48BB" w:rsidRPr="00512CCE">
        <w:rPr>
          <w:rFonts w:asciiTheme="minorHAnsi" w:hAnsiTheme="minorHAnsi" w:cs="Arial"/>
          <w:sz w:val="22"/>
          <w:szCs w:val="22"/>
          <w:lang w:val="en-ZA"/>
        </w:rPr>
        <w:t xml:space="preserve">. Data generated by </w:t>
      </w:r>
      <w:r w:rsidR="004473F9" w:rsidRPr="00512CCE">
        <w:rPr>
          <w:rFonts w:asciiTheme="minorHAnsi" w:hAnsiTheme="minorHAnsi" w:cs="Arial"/>
          <w:sz w:val="22"/>
          <w:szCs w:val="22"/>
          <w:lang w:val="en-ZA"/>
        </w:rPr>
        <w:t xml:space="preserve">molecular genetic studies undertaken by the Division of Human Genetics (DHG) at the University of Cape Town (UCT) were utilized to elucidate genotype-phenotype correlations. </w:t>
      </w:r>
    </w:p>
    <w:p w14:paraId="5559B659" w14:textId="77777777" w:rsidR="004473F9" w:rsidRDefault="004473F9" w:rsidP="00512CCE">
      <w:pPr>
        <w:pStyle w:val="TableText"/>
        <w:spacing w:before="120" w:line="360" w:lineRule="auto"/>
        <w:jc w:val="both"/>
        <w:rPr>
          <w:rFonts w:asciiTheme="minorHAnsi" w:hAnsiTheme="minorHAnsi" w:cs="Arial"/>
          <w:b/>
          <w:sz w:val="22"/>
          <w:szCs w:val="22"/>
          <w:lang w:val="en-ZA"/>
        </w:rPr>
      </w:pPr>
      <w:r w:rsidRPr="00512CCE">
        <w:rPr>
          <w:rFonts w:asciiTheme="minorHAnsi" w:hAnsiTheme="minorHAnsi" w:cs="Arial"/>
          <w:b/>
          <w:sz w:val="22"/>
          <w:szCs w:val="22"/>
          <w:lang w:val="en-ZA"/>
        </w:rPr>
        <w:t>Results</w:t>
      </w:r>
    </w:p>
    <w:p w14:paraId="3F0A2F13" w14:textId="42DD7674" w:rsidR="00BF545F" w:rsidRPr="00CE3716" w:rsidRDefault="00CE3716" w:rsidP="00CE3716">
      <w:pPr>
        <w:spacing w:line="360" w:lineRule="auto"/>
        <w:jc w:val="both"/>
      </w:pPr>
      <w:r>
        <w:t>S</w:t>
      </w:r>
      <w:r w:rsidR="000B6C2F" w:rsidRPr="00CE3716">
        <w:t xml:space="preserve">pecific mutations in the FKBP10 gene were detected in 27 Black African persons of the total 72 individuals with OI III. </w:t>
      </w:r>
      <w:r>
        <w:rPr>
          <w:rFonts w:cs="AdvPTimes"/>
        </w:rPr>
        <w:t xml:space="preserve">Autosomal recessive OI III in the Black African population of SA has been shown to be caused by mutations in the </w:t>
      </w:r>
      <w:r w:rsidRPr="00722787">
        <w:rPr>
          <w:rFonts w:cs="AdvOTf0bf83d5.I"/>
          <w:i/>
        </w:rPr>
        <w:t>FKBP10</w:t>
      </w:r>
      <w:r w:rsidRPr="009F7887">
        <w:rPr>
          <w:rFonts w:cs="AdvOTf0bf83d5.I"/>
        </w:rPr>
        <w:t xml:space="preserve"> </w:t>
      </w:r>
      <w:r>
        <w:rPr>
          <w:rFonts w:cs="AdvOTa9103878"/>
        </w:rPr>
        <w:t>gene.</w:t>
      </w:r>
      <w:r>
        <w:t xml:space="preserve"> </w:t>
      </w:r>
      <w:r>
        <w:rPr>
          <w:i/>
        </w:rPr>
        <w:t>FKBP10</w:t>
      </w:r>
      <w:r>
        <w:t xml:space="preserve"> is one of the newer members of an expanding </w:t>
      </w:r>
      <w:r>
        <w:lastRenderedPageBreak/>
        <w:t>list of AR OI genes</w:t>
      </w:r>
      <w:r>
        <w:t xml:space="preserve"> with the gene map locus 17q21.2</w:t>
      </w:r>
      <w:r w:rsidRPr="007419DA">
        <w:t xml:space="preserve">. This gene encodes an extracellular matrix protein FKBP65.  </w:t>
      </w:r>
      <w:bookmarkStart w:id="0" w:name="_GoBack"/>
      <w:bookmarkEnd w:id="0"/>
    </w:p>
    <w:p w14:paraId="6DB55882" w14:textId="01D64212" w:rsidR="004473F9" w:rsidRPr="00512CCE" w:rsidRDefault="004473F9" w:rsidP="00512CCE">
      <w:pPr>
        <w:autoSpaceDE w:val="0"/>
        <w:autoSpaceDN w:val="0"/>
        <w:adjustRightInd w:val="0"/>
        <w:spacing w:before="120" w:after="240" w:line="360" w:lineRule="auto"/>
        <w:jc w:val="both"/>
        <w:rPr>
          <w:rFonts w:cs="Arial"/>
        </w:rPr>
      </w:pPr>
      <w:r w:rsidRPr="00512CCE">
        <w:rPr>
          <w:rFonts w:cs="Arial"/>
        </w:rPr>
        <w:t>In terms of genotype-phenotype correlations in the Black African population group</w:t>
      </w:r>
      <w:r w:rsidR="00BF545F">
        <w:rPr>
          <w:rFonts w:cs="Arial"/>
        </w:rPr>
        <w:t xml:space="preserve"> with OI III</w:t>
      </w:r>
      <w:r w:rsidRPr="00512CCE">
        <w:rPr>
          <w:rFonts w:cs="Arial"/>
        </w:rPr>
        <w:t xml:space="preserve">, 23 persons with the </w:t>
      </w:r>
      <w:r w:rsidRPr="00512CCE">
        <w:rPr>
          <w:rFonts w:cs="Futura-Heavy"/>
          <w:bCs/>
        </w:rPr>
        <w:t xml:space="preserve">homozygous mutation, </w:t>
      </w:r>
      <w:r w:rsidRPr="00512CCE">
        <w:rPr>
          <w:rFonts w:cstheme="minorHAnsi"/>
          <w:i/>
        </w:rPr>
        <w:t>FKBP10_</w:t>
      </w:r>
      <w:r w:rsidRPr="00512CCE">
        <w:rPr>
          <w:rFonts w:cs="AdvPS7B6C"/>
          <w:color w:val="231F20"/>
        </w:rPr>
        <w:t xml:space="preserve">HOM_c.[831dupC][831dupC], 3 persons with the </w:t>
      </w:r>
      <w:r w:rsidRPr="00512CCE">
        <w:rPr>
          <w:color w:val="000000"/>
          <w:shd w:val="clear" w:color="auto" w:fill="FFFFFF"/>
        </w:rPr>
        <w:t xml:space="preserve">compound heterozygous mutation, </w:t>
      </w:r>
      <w:r w:rsidRPr="00512CCE">
        <w:rPr>
          <w:rFonts w:cstheme="minorHAnsi"/>
          <w:i/>
        </w:rPr>
        <w:t>FKBP10</w:t>
      </w:r>
      <w:r w:rsidRPr="00512CCE">
        <w:rPr>
          <w:rFonts w:cstheme="minorHAnsi"/>
        </w:rPr>
        <w:t xml:space="preserve">_CHET_c.[831dupC][831delC] and 1 person with </w:t>
      </w:r>
      <w:r w:rsidRPr="00512CCE">
        <w:rPr>
          <w:rFonts w:cs="AdvPS7B6C"/>
          <w:color w:val="231F20"/>
        </w:rPr>
        <w:t xml:space="preserve">the </w:t>
      </w:r>
      <w:r w:rsidRPr="00512CCE">
        <w:rPr>
          <w:color w:val="000000"/>
          <w:shd w:val="clear" w:color="auto" w:fill="FFFFFF"/>
        </w:rPr>
        <w:t xml:space="preserve">compound heterozygous mutation, </w:t>
      </w:r>
      <w:r w:rsidRPr="00512CCE">
        <w:rPr>
          <w:rFonts w:cstheme="minorHAnsi"/>
          <w:i/>
        </w:rPr>
        <w:t>FKBP10</w:t>
      </w:r>
      <w:r w:rsidRPr="00512CCE">
        <w:rPr>
          <w:rFonts w:cstheme="minorHAnsi"/>
        </w:rPr>
        <w:t>_CHET_c.[831dupC][1400-4C&gt;G] were identified. The primary teeth of these 27 persons was normal. Their permanent teeth was clinically normal, but radiographic images confirmed the presence of</w:t>
      </w:r>
      <w:r w:rsidR="00BF545F">
        <w:rPr>
          <w:rFonts w:cstheme="minorHAnsi"/>
        </w:rPr>
        <w:t xml:space="preserve"> features of</w:t>
      </w:r>
      <w:r w:rsidRPr="00512CCE">
        <w:rPr>
          <w:rFonts w:cstheme="minorHAnsi"/>
        </w:rPr>
        <w:t xml:space="preserve"> mild D</w:t>
      </w:r>
      <w:r w:rsidR="00BF545F">
        <w:rPr>
          <w:rFonts w:cstheme="minorHAnsi"/>
        </w:rPr>
        <w:t xml:space="preserve">entinogenesis </w:t>
      </w:r>
      <w:r w:rsidRPr="00512CCE">
        <w:rPr>
          <w:rFonts w:cstheme="minorHAnsi"/>
        </w:rPr>
        <w:t>I</w:t>
      </w:r>
      <w:r w:rsidR="00BF545F">
        <w:rPr>
          <w:rFonts w:cstheme="minorHAnsi"/>
        </w:rPr>
        <w:t>mperfecta</w:t>
      </w:r>
      <w:r w:rsidRPr="00512CCE">
        <w:rPr>
          <w:rFonts w:cstheme="minorHAnsi"/>
        </w:rPr>
        <w:t xml:space="preserve">. </w:t>
      </w:r>
    </w:p>
    <w:p w14:paraId="61116DCF" w14:textId="13B1603E" w:rsidR="004473F9" w:rsidRPr="00512CCE" w:rsidRDefault="004473F9" w:rsidP="00512CCE">
      <w:pPr>
        <w:autoSpaceDE w:val="0"/>
        <w:autoSpaceDN w:val="0"/>
        <w:adjustRightInd w:val="0"/>
        <w:spacing w:before="120" w:after="240" w:line="360" w:lineRule="auto"/>
        <w:jc w:val="both"/>
        <w:rPr>
          <w:rFonts w:cs="Arial"/>
          <w:color w:val="000000" w:themeColor="text1"/>
        </w:rPr>
      </w:pPr>
      <w:r w:rsidRPr="00512CCE">
        <w:rPr>
          <w:rFonts w:cs="Arial"/>
        </w:rPr>
        <w:t>Dentinogenesis imperfecta</w:t>
      </w:r>
      <w:r w:rsidR="00BF545F">
        <w:rPr>
          <w:rFonts w:cs="Arial"/>
        </w:rPr>
        <w:t xml:space="preserve"> (DI)</w:t>
      </w:r>
      <w:r w:rsidRPr="00512CCE">
        <w:rPr>
          <w:rFonts w:cs="Arial"/>
        </w:rPr>
        <w:t xml:space="preserve">, in terms of clinical discolouration of teeth, was present in the primary dentition of 35 Black African persons with the unknown molecular status. Of these 35 persons, 23 also had clinical DI in their permanent teeth.  Two persons with a history of DI in their primary teeth had clinically normal permanent teeth. In 10 young patients with no permanent teeth and DI in their primary teeth, </w:t>
      </w:r>
      <w:r w:rsidRPr="00512CCE">
        <w:rPr>
          <w:rFonts w:cs="Arial"/>
          <w:color w:val="000000" w:themeColor="text1"/>
        </w:rPr>
        <w:t xml:space="preserve">it was impossible to predict if the condition would manifest in their secondary dentition. </w:t>
      </w:r>
    </w:p>
    <w:p w14:paraId="74AE7E54" w14:textId="77777777" w:rsidR="004473F9" w:rsidRPr="00512CCE" w:rsidRDefault="004473F9" w:rsidP="00512CCE">
      <w:pPr>
        <w:autoSpaceDE w:val="0"/>
        <w:autoSpaceDN w:val="0"/>
        <w:adjustRightInd w:val="0"/>
        <w:spacing w:before="120" w:after="240" w:line="360" w:lineRule="auto"/>
        <w:jc w:val="both"/>
        <w:rPr>
          <w:rFonts w:cs="Arial"/>
        </w:rPr>
      </w:pPr>
      <w:r w:rsidRPr="00512CCE">
        <w:rPr>
          <w:rFonts w:cs="Arial"/>
        </w:rPr>
        <w:t xml:space="preserve">The 5 CMA patients had the phenotypic features of classical OI III, specifically severe fracturing, stunted stature, white sclerae and moderate to severe DI. Their general health was reasonably good and longevity was a major factor. One person, the prototypic OI III patient described in SA, was now 61 years of age.  Each of these individuals had massive mandibular prognathism with dental and skeletal Class III malocclusions. </w:t>
      </w:r>
    </w:p>
    <w:p w14:paraId="65315E70" w14:textId="77777777" w:rsidR="004473F9" w:rsidRPr="00512CCE" w:rsidRDefault="004473F9" w:rsidP="00512CCE">
      <w:pPr>
        <w:pStyle w:val="TableText"/>
        <w:spacing w:before="120" w:line="360" w:lineRule="auto"/>
        <w:jc w:val="both"/>
        <w:rPr>
          <w:rFonts w:asciiTheme="minorHAnsi" w:hAnsiTheme="minorHAnsi" w:cs="Arial"/>
          <w:sz w:val="22"/>
          <w:szCs w:val="22"/>
          <w:lang w:val="en-ZA"/>
        </w:rPr>
      </w:pPr>
      <w:r w:rsidRPr="00512CCE">
        <w:rPr>
          <w:rFonts w:asciiTheme="minorHAnsi" w:hAnsiTheme="minorHAnsi" w:cs="Arial"/>
          <w:sz w:val="22"/>
          <w:szCs w:val="22"/>
          <w:lang w:val="en-ZA"/>
        </w:rPr>
        <w:t>Two Indian patients had a common ancestral background from the state of Gujerat, bone fragility, moderate DI as well as ocular involvement of uncertain aetiology. The question of their disorder being related to the Osteoporosis pseudoglioma syndrome is under investigation.</w:t>
      </w:r>
    </w:p>
    <w:p w14:paraId="3200EDB1" w14:textId="77777777" w:rsidR="004473F9" w:rsidRPr="00512CCE" w:rsidRDefault="004473F9" w:rsidP="00512CCE">
      <w:pPr>
        <w:autoSpaceDE w:val="0"/>
        <w:autoSpaceDN w:val="0"/>
        <w:adjustRightInd w:val="0"/>
        <w:spacing w:before="120" w:after="240" w:line="360" w:lineRule="auto"/>
        <w:jc w:val="both"/>
        <w:rPr>
          <w:rFonts w:cs="Arial"/>
        </w:rPr>
      </w:pPr>
      <w:r w:rsidRPr="00512CCE">
        <w:rPr>
          <w:rFonts w:cs="Arial"/>
        </w:rPr>
        <w:t>A Class III dental malocclusion was present in 70% of all individuals with OI III. A skeletal Class III malocclusion was evident in 18 persons out of 20 in whom cephalometric radiographs were obtained. The patients posture and spinal malalignment are possible contributing factors to their malocclusion. This high incidence of class III malocclusion and DI indicates the need for orthodontic, orthognathic and aesthetic dental management.</w:t>
      </w:r>
    </w:p>
    <w:p w14:paraId="68AB7491" w14:textId="6F83BFAC" w:rsidR="004473F9" w:rsidRPr="00512CCE" w:rsidRDefault="006A48BB" w:rsidP="00512CCE">
      <w:pPr>
        <w:pStyle w:val="ListParagraph"/>
        <w:spacing w:before="120" w:after="240" w:line="360" w:lineRule="auto"/>
        <w:ind w:left="0"/>
        <w:jc w:val="both"/>
        <w:rPr>
          <w:rFonts w:cs="Arial"/>
        </w:rPr>
      </w:pPr>
      <w:r w:rsidRPr="00512CCE">
        <w:rPr>
          <w:rFonts w:cs="Arial"/>
        </w:rPr>
        <w:t>The dental aspects of Pyle Disease, Osteolysis (Torg-Winchester Syndrome) and Osteoporosis-pseudoglioma Syndrome had not previously been reported. The patients with Pyle disease and Osteolysis had ostensibly normal teeth, but radiographic features of dysplastic dentine were present. There was also a delay in the eruption and exfoliation of teeth by approximately 28 months. The mandibul</w:t>
      </w:r>
      <w:r w:rsidR="00BF545F">
        <w:rPr>
          <w:rFonts w:cs="Arial"/>
        </w:rPr>
        <w:t>ar condyles, of each of the</w:t>
      </w:r>
      <w:r w:rsidRPr="00512CCE">
        <w:rPr>
          <w:rFonts w:cs="Arial"/>
        </w:rPr>
        <w:t xml:space="preserve"> patients </w:t>
      </w:r>
      <w:r w:rsidR="00BF545F">
        <w:rPr>
          <w:rFonts w:cs="Arial"/>
        </w:rPr>
        <w:t xml:space="preserve">with these rare syndromes, </w:t>
      </w:r>
      <w:r w:rsidRPr="00512CCE">
        <w:rPr>
          <w:rFonts w:cs="Arial"/>
        </w:rPr>
        <w:t xml:space="preserve">were asymmetrical and there was a loss of surface cortical bone. </w:t>
      </w:r>
    </w:p>
    <w:p w14:paraId="1150C1F0" w14:textId="622CC2A4" w:rsidR="00512CCE" w:rsidRPr="00512CCE" w:rsidRDefault="00512CCE" w:rsidP="00512CCE">
      <w:pPr>
        <w:pStyle w:val="ListParagraph"/>
        <w:spacing w:before="120" w:after="240" w:line="360" w:lineRule="auto"/>
        <w:ind w:left="0"/>
        <w:jc w:val="both"/>
        <w:rPr>
          <w:rFonts w:cs="Arial"/>
        </w:rPr>
      </w:pPr>
      <w:r w:rsidRPr="00512CCE">
        <w:rPr>
          <w:rFonts w:cs="Arial"/>
        </w:rPr>
        <w:t>Features of taurodontism were findings common to OI III, Pyle Disease, Osteoporosis-pseudoglioma and Osteolysis.</w:t>
      </w:r>
    </w:p>
    <w:p w14:paraId="0D5D88BC" w14:textId="59E10328" w:rsidR="00512CCE" w:rsidRPr="00BF545F" w:rsidRDefault="00512CCE" w:rsidP="00BF545F">
      <w:pPr>
        <w:spacing w:before="120" w:after="240" w:line="360" w:lineRule="auto"/>
        <w:jc w:val="both"/>
        <w:rPr>
          <w:rFonts w:eastAsia="Calibri" w:cs="Times New Roman"/>
        </w:rPr>
      </w:pPr>
      <w:r w:rsidRPr="00512CCE">
        <w:rPr>
          <w:rFonts w:eastAsia="Calibri" w:cs="Times New Roman"/>
        </w:rPr>
        <w:t xml:space="preserve">The craniofacial abnormalities reported </w:t>
      </w:r>
      <w:r w:rsidR="00BF545F">
        <w:rPr>
          <w:rFonts w:eastAsia="Calibri" w:cs="Times New Roman"/>
        </w:rPr>
        <w:t xml:space="preserve">in </w:t>
      </w:r>
      <w:r w:rsidR="00BF545F">
        <w:rPr>
          <w:rFonts w:eastAsia="Calibri" w:cs="Times New Roman"/>
        </w:rPr>
        <w:t>all four syndromes described</w:t>
      </w:r>
      <w:r w:rsidR="00BF545F" w:rsidRPr="00512CCE">
        <w:rPr>
          <w:rFonts w:eastAsia="Calibri" w:cs="Times New Roman"/>
        </w:rPr>
        <w:t xml:space="preserve"> </w:t>
      </w:r>
      <w:r w:rsidRPr="00512CCE">
        <w:rPr>
          <w:rFonts w:eastAsia="Calibri" w:cs="Times New Roman"/>
        </w:rPr>
        <w:t xml:space="preserve">are related to </w:t>
      </w:r>
      <w:r w:rsidR="00BF545F">
        <w:rPr>
          <w:rFonts w:eastAsia="Calibri" w:cs="Times New Roman"/>
        </w:rPr>
        <w:t xml:space="preserve">the </w:t>
      </w:r>
      <w:r w:rsidRPr="00512CCE">
        <w:rPr>
          <w:rFonts w:eastAsia="Calibri" w:cs="Times New Roman"/>
        </w:rPr>
        <w:t xml:space="preserve">abnormal bone matrix which results in a deformed skull and dental malocclusion. The physiological process of swallowing may be an aetiological factor in the progressive development of a flattened palate. </w:t>
      </w:r>
      <w:r w:rsidRPr="00512CCE">
        <w:rPr>
          <w:rFonts w:eastAsia="Calibri" w:cs="Calibri"/>
        </w:rPr>
        <w:t xml:space="preserve">Mild changes in the shape of the head of the mandibular condyle and a lack of cortical bone on the joint surfaces were observed on cone beam computed tomography (CBCT) images. Affected persons had marked variations in the paranasal sinuses, including sinus hypoplasia and partial opacification. Cranial base anomalies were diagnosed from cephalometric radiographs and lateral skull radiographs and Platybasia and a ‘J’ shaped sella turcica were observed. </w:t>
      </w:r>
    </w:p>
    <w:p w14:paraId="14A3D3A4" w14:textId="77777777" w:rsidR="004473F9" w:rsidRPr="00512CCE" w:rsidRDefault="004473F9" w:rsidP="00512CCE">
      <w:pPr>
        <w:pStyle w:val="TableText"/>
        <w:spacing w:before="120" w:line="360" w:lineRule="auto"/>
        <w:jc w:val="both"/>
        <w:rPr>
          <w:rFonts w:asciiTheme="minorHAnsi" w:hAnsiTheme="minorHAnsi" w:cs="Arial"/>
          <w:b/>
          <w:sz w:val="22"/>
          <w:szCs w:val="22"/>
          <w:lang w:val="en-ZA"/>
        </w:rPr>
      </w:pPr>
      <w:r w:rsidRPr="00512CCE">
        <w:rPr>
          <w:rFonts w:asciiTheme="minorHAnsi" w:hAnsiTheme="minorHAnsi" w:cs="Arial"/>
          <w:b/>
          <w:sz w:val="22"/>
          <w:szCs w:val="22"/>
          <w:lang w:val="en-ZA"/>
        </w:rPr>
        <w:t>Conclusion</w:t>
      </w:r>
    </w:p>
    <w:p w14:paraId="143C5FA8" w14:textId="77777777" w:rsidR="004473F9" w:rsidRPr="00512CCE" w:rsidRDefault="004473F9" w:rsidP="00512CCE">
      <w:pPr>
        <w:pStyle w:val="TableText"/>
        <w:spacing w:before="120" w:line="360" w:lineRule="auto"/>
        <w:jc w:val="both"/>
        <w:rPr>
          <w:rFonts w:asciiTheme="minorHAnsi" w:hAnsiTheme="minorHAnsi" w:cs="Arial"/>
          <w:sz w:val="22"/>
          <w:szCs w:val="22"/>
          <w:lang w:val="en-ZA"/>
        </w:rPr>
      </w:pPr>
      <w:r w:rsidRPr="00512CCE">
        <w:rPr>
          <w:rFonts w:asciiTheme="minorHAnsi" w:hAnsiTheme="minorHAnsi" w:cs="Arial"/>
          <w:sz w:val="22"/>
          <w:szCs w:val="22"/>
          <w:lang w:val="en-ZA"/>
        </w:rPr>
        <w:t xml:space="preserve">In South Africa, a developing country, the allocation of resources in terms of specialized dental facilities is limited. Socio-economic barriers also exist with patient access to dental care. </w:t>
      </w:r>
    </w:p>
    <w:p w14:paraId="6B2E79E9" w14:textId="77777777" w:rsidR="004473F9" w:rsidRPr="00512CCE" w:rsidRDefault="004473F9" w:rsidP="00512CCE">
      <w:pPr>
        <w:pStyle w:val="TableText"/>
        <w:spacing w:before="120" w:line="360" w:lineRule="auto"/>
        <w:jc w:val="both"/>
        <w:rPr>
          <w:rFonts w:asciiTheme="minorHAnsi" w:hAnsiTheme="minorHAnsi" w:cs="Arial"/>
          <w:color w:val="000000" w:themeColor="text1"/>
          <w:sz w:val="22"/>
          <w:szCs w:val="22"/>
          <w:lang w:val="en-ZA"/>
        </w:rPr>
      </w:pPr>
      <w:r w:rsidRPr="00512CCE">
        <w:rPr>
          <w:rFonts w:asciiTheme="minorHAnsi" w:hAnsiTheme="minorHAnsi" w:cs="Arial"/>
          <w:color w:val="000000" w:themeColor="text1"/>
          <w:sz w:val="22"/>
          <w:szCs w:val="22"/>
          <w:lang w:val="en-ZA"/>
        </w:rPr>
        <w:t xml:space="preserve">The previously neglected dental and craniofacial abnormalities documented in this study emphasizes the importance of a raised level of awareness in terms of dental management and the possible challenges that may be encountered. </w:t>
      </w:r>
    </w:p>
    <w:p w14:paraId="7107BD3A" w14:textId="77777777" w:rsidR="008C0132" w:rsidRPr="00512CCE" w:rsidRDefault="008C0132" w:rsidP="00512CCE">
      <w:pPr>
        <w:spacing w:before="120" w:after="240" w:line="360" w:lineRule="auto"/>
        <w:jc w:val="both"/>
      </w:pPr>
    </w:p>
    <w:sectPr w:rsidR="008C0132" w:rsidRPr="00512CCE" w:rsidSect="00D46FA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dvPTimes">
    <w:panose1 w:val="00000000000000000000"/>
    <w:charset w:val="00"/>
    <w:family w:val="roman"/>
    <w:notTrueType/>
    <w:pitch w:val="default"/>
    <w:sig w:usb0="00000003" w:usb1="00000000" w:usb2="00000000" w:usb3="00000000" w:csb0="00000001" w:csb1="00000000"/>
  </w:font>
  <w:font w:name="AdvOTf0bf83d5.I">
    <w:panose1 w:val="00000000000000000000"/>
    <w:charset w:val="00"/>
    <w:family w:val="swiss"/>
    <w:notTrueType/>
    <w:pitch w:val="default"/>
    <w:sig w:usb0="00000003" w:usb1="00000000" w:usb2="00000000" w:usb3="00000000" w:csb0="00000001" w:csb1="00000000"/>
  </w:font>
  <w:font w:name="AdvOTa9103878">
    <w:panose1 w:val="00000000000000000000"/>
    <w:charset w:val="00"/>
    <w:family w:val="roman"/>
    <w:notTrueType/>
    <w:pitch w:val="default"/>
    <w:sig w:usb0="00000003" w:usb1="00000000" w:usb2="00000000" w:usb3="00000000" w:csb0="00000001" w:csb1="00000000"/>
  </w:font>
  <w:font w:name="Futura-Heavy">
    <w:charset w:val="00"/>
    <w:family w:val="swiss"/>
    <w:pitch w:val="variable"/>
    <w:sig w:usb0="80000067" w:usb1="00000000" w:usb2="00000000" w:usb3="00000000" w:csb0="000001FB" w:csb1="00000000"/>
  </w:font>
  <w:font w:name="AdvPS7B6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3F9"/>
    <w:rsid w:val="00072970"/>
    <w:rsid w:val="000B6C2F"/>
    <w:rsid w:val="00161130"/>
    <w:rsid w:val="004473F9"/>
    <w:rsid w:val="00512CCE"/>
    <w:rsid w:val="006A48BB"/>
    <w:rsid w:val="008C0132"/>
    <w:rsid w:val="00BF545F"/>
    <w:rsid w:val="00CE3716"/>
    <w:rsid w:val="00D46FA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EA222A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473F9"/>
    <w:pPr>
      <w:spacing w:after="200" w:line="276" w:lineRule="auto"/>
    </w:pPr>
    <w:rPr>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rsid w:val="004473F9"/>
    <w:pPr>
      <w:spacing w:after="240" w:line="240" w:lineRule="auto"/>
    </w:pPr>
    <w:rPr>
      <w:rFonts w:ascii="Arial" w:eastAsia="Times New Roman" w:hAnsi="Arial" w:cs="Times New Roman"/>
      <w:sz w:val="20"/>
      <w:szCs w:val="20"/>
      <w:lang w:val="en-GB"/>
    </w:rPr>
  </w:style>
  <w:style w:type="paragraph" w:styleId="ListParagraph">
    <w:name w:val="List Paragraph"/>
    <w:basedOn w:val="Normal"/>
    <w:uiPriority w:val="34"/>
    <w:qFormat/>
    <w:rsid w:val="004473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939</Words>
  <Characters>5354</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Chetty</dc:creator>
  <cp:keywords/>
  <dc:description/>
  <cp:lastModifiedBy>Devin Chetty</cp:lastModifiedBy>
  <cp:revision>5</cp:revision>
  <dcterms:created xsi:type="dcterms:W3CDTF">2017-10-23T12:32:00Z</dcterms:created>
  <dcterms:modified xsi:type="dcterms:W3CDTF">2017-10-23T13:08:00Z</dcterms:modified>
</cp:coreProperties>
</file>