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BA1" w:rsidRPr="00575BA1" w:rsidRDefault="00575BA1" w:rsidP="006006B4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5BA1">
        <w:rPr>
          <w:rFonts w:ascii="Times New Roman" w:hAnsi="Times New Roman" w:cs="Times New Roman"/>
          <w:b/>
          <w:bCs/>
          <w:sz w:val="24"/>
          <w:szCs w:val="24"/>
        </w:rPr>
        <w:t xml:space="preserve">FT-IR Characterization of Titanium </w:t>
      </w:r>
      <w:proofErr w:type="spellStart"/>
      <w:r w:rsidRPr="00575BA1">
        <w:rPr>
          <w:rFonts w:ascii="Times New Roman" w:hAnsi="Times New Roman" w:cs="Times New Roman"/>
          <w:b/>
          <w:bCs/>
          <w:sz w:val="24"/>
          <w:szCs w:val="24"/>
        </w:rPr>
        <w:t>Tetrabutoxide</w:t>
      </w:r>
      <w:proofErr w:type="spellEnd"/>
      <w:r w:rsidRPr="00575BA1">
        <w:rPr>
          <w:rFonts w:ascii="Times New Roman" w:hAnsi="Times New Roman" w:cs="Times New Roman"/>
          <w:b/>
          <w:bCs/>
          <w:sz w:val="24"/>
          <w:szCs w:val="24"/>
        </w:rPr>
        <w:t xml:space="preserve"> Catalyst of Ethylene Dimerization: A DFT Study</w:t>
      </w:r>
    </w:p>
    <w:p w:rsidR="006006B4" w:rsidRDefault="00575BA1" w:rsidP="006006B4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Zahra Khodadadi</w:t>
      </w:r>
      <w:r w:rsidRPr="003C09D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Seyed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Hamed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Mahdaviani</w:t>
      </w:r>
      <w:r w:rsidRPr="003C09D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Davood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Soudbar</w:t>
      </w:r>
      <w:r w:rsidRPr="003C09DA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575BA1" w:rsidRPr="0047202C" w:rsidRDefault="00575BA1" w:rsidP="006006B4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/>
          <w:sz w:val="23"/>
          <w:szCs w:val="23"/>
        </w:rPr>
      </w:pPr>
      <w:r w:rsidRPr="0047202C">
        <w:rPr>
          <w:rFonts w:ascii="Times New Roman" w:hAnsi="Times New Roman" w:cs="Times New Roman"/>
          <w:i/>
          <w:iCs/>
          <w:sz w:val="23"/>
          <w:szCs w:val="23"/>
          <w:vertAlign w:val="superscript"/>
        </w:rPr>
        <w:t xml:space="preserve">1 </w:t>
      </w:r>
      <w:r w:rsidRPr="0047202C">
        <w:rPr>
          <w:rFonts w:ascii="Times New Roman" w:hAnsi="Times New Roman" w:cs="Times New Roman"/>
          <w:i/>
          <w:iCs/>
          <w:sz w:val="23"/>
          <w:szCs w:val="23"/>
        </w:rPr>
        <w:t>Department of Applied Chemistry, South Tehran Branch, Islamic Azad University, Teh</w:t>
      </w:r>
      <w:r w:rsidR="0047202C" w:rsidRPr="0047202C">
        <w:rPr>
          <w:rFonts w:ascii="Times New Roman" w:hAnsi="Times New Roman" w:cs="Times New Roman"/>
          <w:i/>
          <w:iCs/>
          <w:sz w:val="23"/>
          <w:szCs w:val="23"/>
        </w:rPr>
        <w:t>ran</w:t>
      </w:r>
      <w:r w:rsidRPr="0047202C">
        <w:rPr>
          <w:rFonts w:ascii="Times New Roman" w:hAnsi="Times New Roman" w:cs="Times New Roman"/>
          <w:i/>
          <w:iCs/>
          <w:sz w:val="23"/>
          <w:szCs w:val="23"/>
        </w:rPr>
        <w:t>, Iran</w:t>
      </w:r>
      <w:r w:rsidR="0047202C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Pr="0047202C">
        <w:rPr>
          <w:rFonts w:ascii="Times New Roman" w:hAnsi="Times New Roman" w:cs="Times New Roman"/>
          <w:i/>
          <w:iCs/>
          <w:sz w:val="23"/>
          <w:szCs w:val="23"/>
          <w:vertAlign w:val="superscript"/>
        </w:rPr>
        <w:t xml:space="preserve">2 </w:t>
      </w:r>
      <w:r w:rsidRPr="0047202C">
        <w:rPr>
          <w:rFonts w:ascii="Times New Roman" w:hAnsi="Times New Roman" w:cs="Times New Roman"/>
          <w:i/>
          <w:iCs/>
          <w:sz w:val="23"/>
          <w:szCs w:val="23"/>
        </w:rPr>
        <w:t xml:space="preserve">Catalysis research group, R&amp;D </w:t>
      </w:r>
      <w:proofErr w:type="spellStart"/>
      <w:r w:rsidRPr="0047202C">
        <w:rPr>
          <w:rFonts w:ascii="Times New Roman" w:hAnsi="Times New Roman" w:cs="Times New Roman"/>
          <w:i/>
          <w:iCs/>
          <w:sz w:val="23"/>
          <w:szCs w:val="23"/>
        </w:rPr>
        <w:t>Center</w:t>
      </w:r>
      <w:proofErr w:type="spellEnd"/>
      <w:r w:rsidRPr="0047202C">
        <w:rPr>
          <w:rFonts w:ascii="Times New Roman" w:hAnsi="Times New Roman" w:cs="Times New Roman"/>
          <w:i/>
          <w:iCs/>
          <w:sz w:val="23"/>
          <w:szCs w:val="23"/>
        </w:rPr>
        <w:t>, Arak Petrochemical Company (ARPC), Arak, Iran</w:t>
      </w:r>
      <w:r w:rsidR="0047202C">
        <w:rPr>
          <w:rFonts w:ascii="Times New Roman" w:hAnsi="Times New Roman" w:cs="Times New Roman"/>
          <w:i/>
          <w:iCs/>
          <w:sz w:val="23"/>
          <w:szCs w:val="23"/>
        </w:rPr>
        <w:tab/>
        <w:t xml:space="preserve">               </w:t>
      </w:r>
      <w:r w:rsidRPr="006006B4">
        <w:rPr>
          <w:rFonts w:ascii="Times New Roman" w:hAnsi="Times New Roman"/>
          <w:sz w:val="23"/>
          <w:szCs w:val="23"/>
          <w:vertAlign w:val="superscript"/>
        </w:rPr>
        <w:t>*</w:t>
      </w:r>
      <w:r w:rsidR="00DB1878" w:rsidRPr="006006B4">
        <w:rPr>
          <w:rFonts w:ascii="Times New Roman" w:hAnsi="Times New Roman"/>
          <w:sz w:val="23"/>
          <w:szCs w:val="23"/>
          <w:vertAlign w:val="superscript"/>
        </w:rPr>
        <w:t xml:space="preserve"> </w:t>
      </w:r>
      <w:r w:rsidR="00DB1878" w:rsidRPr="0047202C">
        <w:rPr>
          <w:rFonts w:ascii="Times New Roman" w:hAnsi="Times New Roman"/>
          <w:sz w:val="23"/>
          <w:szCs w:val="23"/>
        </w:rPr>
        <w:t>Corresponding author:</w:t>
      </w:r>
      <w:r w:rsidRPr="0047202C">
        <w:rPr>
          <w:rFonts w:ascii="Times New Roman" w:hAnsi="Times New Roman"/>
          <w:sz w:val="23"/>
          <w:szCs w:val="23"/>
        </w:rPr>
        <w:t xml:space="preserve"> mahdaviani.h@arpc.ir</w:t>
      </w:r>
    </w:p>
    <w:p w:rsidR="0047202C" w:rsidRDefault="0047202C" w:rsidP="00575BA1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DF04E3" w:rsidRDefault="00DF04E3" w:rsidP="00575BA1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575BA1" w:rsidRPr="00575BA1" w:rsidRDefault="005B7B38" w:rsidP="00853BF1">
      <w:pPr>
        <w:spacing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bidi="fa-IR"/>
        </w:rPr>
      </w:pPr>
      <w:r>
        <w:rPr>
          <w:rFonts w:ascii="Times New Roman" w:hAnsi="Times New Roman"/>
          <w:sz w:val="24"/>
          <w:szCs w:val="24"/>
        </w:rPr>
        <w:t>E</w:t>
      </w:r>
      <w:r w:rsidR="00575BA1" w:rsidRPr="00575BA1">
        <w:rPr>
          <w:rFonts w:ascii="Times New Roman" w:hAnsi="Times New Roman"/>
          <w:sz w:val="24"/>
          <w:szCs w:val="24"/>
        </w:rPr>
        <w:t xml:space="preserve">thylene dimerization is a topic of major fundamental and applied importance. It has triggered much research and scientific effort </w:t>
      </w:r>
      <w:r w:rsidR="00575BA1" w:rsidRPr="00575BA1">
        <w:rPr>
          <w:rFonts w:ascii="Times New Roman" w:hAnsi="Times New Roman"/>
          <w:sz w:val="24"/>
          <w:szCs w:val="24"/>
          <w:lang w:bidi="fa-IR"/>
        </w:rPr>
        <w:t xml:space="preserve">to improve </w:t>
      </w:r>
      <w:r w:rsidRPr="00575BA1">
        <w:rPr>
          <w:rFonts w:ascii="Times New Roman" w:hAnsi="Times New Roman"/>
          <w:sz w:val="24"/>
          <w:szCs w:val="24"/>
          <w:lang w:bidi="fa-IR"/>
        </w:rPr>
        <w:t>performance</w:t>
      </w:r>
      <w:r w:rsidR="00575BA1" w:rsidRPr="00575BA1">
        <w:rPr>
          <w:rFonts w:ascii="Times New Roman" w:hAnsi="Times New Roman"/>
          <w:sz w:val="24"/>
          <w:szCs w:val="24"/>
          <w:lang w:bidi="fa-IR"/>
        </w:rPr>
        <w:t xml:space="preserve"> of the catalyst</w:t>
      </w:r>
      <w:r w:rsidR="00CC2D97">
        <w:rPr>
          <w:rFonts w:ascii="Times New Roman" w:hAnsi="Times New Roman"/>
          <w:sz w:val="24"/>
          <w:szCs w:val="24"/>
          <w:lang w:bidi="fa-IR"/>
        </w:rPr>
        <w:t>s</w:t>
      </w:r>
      <w:r w:rsidR="00575BA1" w:rsidRPr="00575BA1">
        <w:rPr>
          <w:rFonts w:ascii="Times New Roman" w:hAnsi="Times New Roman"/>
          <w:sz w:val="24"/>
          <w:szCs w:val="24"/>
          <w:lang w:bidi="fa-IR"/>
        </w:rPr>
        <w:t xml:space="preserve"> used in the industrial scale. </w:t>
      </w:r>
      <w:r w:rsidR="00575BA1" w:rsidRPr="00575BA1">
        <w:rPr>
          <w:rFonts w:ascii="Times New Roman" w:hAnsi="Times New Roman"/>
          <w:sz w:val="24"/>
          <w:szCs w:val="24"/>
        </w:rPr>
        <w:t xml:space="preserve">Of the metals studied, titanium-based compounds have been found to be ideally suited, giving high yields </w:t>
      </w:r>
      <w:r w:rsidR="00CC2D97">
        <w:rPr>
          <w:rFonts w:ascii="Times New Roman" w:hAnsi="Times New Roman"/>
          <w:sz w:val="24"/>
          <w:szCs w:val="24"/>
        </w:rPr>
        <w:t xml:space="preserve">of </w:t>
      </w:r>
      <w:r w:rsidR="00575BA1" w:rsidRPr="00575BA1">
        <w:rPr>
          <w:rFonts w:ascii="Times New Roman" w:hAnsi="Times New Roman"/>
          <w:sz w:val="24"/>
          <w:szCs w:val="24"/>
        </w:rPr>
        <w:t>1-butene.</w:t>
      </w:r>
      <w:r w:rsidR="00EA2F08">
        <w:rPr>
          <w:rFonts w:ascii="Times New Roman" w:hAnsi="Times New Roman"/>
          <w:sz w:val="24"/>
          <w:szCs w:val="24"/>
        </w:rPr>
        <w:t xml:space="preserve"> </w:t>
      </w:r>
      <w:r w:rsidR="00575BA1" w:rsidRPr="00575BA1">
        <w:rPr>
          <w:rFonts w:ascii="Times New Roman" w:hAnsi="Times New Roman" w:cs="Times New Roman"/>
          <w:sz w:val="24"/>
          <w:szCs w:val="24"/>
        </w:rPr>
        <w:t xml:space="preserve">Computational chemistry, and in particular density functional theory (DFT), has been proven to give insights </w:t>
      </w:r>
      <w:r w:rsidR="00690A24">
        <w:rPr>
          <w:rFonts w:ascii="Times New Roman" w:hAnsi="Times New Roman" w:cs="Times New Roman"/>
          <w:sz w:val="24"/>
          <w:szCs w:val="24"/>
        </w:rPr>
        <w:t xml:space="preserve">for </w:t>
      </w:r>
      <w:r w:rsidR="00575BA1" w:rsidRPr="00575BA1">
        <w:rPr>
          <w:rFonts w:ascii="Times New Roman" w:hAnsi="Times New Roman" w:cs="Times New Roman"/>
          <w:sz w:val="24"/>
          <w:szCs w:val="24"/>
        </w:rPr>
        <w:t xml:space="preserve">a better understanding of reaction mechanisms that play a role in homogeneous catalysis. </w:t>
      </w:r>
      <w:r w:rsidR="00575BA1" w:rsidRPr="00575BA1">
        <w:rPr>
          <w:rFonts w:ascii="Times New Roman" w:eastAsia="Calibri" w:hAnsi="Times New Roman" w:cs="Times New Roman"/>
          <w:noProof/>
          <w:sz w:val="24"/>
          <w:szCs w:val="24"/>
          <w:lang w:bidi="fa-IR"/>
        </w:rPr>
        <w:t>Vibrational spectroscopy is an excellent method for structural analysis and the determination of molecular interactio</w:t>
      </w:r>
      <w:r w:rsidR="00690A24">
        <w:rPr>
          <w:rFonts w:ascii="Times New Roman" w:eastAsia="Calibri" w:hAnsi="Times New Roman" w:cs="Times New Roman"/>
          <w:noProof/>
          <w:sz w:val="24"/>
          <w:szCs w:val="24"/>
          <w:lang w:bidi="fa-IR"/>
        </w:rPr>
        <w:t>ns</w:t>
      </w:r>
      <w:r w:rsidR="00DD63A5">
        <w:rPr>
          <w:rFonts w:ascii="Times New Roman" w:eastAsia="Calibri" w:hAnsi="Times New Roman" w:cs="Times New Roman"/>
          <w:noProof/>
          <w:sz w:val="24"/>
          <w:szCs w:val="24"/>
          <w:lang w:bidi="fa-IR"/>
        </w:rPr>
        <w:t>.</w:t>
      </w:r>
      <w:r w:rsidR="00575BA1" w:rsidRPr="00575BA1">
        <w:rPr>
          <w:rFonts w:ascii="Times New Roman" w:eastAsia="Calibri" w:hAnsi="Times New Roman" w:cs="Times New Roman"/>
          <w:noProof/>
          <w:sz w:val="24"/>
          <w:szCs w:val="24"/>
          <w:lang w:bidi="fa-IR"/>
        </w:rPr>
        <w:t xml:space="preserve">                                               </w:t>
      </w:r>
      <w:r w:rsidR="00575BA1">
        <w:rPr>
          <w:rFonts w:ascii="Times New Roman" w:eastAsia="Calibri" w:hAnsi="Times New Roman" w:cs="Times New Roman"/>
          <w:noProof/>
          <w:sz w:val="24"/>
          <w:szCs w:val="24"/>
          <w:lang w:bidi="fa-IR"/>
        </w:rPr>
        <w:t xml:space="preserve">                                                                                      </w:t>
      </w:r>
      <w:r w:rsidR="00575BA1" w:rsidRPr="00575BA1">
        <w:rPr>
          <w:rFonts w:ascii="Times New Roman" w:eastAsia="Calibri" w:hAnsi="Times New Roman" w:cs="Times New Roman"/>
          <w:noProof/>
          <w:sz w:val="24"/>
          <w:szCs w:val="24"/>
          <w:lang w:bidi="fa-IR"/>
        </w:rPr>
        <w:t xml:space="preserve">      </w:t>
      </w:r>
      <w:r w:rsidR="00575BA1" w:rsidRPr="00575BA1">
        <w:rPr>
          <w:rFonts w:asciiTheme="majorBidi" w:hAnsiTheme="majorBidi" w:cstheme="majorBidi"/>
          <w:sz w:val="24"/>
          <w:szCs w:val="24"/>
        </w:rPr>
        <w:t>In this research, t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he DFT calculations were done to study optimized structure and theor</w:t>
      </w:r>
      <w:r w:rsidR="00DD63A5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et</w:t>
      </w:r>
      <w:r w:rsidR="00853BF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i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cal FT-IR spectroscopic data for the titanium</w:t>
      </w:r>
      <w:r w:rsidR="00DD63A5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 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tetrabutoxide as a </w:t>
      </w:r>
      <w:r w:rsidR="00EA2F08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conventional 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catalyst in the ethylene dimerizaiton. In this regard, firstly the  B3LYP/LANL2DZ</w:t>
      </w:r>
      <w:r w:rsidR="00087F72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 basis set for Ti atom and </w:t>
      </w:r>
      <w:r w:rsidR="00087F72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B3LYP/6-31G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 basis set</w:t>
      </w:r>
      <w:r w:rsidR="00087F72" w:rsidRPr="00087F72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 </w:t>
      </w:r>
      <w:r w:rsidR="00087F72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for C, H, and O atoms</w:t>
      </w:r>
      <w:r w:rsidR="00087F72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 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w</w:t>
      </w:r>
      <w:r w:rsidR="00087F72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ere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 used.</w:t>
      </w:r>
      <w:r w:rsidR="00AE1269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 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After optim</w:t>
      </w:r>
      <w:r w:rsidR="00F73549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i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zation</w:t>
      </w:r>
      <w:r w:rsidR="00C97C82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,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 configuration of </w:t>
      </w:r>
      <w:r w:rsidR="00DD63A5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the 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titanium tetrabutoxide structure was disrupted. Therefore, optimization method </w:t>
      </w:r>
      <w:r w:rsidR="00AE1269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was 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qualified by the B3LYP/6-31+G (d,p) basis set for all atoms. </w:t>
      </w:r>
      <w:r w:rsidR="00AE1269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The results revealed a t</w:t>
      </w:r>
      <w:r w:rsidR="00DB1878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etrahedral 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structure</w:t>
      </w:r>
      <w:r w:rsidR="00DB1878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 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in gas phase </w:t>
      </w:r>
      <w:r w:rsidR="00E90385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w</w:t>
      </w:r>
      <w:r w:rsidR="00CC2D97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i</w:t>
      </w:r>
      <w:r w:rsidR="00E90385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t</w:t>
      </w:r>
      <w:r w:rsidR="00CC2D97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h</w:t>
      </w:r>
      <w:r w:rsidR="00E90385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 basic 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parameters </w:t>
      </w:r>
      <w:r w:rsidR="00E90385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of</w:t>
      </w:r>
      <w:r w:rsidR="00DB1878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 </w:t>
      </w:r>
      <w:r w:rsidR="00575BA1" w:rsidRPr="00575BA1">
        <w:rPr>
          <w:rFonts w:asciiTheme="majorBidi" w:eastAsia="Calibri" w:hAnsiTheme="majorBidi" w:cstheme="majorBidi"/>
          <w:i/>
          <w:iCs/>
          <w:noProof/>
          <w:sz w:val="24"/>
          <w:szCs w:val="24"/>
          <w:lang w:bidi="fa-IR"/>
        </w:rPr>
        <w:t>r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(Ti</w:t>
      </w:r>
      <w:r w:rsidR="00575BA1" w:rsidRPr="00575BA1">
        <w:rPr>
          <w:rFonts w:asciiTheme="majorBidi" w:eastAsia="Calibri" w:hAnsiTheme="majorBidi" w:cstheme="majorBidi"/>
          <w:caps/>
          <w:noProof/>
          <w:sz w:val="24"/>
          <w:szCs w:val="24"/>
          <w:lang w:bidi="fa-IR"/>
        </w:rPr>
        <w:t>...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O) 1.81Å and </w:t>
      </w:r>
      <w:r w:rsidR="00575BA1" w:rsidRPr="00575BA1">
        <w:rPr>
          <w:rFonts w:ascii="Cambria Math" w:eastAsia="Calibri" w:hAnsi="Cambria Math" w:cs="Cambria Math"/>
          <w:i/>
          <w:iCs/>
          <w:noProof/>
          <w:color w:val="000000"/>
          <w:sz w:val="24"/>
          <w:szCs w:val="24"/>
          <w:lang w:bidi="fa-IR"/>
        </w:rPr>
        <w:t>∠</w:t>
      </w:r>
      <w:r w:rsidR="00575BA1" w:rsidRPr="00575BA1">
        <w:rPr>
          <w:rFonts w:asciiTheme="majorBidi" w:eastAsia="Calibri" w:hAnsiTheme="majorBidi" w:cstheme="majorBidi"/>
          <w:noProof/>
          <w:color w:val="000000"/>
          <w:sz w:val="24"/>
          <w:szCs w:val="24"/>
          <w:lang w:bidi="fa-IR"/>
        </w:rPr>
        <w:t>(</w:t>
      </w:r>
      <w:r w:rsidR="00575BA1" w:rsidRPr="00575BA1">
        <w:rPr>
          <w:rFonts w:asciiTheme="majorBidi" w:eastAsia="Calibri" w:hAnsiTheme="majorBidi" w:cstheme="majorBidi"/>
          <w:caps/>
          <w:noProof/>
          <w:sz w:val="24"/>
          <w:szCs w:val="24"/>
          <w:lang w:bidi="fa-IR"/>
        </w:rPr>
        <w:t>O—T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i</w:t>
      </w:r>
      <w:r w:rsidR="00DB1878">
        <w:rPr>
          <w:rFonts w:asciiTheme="majorBidi" w:eastAsia="Calibri" w:hAnsiTheme="majorBidi" w:cstheme="majorBidi"/>
          <w:caps/>
          <w:noProof/>
          <w:sz w:val="24"/>
          <w:szCs w:val="24"/>
          <w:lang w:bidi="fa-IR"/>
        </w:rPr>
        <w:t xml:space="preserve">...O) ≈108.39˚. 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The comparison of theo</w:t>
      </w:r>
      <w:r w:rsidR="00D1272F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re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tical and experimental </w:t>
      </w:r>
      <w:r w:rsidR="00412ACA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frequencies 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of </w:t>
      </w:r>
      <w:r w:rsidR="00412ACA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vibrational assignments in the 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FT-IR </w:t>
      </w:r>
      <w:r w:rsidR="00412ACA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spectrum </w:t>
      </w:r>
      <w:r w:rsidR="00E90385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 xml:space="preserve">showed </w:t>
      </w:r>
      <w:r w:rsidR="00575BA1" w:rsidRPr="00575BA1">
        <w:rPr>
          <w:rFonts w:asciiTheme="majorBidi" w:eastAsia="Calibri" w:hAnsiTheme="majorBidi" w:cstheme="majorBidi"/>
          <w:noProof/>
          <w:sz w:val="24"/>
          <w:szCs w:val="24"/>
          <w:lang w:bidi="fa-IR"/>
        </w:rPr>
        <w:t>that a</w:t>
      </w:r>
      <w:r w:rsidR="00575BA1" w:rsidRPr="00575BA1">
        <w:rPr>
          <w:rFonts w:ascii="Times New Roman" w:eastAsia="Calibri" w:hAnsi="Times New Roman" w:cs="Times New Roman"/>
          <w:noProof/>
          <w:sz w:val="24"/>
          <w:szCs w:val="24"/>
          <w:lang w:bidi="fa-IR"/>
        </w:rPr>
        <w:t xml:space="preserve">ll </w:t>
      </w:r>
      <w:r w:rsidR="00412ACA">
        <w:rPr>
          <w:rFonts w:ascii="Times New Roman" w:eastAsia="Calibri" w:hAnsi="Times New Roman" w:cs="Times New Roman"/>
          <w:noProof/>
          <w:sz w:val="24"/>
          <w:szCs w:val="24"/>
          <w:lang w:bidi="fa-IR"/>
        </w:rPr>
        <w:t xml:space="preserve">frequencies </w:t>
      </w:r>
      <w:r w:rsidR="00575BA1" w:rsidRPr="00575BA1">
        <w:rPr>
          <w:rFonts w:ascii="Times New Roman" w:eastAsia="Calibri" w:hAnsi="Times New Roman" w:cs="Times New Roman"/>
          <w:noProof/>
          <w:sz w:val="24"/>
          <w:szCs w:val="24"/>
          <w:lang w:bidi="fa-IR"/>
        </w:rPr>
        <w:t xml:space="preserve">computed by </w:t>
      </w:r>
      <w:r w:rsidR="00CC2D97">
        <w:rPr>
          <w:rFonts w:ascii="Times New Roman" w:eastAsia="Calibri" w:hAnsi="Times New Roman" w:cs="Times New Roman"/>
          <w:noProof/>
          <w:sz w:val="24"/>
          <w:szCs w:val="24"/>
          <w:lang w:bidi="fa-IR"/>
        </w:rPr>
        <w:t xml:space="preserve">the </w:t>
      </w:r>
      <w:r w:rsidR="00575BA1" w:rsidRPr="00575BA1">
        <w:rPr>
          <w:rFonts w:ascii="Times New Roman" w:eastAsia="Calibri" w:hAnsi="Times New Roman" w:cs="Times New Roman"/>
          <w:noProof/>
          <w:sz w:val="24"/>
          <w:szCs w:val="24"/>
          <w:lang w:bidi="fa-IR"/>
        </w:rPr>
        <w:t>DFT had good agreement with th</w:t>
      </w:r>
      <w:r w:rsidR="00F73549">
        <w:rPr>
          <w:rFonts w:ascii="Times New Roman" w:eastAsia="Calibri" w:hAnsi="Times New Roman" w:cs="Times New Roman"/>
          <w:noProof/>
          <w:sz w:val="24"/>
          <w:szCs w:val="24"/>
          <w:lang w:bidi="fa-IR"/>
        </w:rPr>
        <w:t>ose observed in the</w:t>
      </w:r>
      <w:r w:rsidR="00575BA1" w:rsidRPr="00575BA1">
        <w:rPr>
          <w:rFonts w:ascii="Times New Roman" w:eastAsia="Calibri" w:hAnsi="Times New Roman" w:cs="Times New Roman"/>
          <w:noProof/>
          <w:sz w:val="24"/>
          <w:szCs w:val="24"/>
          <w:lang w:bidi="fa-IR"/>
        </w:rPr>
        <w:t xml:space="preserve"> experimental results.</w:t>
      </w:r>
    </w:p>
    <w:p w:rsidR="0028059F" w:rsidRPr="0010232E" w:rsidRDefault="0028059F" w:rsidP="007154E4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916AD6">
        <w:rPr>
          <w:rFonts w:ascii="Times New Roman" w:hAnsi="Times New Roman" w:cs="Times New Roman"/>
          <w:sz w:val="24"/>
        </w:rPr>
        <w:t xml:space="preserve"> </w:t>
      </w:r>
      <w:r w:rsidR="007C42E9" w:rsidRPr="0010232E">
        <w:rPr>
          <w:rFonts w:ascii="Times New Roman" w:hAnsi="Times New Roman" w:cs="Times New Roman"/>
          <w:i/>
          <w:iCs/>
          <w:sz w:val="24"/>
        </w:rPr>
        <w:t xml:space="preserve">DFT, Ethylene dimerization, </w:t>
      </w:r>
      <w:r w:rsidR="0010232E" w:rsidRPr="0010232E">
        <w:rPr>
          <w:rFonts w:ascii="Times New Roman" w:hAnsi="Times New Roman" w:cs="Times New Roman"/>
          <w:i/>
          <w:iCs/>
          <w:sz w:val="24"/>
        </w:rPr>
        <w:t xml:space="preserve">FT-IR, </w:t>
      </w:r>
      <w:proofErr w:type="spellStart"/>
      <w:r w:rsidR="0010232E" w:rsidRPr="0010232E">
        <w:rPr>
          <w:rFonts w:ascii="Times New Roman" w:hAnsi="Times New Roman" w:cs="Times New Roman"/>
          <w:i/>
          <w:iCs/>
          <w:sz w:val="24"/>
        </w:rPr>
        <w:t>Tinanium</w:t>
      </w:r>
      <w:proofErr w:type="spellEnd"/>
      <w:r w:rsidR="0010232E" w:rsidRPr="0010232E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10232E" w:rsidRPr="0010232E">
        <w:rPr>
          <w:rFonts w:ascii="Times New Roman" w:hAnsi="Times New Roman" w:cs="Times New Roman"/>
          <w:i/>
          <w:iCs/>
          <w:sz w:val="24"/>
        </w:rPr>
        <w:t>tetrabutoxide</w:t>
      </w:r>
      <w:proofErr w:type="spellEnd"/>
    </w:p>
    <w:p w:rsidR="00DF04E3" w:rsidRPr="0010232E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5009F" w:rsidRDefault="00D5009F" w:rsidP="00E90385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E90385" w:rsidRDefault="00DF04E3" w:rsidP="00E90385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B3082B" w:rsidRDefault="00E90385" w:rsidP="00311CF3">
      <w:pPr>
        <w:pStyle w:val="HTMLPreformatted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7154E4">
        <w:rPr>
          <w:rFonts w:asciiTheme="majorBidi" w:hAnsiTheme="majorBidi" w:cstheme="majorBidi"/>
          <w:sz w:val="24"/>
          <w:szCs w:val="24"/>
        </w:rPr>
        <w:t>Seyed</w:t>
      </w:r>
      <w:proofErr w:type="spellEnd"/>
      <w:r w:rsidRPr="007154E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154E4">
        <w:rPr>
          <w:rFonts w:asciiTheme="majorBidi" w:hAnsiTheme="majorBidi" w:cstheme="majorBidi"/>
          <w:sz w:val="24"/>
          <w:szCs w:val="24"/>
        </w:rPr>
        <w:t>Hamed</w:t>
      </w:r>
      <w:proofErr w:type="spellEnd"/>
      <w:r w:rsidRPr="007154E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154E4">
        <w:rPr>
          <w:rFonts w:asciiTheme="majorBidi" w:hAnsiTheme="majorBidi" w:cstheme="majorBidi"/>
          <w:sz w:val="24"/>
          <w:szCs w:val="24"/>
        </w:rPr>
        <w:t>Mahdaviani</w:t>
      </w:r>
      <w:proofErr w:type="spellEnd"/>
      <w:r w:rsidRPr="007154E4">
        <w:rPr>
          <w:rFonts w:asciiTheme="majorBidi" w:hAnsiTheme="majorBidi" w:cstheme="majorBidi"/>
          <w:sz w:val="24"/>
          <w:szCs w:val="24"/>
        </w:rPr>
        <w:t xml:space="preserve"> received his B.Sc. degree in Chemical Engineering</w:t>
      </w:r>
      <w:r w:rsidR="00311CF3">
        <w:rPr>
          <w:rFonts w:asciiTheme="majorBidi" w:hAnsiTheme="majorBidi" w:cstheme="majorBidi"/>
          <w:sz w:val="24"/>
          <w:szCs w:val="24"/>
        </w:rPr>
        <w:t xml:space="preserve"> </w:t>
      </w:r>
      <w:r w:rsidRPr="007154E4">
        <w:rPr>
          <w:rFonts w:asciiTheme="majorBidi" w:hAnsiTheme="majorBidi" w:cstheme="majorBidi"/>
          <w:sz w:val="24"/>
          <w:szCs w:val="24"/>
        </w:rPr>
        <w:t xml:space="preserve">from </w:t>
      </w:r>
      <w:proofErr w:type="spellStart"/>
      <w:r w:rsidRPr="007154E4">
        <w:rPr>
          <w:rFonts w:asciiTheme="majorBidi" w:hAnsiTheme="majorBidi" w:cstheme="majorBidi"/>
          <w:sz w:val="24"/>
          <w:szCs w:val="24"/>
        </w:rPr>
        <w:t>Ami</w:t>
      </w:r>
      <w:r w:rsidR="00690A24">
        <w:rPr>
          <w:rFonts w:asciiTheme="majorBidi" w:hAnsiTheme="majorBidi" w:cstheme="majorBidi"/>
          <w:sz w:val="24"/>
          <w:szCs w:val="24"/>
        </w:rPr>
        <w:t>rkabir</w:t>
      </w:r>
      <w:proofErr w:type="spellEnd"/>
      <w:r w:rsidR="00690A24">
        <w:rPr>
          <w:rFonts w:asciiTheme="majorBidi" w:hAnsiTheme="majorBidi" w:cstheme="majorBidi"/>
          <w:sz w:val="24"/>
          <w:szCs w:val="24"/>
        </w:rPr>
        <w:t xml:space="preserve"> University of Technology, </w:t>
      </w:r>
      <w:r w:rsidRPr="007154E4">
        <w:rPr>
          <w:rFonts w:asciiTheme="majorBidi" w:hAnsiTheme="majorBidi" w:cstheme="majorBidi"/>
          <w:sz w:val="24"/>
          <w:szCs w:val="24"/>
        </w:rPr>
        <w:t xml:space="preserve">Tehran and his M.Sc. degree in Chemical Engineering from Iran University of Science and Technology, Tehran, Iran. He has many publications including 15 high </w:t>
      </w:r>
      <w:proofErr w:type="gramStart"/>
      <w:r w:rsidRPr="007154E4">
        <w:rPr>
          <w:rFonts w:asciiTheme="majorBidi" w:hAnsiTheme="majorBidi" w:cstheme="majorBidi"/>
          <w:sz w:val="24"/>
          <w:szCs w:val="24"/>
        </w:rPr>
        <w:t>quality</w:t>
      </w:r>
      <w:proofErr w:type="gramEnd"/>
      <w:r w:rsidRPr="007154E4">
        <w:rPr>
          <w:rFonts w:asciiTheme="majorBidi" w:hAnsiTheme="majorBidi" w:cstheme="majorBidi"/>
          <w:sz w:val="24"/>
          <w:szCs w:val="24"/>
        </w:rPr>
        <w:t xml:space="preserve"> peer-reviewed papers in scientific journals and international conferences, a book chapter, a</w:t>
      </w:r>
      <w:r w:rsidR="007154E4" w:rsidRPr="007154E4">
        <w:rPr>
          <w:rFonts w:asciiTheme="majorBidi" w:hAnsiTheme="majorBidi" w:cstheme="majorBidi"/>
          <w:sz w:val="24"/>
          <w:szCs w:val="24"/>
        </w:rPr>
        <w:t>n</w:t>
      </w:r>
      <w:r w:rsidRPr="007154E4">
        <w:rPr>
          <w:rFonts w:asciiTheme="majorBidi" w:hAnsiTheme="majorBidi" w:cstheme="majorBidi"/>
          <w:sz w:val="24"/>
          <w:szCs w:val="24"/>
        </w:rPr>
        <w:t xml:space="preserve"> Ira</w:t>
      </w:r>
      <w:r w:rsidR="007154E4" w:rsidRPr="007154E4">
        <w:rPr>
          <w:rFonts w:asciiTheme="majorBidi" w:hAnsiTheme="majorBidi" w:cstheme="majorBidi"/>
          <w:sz w:val="24"/>
          <w:szCs w:val="24"/>
        </w:rPr>
        <w:t>n</w:t>
      </w:r>
      <w:r w:rsidRPr="007154E4">
        <w:rPr>
          <w:rFonts w:asciiTheme="majorBidi" w:hAnsiTheme="majorBidi" w:cstheme="majorBidi"/>
          <w:sz w:val="24"/>
          <w:szCs w:val="24"/>
        </w:rPr>
        <w:t xml:space="preserve"> patent and several research and technical reports. </w:t>
      </w:r>
      <w:r w:rsidR="00CF36AF">
        <w:rPr>
          <w:rFonts w:asciiTheme="majorBidi" w:hAnsiTheme="majorBidi" w:cstheme="majorBidi"/>
          <w:sz w:val="24"/>
          <w:szCs w:val="24"/>
        </w:rPr>
        <w:t xml:space="preserve">He </w:t>
      </w:r>
      <w:r w:rsidRPr="007154E4">
        <w:rPr>
          <w:rFonts w:asciiTheme="majorBidi" w:hAnsiTheme="majorBidi" w:cstheme="majorBidi"/>
          <w:sz w:val="24"/>
          <w:szCs w:val="24"/>
        </w:rPr>
        <w:t xml:space="preserve">received several </w:t>
      </w:r>
      <w:proofErr w:type="spellStart"/>
      <w:r w:rsidRPr="007154E4">
        <w:rPr>
          <w:rFonts w:asciiTheme="majorBidi" w:hAnsiTheme="majorBidi" w:cstheme="majorBidi"/>
          <w:sz w:val="24"/>
          <w:szCs w:val="24"/>
        </w:rPr>
        <w:t>honors</w:t>
      </w:r>
      <w:proofErr w:type="spellEnd"/>
      <w:r w:rsidRPr="007154E4">
        <w:rPr>
          <w:rFonts w:asciiTheme="majorBidi" w:hAnsiTheme="majorBidi" w:cstheme="majorBidi"/>
          <w:sz w:val="24"/>
          <w:szCs w:val="24"/>
        </w:rPr>
        <w:t xml:space="preserve"> and awards for his outstanding efforts in his research works. In December 2015, he was selected as </w:t>
      </w:r>
      <w:r w:rsidR="002A614A">
        <w:rPr>
          <w:rFonts w:asciiTheme="majorBidi" w:hAnsiTheme="majorBidi" w:cstheme="majorBidi"/>
          <w:sz w:val="24"/>
          <w:szCs w:val="24"/>
        </w:rPr>
        <w:t xml:space="preserve">the first person of </w:t>
      </w:r>
      <w:r w:rsidRPr="007154E4">
        <w:rPr>
          <w:rFonts w:asciiTheme="majorBidi" w:hAnsiTheme="majorBidi" w:cstheme="majorBidi"/>
          <w:sz w:val="24"/>
          <w:szCs w:val="24"/>
        </w:rPr>
        <w:t>superior industrialist and distinguished researcher in the Festival of Research &amp; Technology of Oil Industry</w:t>
      </w:r>
      <w:r w:rsidR="0032110E">
        <w:rPr>
          <w:rFonts w:asciiTheme="majorBidi" w:hAnsiTheme="majorBidi" w:cstheme="majorBidi"/>
          <w:sz w:val="24"/>
          <w:szCs w:val="24"/>
        </w:rPr>
        <w:t xml:space="preserve"> in Tehran, Iran</w:t>
      </w:r>
      <w:r w:rsidRPr="007154E4">
        <w:rPr>
          <w:rFonts w:asciiTheme="majorBidi" w:hAnsiTheme="majorBidi" w:cstheme="majorBidi"/>
          <w:sz w:val="24"/>
          <w:szCs w:val="24"/>
        </w:rPr>
        <w:t>. He has been invited to the several reputed international conferences a</w:t>
      </w:r>
      <w:r w:rsidR="005B7B38">
        <w:rPr>
          <w:rFonts w:asciiTheme="majorBidi" w:hAnsiTheme="majorBidi" w:cstheme="majorBidi"/>
          <w:sz w:val="24"/>
          <w:szCs w:val="24"/>
        </w:rPr>
        <w:t>s a keynote speaker. He has received c</w:t>
      </w:r>
      <w:r w:rsidRPr="007154E4">
        <w:rPr>
          <w:rFonts w:asciiTheme="majorBidi" w:hAnsiTheme="majorBidi" w:cstheme="majorBidi"/>
          <w:sz w:val="24"/>
          <w:szCs w:val="24"/>
        </w:rPr>
        <w:t>ertificate of reviewing from Elsevier in recognition of the review made for Applied Catalysis A: General</w:t>
      </w:r>
      <w:r w:rsidR="002A614A">
        <w:rPr>
          <w:rFonts w:asciiTheme="majorBidi" w:hAnsiTheme="majorBidi" w:cstheme="majorBidi"/>
          <w:sz w:val="24"/>
          <w:szCs w:val="24"/>
        </w:rPr>
        <w:t xml:space="preserve"> in March 2016.</w:t>
      </w:r>
    </w:p>
    <w:p w:rsidR="0047202C" w:rsidRPr="007154E4" w:rsidRDefault="0047202C" w:rsidP="005B7B38">
      <w:pPr>
        <w:pStyle w:val="HTMLPreformatted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:rsidR="00690A24" w:rsidRDefault="00E90385" w:rsidP="00690A24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en-US"/>
        </w:rPr>
        <w:drawing>
          <wp:inline distT="0" distB="0" distL="0" distR="0" wp14:anchorId="7E2F5074" wp14:editId="782E806D">
            <wp:extent cx="609600" cy="733425"/>
            <wp:effectExtent l="0" t="0" r="0" b="9525"/>
            <wp:docPr id="6" name="Picture 6" descr="C:\Users\mahdaviani.h\Desktop\Advanced Chemistry 2018 Paris\aks\New folder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hdaviani.h\Desktop\Advanced Chemistry 2018 Paris\aks\New folder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4E3" w:rsidRDefault="00B3082B" w:rsidP="005B7B38">
      <w:pPr>
        <w:pStyle w:val="HTMLPreformatted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690A24" w:rsidRPr="00DB1878">
        <w:rPr>
          <w:rFonts w:ascii="Times New Roman" w:hAnsi="Times New Roman"/>
          <w:sz w:val="24"/>
          <w:szCs w:val="24"/>
        </w:rPr>
        <w:t>mahdaviani.h@arpc.ir</w:t>
      </w:r>
    </w:p>
    <w:sectPr w:rsidR="00DF04E3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1FF" w:rsidRDefault="00C341FF" w:rsidP="00495C76">
      <w:pPr>
        <w:spacing w:after="0" w:line="240" w:lineRule="auto"/>
      </w:pPr>
      <w:r>
        <w:separator/>
      </w:r>
    </w:p>
  </w:endnote>
  <w:endnote w:type="continuationSeparator" w:id="0">
    <w:p w:rsidR="00C341FF" w:rsidRDefault="00C341F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1FF" w:rsidRDefault="00C341FF" w:rsidP="00495C76">
      <w:pPr>
        <w:spacing w:after="0" w:line="240" w:lineRule="auto"/>
      </w:pPr>
      <w:r>
        <w:separator/>
      </w:r>
    </w:p>
  </w:footnote>
  <w:footnote w:type="continuationSeparator" w:id="0">
    <w:p w:rsidR="00C341FF" w:rsidRDefault="00C341F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8433F"/>
    <w:rsid w:val="00087F72"/>
    <w:rsid w:val="000A4C22"/>
    <w:rsid w:val="000A6F42"/>
    <w:rsid w:val="0010232E"/>
    <w:rsid w:val="001E19A4"/>
    <w:rsid w:val="002350BC"/>
    <w:rsid w:val="0028059F"/>
    <w:rsid w:val="002A614A"/>
    <w:rsid w:val="002F4DF0"/>
    <w:rsid w:val="00311CF3"/>
    <w:rsid w:val="0032110E"/>
    <w:rsid w:val="00333E31"/>
    <w:rsid w:val="0038483D"/>
    <w:rsid w:val="00412ACA"/>
    <w:rsid w:val="00435234"/>
    <w:rsid w:val="00441FD3"/>
    <w:rsid w:val="004651F1"/>
    <w:rsid w:val="0047202C"/>
    <w:rsid w:val="00495C76"/>
    <w:rsid w:val="005618AA"/>
    <w:rsid w:val="00575BA1"/>
    <w:rsid w:val="005B7B38"/>
    <w:rsid w:val="006006B4"/>
    <w:rsid w:val="00627419"/>
    <w:rsid w:val="00690A24"/>
    <w:rsid w:val="007154E4"/>
    <w:rsid w:val="00773403"/>
    <w:rsid w:val="007C42E9"/>
    <w:rsid w:val="00853BF1"/>
    <w:rsid w:val="00916AD6"/>
    <w:rsid w:val="0095728A"/>
    <w:rsid w:val="00AE1269"/>
    <w:rsid w:val="00B3082B"/>
    <w:rsid w:val="00B6703B"/>
    <w:rsid w:val="00BA654F"/>
    <w:rsid w:val="00C341FF"/>
    <w:rsid w:val="00C97C82"/>
    <w:rsid w:val="00CC2D97"/>
    <w:rsid w:val="00CE511D"/>
    <w:rsid w:val="00CF36AF"/>
    <w:rsid w:val="00D1272F"/>
    <w:rsid w:val="00D5009F"/>
    <w:rsid w:val="00DB1878"/>
    <w:rsid w:val="00DD63A5"/>
    <w:rsid w:val="00DF04E3"/>
    <w:rsid w:val="00E90385"/>
    <w:rsid w:val="00EA2F08"/>
    <w:rsid w:val="00F7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575BA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B187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9038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575BA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B187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903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79854-91E8-46E6-B26B-75A52E835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Mahdaviani, Seyedhamed</cp:lastModifiedBy>
  <cp:revision>32</cp:revision>
  <cp:lastPrinted>2018-02-18T16:03:00Z</cp:lastPrinted>
  <dcterms:created xsi:type="dcterms:W3CDTF">2018-02-18T12:01:00Z</dcterms:created>
  <dcterms:modified xsi:type="dcterms:W3CDTF">2018-02-19T03:46:00Z</dcterms:modified>
</cp:coreProperties>
</file>